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(ED) explained by maternal environment (M), real-time herbivory simulation (S), and/or their interaction (M:S) across different genomic contexts. The models include analyses with and without adjusting for genetic structure (PC). PC: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3168"/>
        <w:gridCol w:w="1152"/>
        <w:gridCol w:w="720"/>
        <w:gridCol w:w="1440"/>
        <w:gridCol w:w="1152"/>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body 1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44,233.843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12,223.547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14,660.417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17,349.880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0.028</w:t>
            </w:r>
          </w:p>
        </w:tc>
      </w:tr>
      <w:tr>
        <w:trPr>
          <w:trHeight w:val="360" w:hRule="auto"/>
        </w:trPr>
        body 5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139,559.060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34,845.213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68,824.521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35,889.326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r>
      <w:tr>
        <w:trPr>
          <w:trHeight w:val="360" w:hRule="auto"/>
        </w:trPr>
        body 9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90,381.878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27,681.290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28,449.345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34,251.243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r>
      <w:tr>
        <w:trPr>
          <w:trHeight w:val="360" w:hRule="auto"/>
        </w:trPr>
        body13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251,243.858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r>
      <w:tr>
        <w:trPr>
          <w:trHeight w:val="360" w:hRule="auto"/>
        </w:trPr>
        body14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42,322.212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0.097</w:t>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192,949.328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0.323</w:t>
            </w:r>
          </w:p>
        </w:tc>
      </w:tr>
      <w:tr>
        <w:trPr>
          <w:trHeight w:val="360" w:hRule="auto"/>
        </w:trPr>
        body16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15,972.317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44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body 1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44,233.843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0.105</w:t>
            </w:r>
          </w:p>
        </w:tc>
      </w:tr>
      <w:tr>
        <w:trPr>
          <w:trHeight w:val="360" w:hRule="auto"/>
        </w:trPr>
        body 2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45,284.770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0.099</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50,040.447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0.066</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12,223.547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0.032*</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11,410.277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0.066</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11,211.389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14,660.417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0.331</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23,562.991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0.108</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30,601.114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0.058</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17,349.880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10,311.502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w:t>
            </w:r>
          </w:p>
        </w:tc>
      </w:tr>
      <w:tr>
        <w:trPr>
          <w:trHeight w:val="360" w:hRule="auto"/>
        </w:trPr>
        body12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8,227.944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0.379</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 and real-time herbivory simulation (S).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440"/>
        <w:gridCol w:w="1152"/>
        <w:gridCol w:w="1440"/>
        <w:gridCol w:w="144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152"/>
        <w:gridCol w:w="1440"/>
        <w:gridCol w:w="144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0.371</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2026-03-06T15:26:32Z</dcterms:modified>
  <cp:category/>
</cp:coreProperties>
</file>