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Results of the distance-based redundancy analysis (dbRDA) showing the percentage of epigenetic variance (EpiDist) explained by maternal environment (M), real-time herbivory simulation (S), and/or their interaction (M:S) across different genomic contexts. The models include analyses with and without adjusting for genetic structure (PC). PC: first principal component from genetic data explaining 30.10% of the variance in scaled allele frequencies. Significance codes: *** p &lt; 0.001, ** p &lt; 0.01, * p &lt; 0.05.The results of the ANOVA performed to test for the significance of each predictor in the model with the interaction term (ANOVA by terms) are also shown.</w:t>
      </w:r>
    </w:p>
    <w:tbl xmlns:a="http://schemas.openxmlformats.org/drawingml/2006/main" xmlns:pic="http://schemas.openxmlformats.org/drawingml/2006/picture">
      <w:tblPr>
        <w:tblLayout w:type="fixed"/>
        <w:jc w:val="center"/>
        <w:tblLook w:firstRow="1" w:lastRow="0" w:firstColumn="0" w:lastColumn="0" w:noHBand="0" w:noVBand="1"/>
      </w:tblPr>
      <w:tblGrid>
        <w:gridCol w:w="3168"/>
        <w:gridCol w:w="1152"/>
        <w:gridCol w:w="720"/>
        <w:gridCol w:w="1440"/>
        <w:gridCol w:w="1152"/>
        <w:gridCol w:w="1152"/>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SumOfSqs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559,159.741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240,957.306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192,599.629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125,602.806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848,498.176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303,551.438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319,949.371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224,997.367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0.040</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Condition(PC)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499,141.711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102,946.384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219,229.300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176,966.027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r>
      <w:tr>
        <w:trPr>
          <w:trHeight w:val="360"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582,094.101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257,375.158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198,723.746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0.053</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125,995.198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152"/>
        <w:gridCol w:w="2592"/>
        <w:gridCol w:w="720"/>
        <w:gridCol w:w="1440"/>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Variance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559,159.741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143,256.746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146,081.690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240,957.306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30,800.605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0.190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31,793.527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192,599.629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62,504.322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0.225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64,845.420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125,602.806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49,951.819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0.181</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49,442.742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0.214</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Results of distance-based redundancy analysis (dbRDA) showing the percentage of variance in phenotypic and genetic distance explained by maternal environment (M) and real-time herbivory simulation (S). The results of the ANOVA performed to test for the significance of each predictor in the model with the interaction term (ANOVA by terms) are also shown. Significance codes: *** p &lt; 0.001, ** p &lt; 0.01, * p &lt; 0.05.</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1152"/>
        <w:gridCol w:w="1440"/>
        <w:gridCol w:w="1152"/>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SumOfSqs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GenDist ~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156.524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5.968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0.267</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2592"/>
        <w:gridCol w:w="720"/>
        <w:gridCol w:w="1152"/>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Variance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0.108</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2026-03-09T16:08:22Z</dcterms:modified>
  <cp:category/>
</cp:coreProperties>
</file>