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Results of the distance-based redundancy analysis (dbRDA) showing the percentage of epigenetic variance (EpiDist) explained by maternal environment (M), real-time herbivory simulation (S), and/or their interaction (M:S) across different genomic contexts. The models include analyses with and without adjusting for genetic structure (PC). PC: first principal component from genetic data explaining 23.57% of the variance in scaled allele frequencies. Significance codes: *** p &lt; 0.001, ** p &lt; 0.01, * p &lt; 0.05.The results of the ANOVA performed to test for the significance of each predictor in the model with the interaction term (ANOVA by terms) are also shown.</w:t>
      </w:r>
    </w:p>
    <w:tbl xmlns:a="http://schemas.openxmlformats.org/drawingml/2006/main" xmlns:pic="http://schemas.openxmlformats.org/drawingml/2006/picture">
      <w:tblPr>
        <w:tblLayout w:type="fixed"/>
        <w:jc w:val="center"/>
        <w:tblLook w:firstRow="1" w:lastRow="0" w:firstColumn="0" w:lastColumn="0" w:noHBand="0" w:noVBand="1"/>
      </w:tblPr>
      <w:tblGrid>
        <w:gridCol w:w="3168"/>
        <w:gridCol w:w="1152"/>
        <w:gridCol w:w="720"/>
        <w:gridCol w:w="1440"/>
        <w:gridCol w:w="1152"/>
        <w:gridCol w:w="1152"/>
        <w:gridCol w:w="1152"/>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Ctxt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SumOfSqs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Pr(&gt;F)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adj. R²</w:t>
            </w:r>
          </w:p>
        </w:tc>
      </w:tr>
      <w:tr>
        <w:trPr>
          <w:trHeight w:val="360" w:hRule="auto"/>
        </w:trPr>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All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44,233.843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0.010</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17,349.880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0.028</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12,223.547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0.009</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14,660.417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0.000</w:t>
            </w:r>
          </w:p>
        </w:tc>
      </w:tr>
      <w:tr>
        <w:trPr>
          <w:trHeight w:val="360"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139,559.060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0.038</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35,889.326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0.036</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34,845.213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0.024</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68,824.521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0.048</w:t>
            </w:r>
          </w:p>
        </w:tc>
      </w:tr>
      <w:tr>
        <w:trPr>
          <w:trHeight w:val="360" w:hRule="auto"/>
        </w:trPr>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 + Condition(PC)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90,381.878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0.011</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34,251.243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0.033</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27,681.290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0.010</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28,449.345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0.959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-0.002</w:t>
            </w:r>
          </w:p>
        </w:tc>
      </w:tr>
      <w:tr>
        <w:trPr>
          <w:trHeight w:val="360" w:hRule="auto"/>
        </w:trPr>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PC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251,243.858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9.599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0.181</w:t>
            </w:r>
          </w:p>
        </w:tc>
      </w:tr>
      <w:tr>
        <w:trPr>
          <w:trHeight w:val="360" w:hRule="auto"/>
        </w:trPr>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15,972.317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0.024</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42,322.212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0.097</w:t>
            </w:r>
          </w:p>
        </w:tc>
      </w:tr>
      <w:tr>
        <w:trPr>
          <w:trHeight w:val="360" w:hRule="auto"/>
        </w:trPr>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192,949.328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19.570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0.323</w:t>
            </w:r>
          </w:p>
        </w:tc>
      </w:tr>
    </w:tbl>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152"/>
        <w:gridCol w:w="2592"/>
        <w:gridCol w:w="720"/>
        <w:gridCol w:w="1440"/>
        <w:gridCol w:w="1440"/>
        <w:gridCol w:w="144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ANOVA by terms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Ctxt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Variance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Pr(&gt;F)</w:t>
            </w:r>
          </w:p>
        </w:tc>
      </w:tr>
      <w:tr>
        <w:trPr>
          <w:trHeight w:val="360" w:hRule="auto"/>
        </w:trPr>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EpiDist ~ M * S</w:t>
            </w:r>
          </w:p>
        </w:tc>
        <w:tc>
          <w:tcPr>
            <w:vMerge w:val="restart"/>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All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herbivory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44,233.843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0.102</w:t>
            </w:r>
          </w:p>
        </w:tc>
      </w:tr>
      <w:tr>
        <w:trPr>
          <w:trHeight w:val="360" w:hRule="auto"/>
        </w:trPr>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Real-time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45,284.770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0.095</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 Real-time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50,040.447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1.628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0.065</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17,349.880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&lt;0.001***</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Real-time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10,311.502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0.031*</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 Real-time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8,227.944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0.387</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12,223.547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0.035*</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Real-time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11,410.277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0.064</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 Real-time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11,211.389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0.075</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val="restart"/>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CHH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14,660.417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0.338</w:t>
            </w:r>
          </w:p>
        </w:tc>
      </w:tr>
      <w:tr>
        <w:trPr>
          <w:trHeight w:val="360" w:hRule="auto"/>
        </w:trPr>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Real-time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23,562.991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0.108</w:t>
            </w:r>
          </w:p>
        </w:tc>
      </w:tr>
      <w:tr>
        <w:trPr>
          <w:trHeight w:val="360" w:hRule="auto"/>
        </w:trPr>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vMerge/>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 Real-time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30,601.114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2.209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0.062</w:t>
            </w:r>
          </w:p>
        </w:tc>
      </w:tr>
    </w:tbl>
    <w:p>
      <w:pPr/>
      <w:r>
        <w:br w:type="page"/>
      </w:r>
    </w:p>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 Results of distance-based redundancy analysis (dbRDA) showing the percentage of variance in phenotypic and genetic distance explained by maternal environment (M) and real-time herbivory simulation (S). The results of the ANOVA performed to test for the significance of each predictor in the model with the interaction term (ANOVA by terms) are also shown. Significance codes: *** p &lt; 0.001, ** p &lt; 0.01, * p &lt; 0.05.</w:t>
      </w:r>
    </w:p>
    <w:tbl xmlns:a="http://schemas.openxmlformats.org/drawingml/2006/main" xmlns:pic="http://schemas.openxmlformats.org/drawingml/2006/picture">
      <w:tblPr>
        <w:tblLayout w:type="fixed"/>
        <w:jc w:val="center"/>
        <w:tblLook w:firstRow="1" w:lastRow="0" w:firstColumn="0" w:lastColumn="0" w:noHBand="0" w:noVBand="1"/>
      </w:tblPr>
      <w:tblGrid>
        <w:gridCol w:w="2880"/>
        <w:gridCol w:w="1152"/>
        <w:gridCol w:w="1440"/>
        <w:gridCol w:w="1152"/>
        <w:gridCol w:w="1440"/>
        <w:gridCol w:w="144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SumOfSqs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Pr(&gt;F)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adj. R²</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GenDist ~ 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23.777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1.380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0.013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M * 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2.471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0.040</w:t>
            </w:r>
          </w:p>
        </w:tc>
      </w:tr>
    </w:tbl>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880"/>
        <w:gridCol w:w="2592"/>
        <w:gridCol w:w="720"/>
        <w:gridCol w:w="1152"/>
        <w:gridCol w:w="1440"/>
        <w:gridCol w:w="144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ANOVA by terms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Variance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Pr(&gt;F)</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M * 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herbivory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0.828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1.549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0.129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M * 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Real-time herbivory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2.005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0.038*</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PhenoDist ~ M * 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Maternal × Real-time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0.572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1.070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w:rPr>
                <w:rFonts w:ascii="Arial" w:hAnsi="Arial" w:eastAsia="Arial" w:cs="Arial"/>
                <w:i w:val="false"/>
                <w:b w:val="false"/>
                <w:u w:val="none"/>
                <w:strike w:val="false"/>
                <w:sz w:val="20"/>
                <w:szCs w:val="20"/>
                <w:color w:val="000000"/>
              </w:rPr>
              <w:t xml:space="preserve">0.375</w:t>
            </w:r>
          </w:p>
        </w:tc>
      </w:tr>
    </w:tbl>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2026-03-09T16:13:32Z</dcterms:modified>
  <cp:category/>
</cp:coreProperties>
</file>