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Results of the multiple matrix regression with randomization (MMRR) analysis showing regression coefficients for each predictor, t statistics and associated p-values, together with overall model statistics (F statistic, F p-value and R²). Significance codes: *** p &lt; 0.001, ** p &lt; 0.01, * p &lt; 0.05, ns p &gt; 0.05.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4"/>
        <w:gridCol w:w="2016"/>
        <w:gridCol w:w="1296"/>
        <w:gridCol w:w="1296"/>
        <w:gridCol w:w="1728"/>
        <w:gridCol w:w="1296"/>
        <w:gridCol w:w="1440"/>
        <w:gridCol w:w="1152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Coeff.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tStat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tPvalue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Fstat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FpVal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R²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PhenoDist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0.844 ns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EpiDist-all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0.553 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EnvironDist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0.400 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0.161 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GenDist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0.175 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EpiDist-CG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-5.514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0.099 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EnvironDist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0.158 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0.890 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EpiDist-CHG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0.538 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EnvironDist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0.396 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0.594 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EpiDist-CHH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0.638 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EnvironDist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0.448 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0.565 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GenDist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0.466 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EnvironDist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model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0.336 ns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2026-03-09T19:27:23Z</dcterms:modified>
  <cp:category/>
</cp:coreProperties>
</file>