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1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Alta de usuario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alta de un usuario al sistema, sea cliente, administrador o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carga de datos de parte del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ejecutar este caso, se debe cumplir previamente que el usuario pueda ingresar sus datos.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finalizar de ejecutar este caso, los datos son validados y el usuario es aceptado o rechazado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Deseo de dar de alta un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para ingresar datos.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datos y ‘guardar’.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Validación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datos y confirmación de usuario.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Deseo de dar de alta un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para ingresar datos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datos y ‘guardar’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en validación.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Nueva carga de dato.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datos y confirmación de usuario.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w:drawing>
          <wp:inline distB="114300" distT="114300" distL="114300" distR="114300">
            <wp:extent cx="3444713" cy="488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3043" t="4149"/>
                    <a:stretch>
                      <a:fillRect/>
                    </a:stretch>
                  </pic:blipFill>
                  <pic:spPr>
                    <a:xfrm>
                      <a:off x="0" y="0"/>
                      <a:ext cx="3444713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shd w:fill="ebebeb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ebebeb" w:val="clear"/>
              </w:rPr>
              <w:drawing>
                <wp:inline distB="114300" distT="114300" distL="114300" distR="114300">
                  <wp:extent cx="3676593" cy="4988242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10417" l="31802" r="38735" t="18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593" cy="4988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