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Caso de Uso Nº 4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Baja de 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Este caso de uso representa un administrador inhabilitando a un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jid7oxrauk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uzbokupn9ulb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agente que inicia este caso de uso es el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sq69p4ns2bj0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4nd2jhvhn4wb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caso de uso se inicia con un click en el checkbox.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e8uhk5uwq5hj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of3jla4mc41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que da de baja a los otros debe ser el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fd9d22xx1me0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pgu3d26ebie1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cliente dado de baja no podrá ingresar or gestionar con su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Desea dar de baja a alguien.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Imprime los usuarios actuales con un checkbox.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Decide a quien dar de baja.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Deshabilita cualquier futura interacción del usuario con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999297" cy="40810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18767" l="32721" r="52144" t="26371"/>
                    <a:stretch>
                      <a:fillRect/>
                    </a:stretch>
                  </pic:blipFill>
                  <pic:spPr>
                    <a:xfrm>
                      <a:off x="0" y="0"/>
                      <a:ext cx="1999297" cy="408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04/09/2017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hd w:fill="c0c0c0" w:val="clear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