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Nº6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“Búsqueda de empresas”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1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10"/>
              <w:tblGridChange w:id="0">
                <w:tblGrid>
                  <w:gridCol w:w="967"/>
                  <w:gridCol w:w="900"/>
                  <w:gridCol w:w="3240"/>
                  <w:gridCol w:w="181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Martina Arco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caso de uso representa la búsqueda de una empresa para contratar y que realice el traslado.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agente que inicia este caso de uso es 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caso de uso se inicia con u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cliente que quiere encontrar una empresa a la que quiere contratar para un traslado de mercadería deseado.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ejecutar este caso, se debe cumplir previamente que el cliente deberá iniciar sesión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acceder a esta búsqueda y el sistema le mostrará las empresas más solicitadas como “bienvenido al sistema”.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finalizar de ejecutar este caso, el usuario encontrará la empresa que quiere contratar y se le mandará un mail para arreglar una entrevista.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98.0" w:type="dxa"/>
        <w:jc w:val="left"/>
        <w:tblInd w:w="0.0" w:type="dxa"/>
        <w:tblLayout w:type="fixed"/>
        <w:tblLook w:val="0000"/>
      </w:tblPr>
      <w:tblGrid>
        <w:gridCol w:w="648"/>
        <w:gridCol w:w="3780"/>
        <w:gridCol w:w="720"/>
        <w:gridCol w:w="4150"/>
        <w:tblGridChange w:id="0">
          <w:tblGrid>
            <w:gridCol w:w="648"/>
            <w:gridCol w:w="3780"/>
            <w:gridCol w:w="720"/>
            <w:gridCol w:w="415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los datos son correctos, logra entrar al sistema y se le muestra la lista de empresas disponibles que se encuentran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 la búsqueda por alcance, por tipo de mercadería, por tipo de contenedor, por tipo de traslado y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presiona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“Buscar”.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muestra al usuario la lista de empresas que cumple la condición de filtrado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escenarios secundarios.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requerimientos especiales.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34503" cy="44849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503" cy="448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4" w:top="3402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6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70"/>
      <w:tblGridChange w:id="0">
        <w:tblGrid>
          <w:gridCol w:w="2145"/>
          <w:gridCol w:w="2952"/>
          <w:gridCol w:w="1800"/>
          <w:gridCol w:w="217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36"/>
              <w:szCs w:val="36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36"/>
              <w:szCs w:val="36"/>
            </w:rPr>
            <w:drawing>
              <wp:inline distB="114300" distT="114300" distL="114300" distR="114300">
                <wp:extent cx="1228725" cy="609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Martina Arco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