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3BB0C" w14:textId="77777777" w:rsidR="00305541" w:rsidRDefault="00305541" w:rsidP="00305541">
      <w:pPr>
        <w:rPr>
          <w:rFonts w:ascii="Times New Roman" w:hAnsi="Times New Roman" w:cs="Times New Roman"/>
          <w:sz w:val="72"/>
          <w:szCs w:val="72"/>
        </w:rPr>
      </w:pPr>
    </w:p>
    <w:p w14:paraId="44ABA396" w14:textId="77777777" w:rsidR="00305541" w:rsidRDefault="00305541" w:rsidP="00305541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7D46F3">
        <w:rPr>
          <w:rFonts w:ascii="Times New Roman" w:hAnsi="Times New Roman" w:cs="Times New Roman"/>
          <w:sz w:val="96"/>
          <w:szCs w:val="96"/>
          <w:u w:val="single"/>
        </w:rPr>
        <w:t>MoSEI-32</w:t>
      </w:r>
    </w:p>
    <w:p w14:paraId="07AF7E5F" w14:textId="77777777" w:rsidR="00305541" w:rsidRDefault="00305541" w:rsidP="00305541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</w:p>
    <w:p w14:paraId="728FC3EC" w14:textId="54E94D10" w:rsidR="00305541" w:rsidRPr="007D46F3" w:rsidRDefault="00305541" w:rsidP="00305541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P</w:t>
      </w:r>
      <w:r w:rsidR="005B795C">
        <w:rPr>
          <w:rFonts w:ascii="Times New Roman" w:hAnsi="Times New Roman" w:cs="Times New Roman"/>
          <w:sz w:val="56"/>
          <w:szCs w:val="56"/>
        </w:rPr>
        <w:t>lan de acción</w:t>
      </w:r>
    </w:p>
    <w:p w14:paraId="105C2488" w14:textId="77777777" w:rsidR="00305541" w:rsidRDefault="00305541" w:rsidP="00305541">
      <w:pPr>
        <w:rPr>
          <w:rFonts w:ascii="Times New Roman" w:hAnsi="Times New Roman" w:cs="Times New Roman"/>
          <w:sz w:val="96"/>
          <w:szCs w:val="96"/>
        </w:rPr>
      </w:pPr>
    </w:p>
    <w:p w14:paraId="39F2292F" w14:textId="77777777" w:rsidR="00305541" w:rsidRDefault="00305541" w:rsidP="00305541">
      <w:pPr>
        <w:rPr>
          <w:rFonts w:ascii="Times New Roman" w:hAnsi="Times New Roman" w:cs="Times New Roman"/>
          <w:sz w:val="96"/>
          <w:szCs w:val="96"/>
        </w:rPr>
      </w:pPr>
    </w:p>
    <w:p w14:paraId="1A22B742" w14:textId="77777777" w:rsidR="00305541" w:rsidRDefault="00305541" w:rsidP="00305541">
      <w:pPr>
        <w:rPr>
          <w:rFonts w:ascii="Times New Roman" w:hAnsi="Times New Roman" w:cs="Times New Roman"/>
          <w:sz w:val="96"/>
          <w:szCs w:val="96"/>
        </w:rPr>
      </w:pPr>
    </w:p>
    <w:p w14:paraId="40DD27E2" w14:textId="77777777" w:rsidR="00305541" w:rsidRDefault="00305541" w:rsidP="00305541">
      <w:pPr>
        <w:rPr>
          <w:rFonts w:ascii="Times New Roman" w:hAnsi="Times New Roman" w:cs="Times New Roman"/>
          <w:sz w:val="96"/>
          <w:szCs w:val="96"/>
        </w:rPr>
      </w:pPr>
    </w:p>
    <w:p w14:paraId="7F4FD8D2" w14:textId="77777777" w:rsidR="00305541" w:rsidRDefault="00305541" w:rsidP="00305541">
      <w:pPr>
        <w:rPr>
          <w:rFonts w:ascii="Times New Roman" w:hAnsi="Times New Roman" w:cs="Times New Roman"/>
          <w:sz w:val="96"/>
          <w:szCs w:val="96"/>
        </w:rPr>
      </w:pPr>
    </w:p>
    <w:p w14:paraId="55FC5C9E" w14:textId="49879CB6" w:rsidR="006814F1" w:rsidRDefault="005B795C" w:rsidP="003055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Establece los procedimientos y medidas de respuesta para identificar, evaluar y mitigar amenazas y vulnerabilidad en el ecosistema IoT</w:t>
      </w:r>
    </w:p>
    <w:p w14:paraId="39860E20" w14:textId="77777777" w:rsidR="00DA1161" w:rsidRDefault="00DA1161" w:rsidP="00305541">
      <w:pPr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733453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8CC746" w14:textId="4AEEF5C4" w:rsidR="00DA1161" w:rsidRPr="00DA1161" w:rsidRDefault="00DA1161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A116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s-ES"/>
            </w:rPr>
            <w:t>Contenido</w:t>
          </w:r>
        </w:p>
        <w:p w14:paraId="52C58618" w14:textId="0231C8BF" w:rsidR="00DA1161" w:rsidRDefault="00DA1161">
          <w:fldSimple w:instr=" TOC \o &quot;1-3&quot; \h \z \u ">
            <w:r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14:paraId="237A1775" w14:textId="77777777" w:rsidR="00DA1161" w:rsidRDefault="00DA1161" w:rsidP="00DA11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C48657" w14:textId="77777777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192E0B3" w14:textId="77777777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DD90CE0" w14:textId="77777777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C1828D1" w14:textId="77777777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CC83F4A" w14:textId="77777777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CA7952" w14:textId="77777777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919585F" w14:textId="77777777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9F41CD0" w14:textId="77777777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C1A9D0A" w14:textId="77777777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47FF102" w14:textId="77777777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EAF5630" w14:textId="77777777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6EF210D" w14:textId="77777777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7345831" w14:textId="77777777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681A25D" w14:textId="77777777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8DC280B" w14:textId="77777777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C413355" w14:textId="77777777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37AB14" w14:textId="77777777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FEF6FAE" w14:textId="77777777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47530E1" w14:textId="77777777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E6FDE2E" w14:textId="77777777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ABF4F1E" w14:textId="77777777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E7A4FA4" w14:textId="0CA96CFA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Introducción</w:t>
      </w:r>
    </w:p>
    <w:p w14:paraId="09325911" w14:textId="3752471C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Objetivo</w:t>
      </w:r>
    </w:p>
    <w:p w14:paraId="2064503F" w14:textId="01F28891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Alcance</w:t>
      </w:r>
    </w:p>
    <w:p w14:paraId="2252B59C" w14:textId="77DC74AF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Roles y responsabilidades generales</w:t>
      </w:r>
    </w:p>
    <w:p w14:paraId="33791A2D" w14:textId="3B767183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Evaluación de riesgos y clasificación de amenazas</w:t>
      </w:r>
    </w:p>
    <w:p w14:paraId="36EE48C6" w14:textId="7CC649D7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Medidas preventivas y de protección</w:t>
      </w:r>
    </w:p>
    <w:p w14:paraId="0050F525" w14:textId="32C297D1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Detección de incidentes</w:t>
      </w:r>
    </w:p>
    <w:p w14:paraId="34B62C11" w14:textId="39FBF3FF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Respuesta de contención ante incidentes</w:t>
      </w:r>
    </w:p>
    <w:p w14:paraId="3E3B989B" w14:textId="00403CC5" w:rsidR="00DD039F" w:rsidRDefault="00DD039F" w:rsidP="00DA11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Procedimientos de respuesta a incidentes</w:t>
      </w:r>
    </w:p>
    <w:p w14:paraId="66E2F963" w14:textId="27881243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Comunicación y notificación de incidentes</w:t>
      </w:r>
    </w:p>
    <w:p w14:paraId="409CC317" w14:textId="48891894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Plan de recuperación </w:t>
      </w:r>
      <w:proofErr w:type="spellStart"/>
      <w:r>
        <w:rPr>
          <w:rFonts w:ascii="Times New Roman" w:hAnsi="Times New Roman" w:cs="Times New Roman"/>
          <w:sz w:val="32"/>
          <w:szCs w:val="32"/>
        </w:rPr>
        <w:t>post-incidente</w:t>
      </w:r>
      <w:proofErr w:type="spellEnd"/>
    </w:p>
    <w:p w14:paraId="68F3D906" w14:textId="1360BCD0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Documentación y analisis </w:t>
      </w:r>
      <w:proofErr w:type="spellStart"/>
      <w:r>
        <w:rPr>
          <w:rFonts w:ascii="Times New Roman" w:hAnsi="Times New Roman" w:cs="Times New Roman"/>
          <w:sz w:val="32"/>
          <w:szCs w:val="32"/>
        </w:rPr>
        <w:t>post-incidente</w:t>
      </w:r>
      <w:proofErr w:type="spellEnd"/>
    </w:p>
    <w:p w14:paraId="627074F5" w14:textId="3E50BB41" w:rsidR="00BF0815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Monitoreo continuo y preventivo</w:t>
      </w:r>
    </w:p>
    <w:p w14:paraId="5B1D4B91" w14:textId="77777777" w:rsidR="00BF0815" w:rsidRPr="00305541" w:rsidRDefault="00BF0815" w:rsidP="00DA1161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BF0815" w:rsidRPr="00305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E7"/>
    <w:rsid w:val="00014C50"/>
    <w:rsid w:val="001320EE"/>
    <w:rsid w:val="00305541"/>
    <w:rsid w:val="005B795C"/>
    <w:rsid w:val="006814F1"/>
    <w:rsid w:val="007959E7"/>
    <w:rsid w:val="00BF0815"/>
    <w:rsid w:val="00C94435"/>
    <w:rsid w:val="00DA1161"/>
    <w:rsid w:val="00DD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6388"/>
  <w15:chartTrackingRefBased/>
  <w15:docId w15:val="{EEE8C4E7-0E4F-42D6-A24B-B6E74D4C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41"/>
  </w:style>
  <w:style w:type="paragraph" w:styleId="Ttulo1">
    <w:name w:val="heading 1"/>
    <w:basedOn w:val="Normal"/>
    <w:next w:val="Normal"/>
    <w:link w:val="Ttulo1Car"/>
    <w:uiPriority w:val="9"/>
    <w:qFormat/>
    <w:rsid w:val="00795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5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5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5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5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5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5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5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5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5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5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5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59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59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59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59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59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59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5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5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5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5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5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59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59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59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5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59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59E7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DA1161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VALDEZ ANDRES</dc:creator>
  <cp:keywords/>
  <dc:description/>
  <cp:lastModifiedBy>ELIAS VALDEZ ANDRES</cp:lastModifiedBy>
  <cp:revision>5</cp:revision>
  <dcterms:created xsi:type="dcterms:W3CDTF">2024-11-07T12:12:00Z</dcterms:created>
  <dcterms:modified xsi:type="dcterms:W3CDTF">2024-11-07T13:31:00Z</dcterms:modified>
</cp:coreProperties>
</file>