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ANÁLISE DE PONTOS DE FUNÇÃO</w:t>
      </w:r>
    </w:p>
    <w:p>
      <w:pPr>
        <w:jc w:val="center"/>
      </w:pPr>
      <w:r>
        <w:rPr>
          <w:sz w:val="32"/>
        </w:rPr>
        <w:t>Sistema de Cotação Automatizada de Preços</w:t>
      </w:r>
    </w:p>
    <w:p/>
    <w:p>
      <w:pPr>
        <w:jc w:val="center"/>
      </w:pPr>
      <w:r>
        <w:rPr>
          <w:sz w:val="28"/>
        </w:rPr>
        <w:t>Reavaliação Patrimonial para Órgãos Públicos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Versão: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4703"/>
          </w:tcPr>
          <w:p>
            <w:r>
              <w:t>12/12/2025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Metodologia:</w:t>
            </w:r>
          </w:p>
        </w:tc>
        <w:tc>
          <w:tcPr>
            <w:tcW w:type="dxa" w:w="4703"/>
          </w:tcPr>
          <w:p>
            <w:r>
              <w:t>IFPUG CPM 4.3.1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Tipo de Contagem:</w:t>
            </w:r>
          </w:p>
        </w:tc>
        <w:tc>
          <w:tcPr>
            <w:tcW w:type="dxa" w:w="4703"/>
          </w:tcPr>
          <w:p>
            <w:r>
              <w:t>Contagem Detalhada</w:t>
            </w:r>
          </w:p>
        </w:tc>
      </w:tr>
    </w:tbl>
    <w:p>
      <w:r>
        <w:br w:type="page"/>
      </w:r>
    </w:p>
    <w:p>
      <w:pPr>
        <w:pStyle w:val="Heading1"/>
      </w:pPr>
      <w:r>
        <w:t>1. SUMÁRIO EXECUTIVO</w:t>
      </w:r>
    </w:p>
    <w:p>
      <w:pPr>
        <w:pStyle w:val="Heading2"/>
      </w:pPr>
      <w:r>
        <w:t>1.1 Objetivo do Documento</w:t>
      </w:r>
    </w:p>
    <w:p>
      <w:r>
        <w:t>Este documento apresenta a Análise de Pontos de Função (APF) do Sistema de Cotação Automatizada de Preços, utilizando a metodologia IFPUG. A contagem considera todas as funcionalidades do backend, frontend e infraestrutura necessárias para operação do sistema.</w:t>
      </w:r>
    </w:p>
    <w:p>
      <w:pPr>
        <w:pStyle w:val="Heading2"/>
      </w:pPr>
      <w:r>
        <w:t>1.2 Visão Geral do Sistema</w:t>
      </w:r>
    </w:p>
    <w:p>
      <w:r>
        <w:t>O sistema automatiza o processo de pesquisa e cotação de preços de mercado para fins de reavaliação patrimonial de órgãos públicos brasileiros. Utiliza Inteligência Artificial (Claude/Anthropic) e Web Scraping para analisar produtos e coletar preços automaticamente.</w:t>
      </w:r>
    </w:p>
    <w:p>
      <w:pPr>
        <w:pStyle w:val="Heading2"/>
      </w:pPr>
      <w:r>
        <w:t>1.3 Resultado da Contagem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Pontos de Função Brutos (Backend)</w:t>
            </w:r>
          </w:p>
        </w:tc>
        <w:tc>
          <w:tcPr>
            <w:tcW w:type="dxa" w:w="4703"/>
          </w:tcPr>
          <w:p>
            <w:r>
              <w:t>459 PF</w:t>
            </w:r>
          </w:p>
        </w:tc>
      </w:tr>
      <w:tr>
        <w:tc>
          <w:tcPr>
            <w:tcW w:type="dxa" w:w="4703"/>
          </w:tcPr>
          <w:p>
            <w:r>
              <w:t>Pontos de Função (Frontend + Infra + Serviços)</w:t>
            </w:r>
          </w:p>
        </w:tc>
        <w:tc>
          <w:tcPr>
            <w:tcW w:type="dxa" w:w="4703"/>
          </w:tcPr>
          <w:p>
            <w:r>
              <w:t>229 PF</w:t>
            </w:r>
          </w:p>
        </w:tc>
      </w:tr>
      <w:tr>
        <w:tc>
          <w:tcPr>
            <w:tcW w:type="dxa" w:w="4703"/>
          </w:tcPr>
          <w:p>
            <w:r>
              <w:t>Total Pontos de Função Brutos</w:t>
            </w:r>
          </w:p>
        </w:tc>
        <w:tc>
          <w:tcPr>
            <w:tcW w:type="dxa" w:w="4703"/>
          </w:tcPr>
          <w:p>
            <w:r>
              <w:t>688 PF</w:t>
            </w:r>
          </w:p>
        </w:tc>
      </w:tr>
      <w:tr>
        <w:tc>
          <w:tcPr>
            <w:tcW w:type="dxa" w:w="4703"/>
          </w:tcPr>
          <w:p>
            <w:r>
              <w:t>Fator de Ajuste (VAF)</w:t>
            </w:r>
          </w:p>
        </w:tc>
        <w:tc>
          <w:tcPr>
            <w:tcW w:type="dxa" w:w="4703"/>
          </w:tcPr>
          <w:p>
            <w:r>
              <w:t>1.11</w:t>
            </w:r>
          </w:p>
        </w:tc>
      </w:tr>
      <w:tr>
        <w:tc>
          <w:tcPr>
            <w:tcW w:type="dxa" w:w="4703"/>
            <w:shd w:fill="D9E2F3"/>
          </w:tcPr>
          <w:p>
            <w:r>
              <w:rPr>
                <w:b/>
              </w:rPr>
              <w:t>PONTOS DE FUNÇÃO AJUSTADOS</w:t>
            </w:r>
          </w:p>
        </w:tc>
        <w:tc>
          <w:tcPr>
            <w:tcW w:type="dxa" w:w="4703"/>
            <w:shd w:fill="D9E2F3"/>
          </w:tcPr>
          <w:p>
            <w:r>
              <w:rPr>
                <w:b/>
              </w:rPr>
              <w:t>764 PF</w:t>
            </w:r>
          </w:p>
        </w:tc>
      </w:tr>
    </w:tbl>
    <w:p/>
    <w:p>
      <w:pPr>
        <w:pStyle w:val="Heading2"/>
      </w:pPr>
      <w:r>
        <w:t>1.4 Distribuição por Camada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Pontos de Função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Percentual</w:t>
            </w:r>
          </w:p>
        </w:tc>
      </w:tr>
      <w:tr>
        <w:tc>
          <w:tcPr>
            <w:tcW w:type="dxa" w:w="3135"/>
          </w:tcPr>
          <w:p>
            <w:r>
              <w:t>Backend (APIs + ALI/AIE)</w:t>
            </w:r>
          </w:p>
        </w:tc>
        <w:tc>
          <w:tcPr>
            <w:tcW w:type="dxa" w:w="3135"/>
          </w:tcPr>
          <w:p>
            <w:r>
              <w:t>459</w:t>
            </w:r>
          </w:p>
        </w:tc>
        <w:tc>
          <w:tcPr>
            <w:tcW w:type="dxa" w:w="3135"/>
          </w:tcPr>
          <w:p>
            <w:r>
              <w:t>66.7%</w:t>
            </w:r>
          </w:p>
        </w:tc>
      </w:tr>
      <w:tr>
        <w:tc>
          <w:tcPr>
            <w:tcW w:type="dxa" w:w="3135"/>
          </w:tcPr>
          <w:p>
            <w:r>
              <w:t>Backend (Serviços)</w:t>
            </w:r>
          </w:p>
        </w:tc>
        <w:tc>
          <w:tcPr>
            <w:tcW w:type="dxa" w:w="3135"/>
          </w:tcPr>
          <w:p>
            <w:r>
              <w:t>48</w:t>
            </w:r>
          </w:p>
        </w:tc>
        <w:tc>
          <w:tcPr>
            <w:tcW w:type="dxa" w:w="3135"/>
          </w:tcPr>
          <w:p>
            <w:r>
              <w:t>7.0%</w:t>
            </w:r>
          </w:p>
        </w:tc>
      </w:tr>
      <w:tr>
        <w:tc>
          <w:tcPr>
            <w:tcW w:type="dxa" w:w="3135"/>
          </w:tcPr>
          <w:p>
            <w:r>
              <w:t>Frontend (Telas)</w:t>
            </w:r>
          </w:p>
        </w:tc>
        <w:tc>
          <w:tcPr>
            <w:tcW w:type="dxa" w:w="3135"/>
          </w:tcPr>
          <w:p>
            <w:r>
              <w:t>131</w:t>
            </w:r>
          </w:p>
        </w:tc>
        <w:tc>
          <w:tcPr>
            <w:tcW w:type="dxa" w:w="3135"/>
          </w:tcPr>
          <w:p>
            <w:r>
              <w:t>19.0%</w:t>
            </w:r>
          </w:p>
        </w:tc>
      </w:tr>
      <w:tr>
        <w:tc>
          <w:tcPr>
            <w:tcW w:type="dxa" w:w="3135"/>
          </w:tcPr>
          <w:p>
            <w:r>
              <w:t>Infraestrutura</w:t>
            </w:r>
          </w:p>
        </w:tc>
        <w:tc>
          <w:tcPr>
            <w:tcW w:type="dxa" w:w="3135"/>
          </w:tcPr>
          <w:p>
            <w:r>
              <w:t>50</w:t>
            </w:r>
          </w:p>
        </w:tc>
        <w:tc>
          <w:tcPr>
            <w:tcW w:type="dxa" w:w="3135"/>
          </w:tcPr>
          <w:p>
            <w:r>
              <w:t>7.3%</w:t>
            </w:r>
          </w:p>
        </w:tc>
      </w:tr>
    </w:tbl>
    <w:p/>
    <w:p>
      <w:pPr>
        <w:pStyle w:val="Heading2"/>
      </w:pPr>
      <w:r>
        <w:t>1.5 Estimativa de Esforço</w:t>
      </w:r>
    </w:p>
    <w:p>
      <w:r>
        <w:t>Com base nos Pontos de Função ajustados e produtividade média de mercado: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Horas/PF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Esforço Total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Homem-Mês</w:t>
            </w:r>
          </w:p>
        </w:tc>
      </w:tr>
      <w:tr>
        <w:tc>
          <w:tcPr>
            <w:tcW w:type="dxa" w:w="2351"/>
          </w:tcPr>
          <w:p>
            <w:r>
              <w:t>Otimista</w:t>
            </w:r>
          </w:p>
        </w:tc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7,640 h</w:t>
            </w:r>
          </w:p>
        </w:tc>
        <w:tc>
          <w:tcPr>
            <w:tcW w:type="dxa" w:w="2351"/>
          </w:tcPr>
          <w:p>
            <w:r>
              <w:t>43.4 HM</w:t>
            </w:r>
          </w:p>
        </w:tc>
      </w:tr>
      <w:tr>
        <w:tc>
          <w:tcPr>
            <w:tcW w:type="dxa" w:w="2351"/>
          </w:tcPr>
          <w:p>
            <w:r>
              <w:t>Realista</w:t>
            </w:r>
          </w:p>
        </w:tc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10,696 h</w:t>
            </w:r>
          </w:p>
        </w:tc>
        <w:tc>
          <w:tcPr>
            <w:tcW w:type="dxa" w:w="2351"/>
          </w:tcPr>
          <w:p>
            <w:r>
              <w:t>60.8 HM</w:t>
            </w:r>
          </w:p>
        </w:tc>
      </w:tr>
      <w:tr>
        <w:tc>
          <w:tcPr>
            <w:tcW w:type="dxa" w:w="2351"/>
          </w:tcPr>
          <w:p>
            <w:r>
              <w:t>Pessimista</w:t>
            </w:r>
          </w:p>
        </w:tc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13,752 h</w:t>
            </w:r>
          </w:p>
        </w:tc>
        <w:tc>
          <w:tcPr>
            <w:tcW w:type="dxa" w:w="2351"/>
          </w:tcPr>
          <w:p>
            <w:r>
              <w:t>78.1 HM</w:t>
            </w:r>
          </w:p>
        </w:tc>
      </w:tr>
    </w:tbl>
    <w:p/>
    <w:p>
      <w:pPr>
        <w:pStyle w:val="Heading2"/>
      </w:pPr>
      <w:r>
        <w:t>1.6 Estimativa de Custo</w:t>
      </w:r>
    </w:p>
    <w:p>
      <w:r>
        <w:t>Considerando valores médios de mercado para equipe de desenvolvimento: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Cenário Realista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135"/>
          </w:tcPr>
          <w:p>
            <w:r>
              <w:t>Esforço</w:t>
            </w:r>
          </w:p>
        </w:tc>
        <w:tc>
          <w:tcPr>
            <w:tcW w:type="dxa" w:w="3135"/>
          </w:tcPr>
          <w:p>
            <w:r>
              <w:t>10,696 horas</w:t>
            </w:r>
          </w:p>
        </w:tc>
        <w:tc>
          <w:tcPr>
            <w:tcW w:type="dxa" w:w="3135"/>
          </w:tcPr>
          <w:p>
            <w:r>
              <w:t>60.8 Homem-Mês</w:t>
            </w:r>
          </w:p>
        </w:tc>
      </w:tr>
      <w:tr>
        <w:tc>
          <w:tcPr>
            <w:tcW w:type="dxa" w:w="3135"/>
          </w:tcPr>
          <w:p>
            <w:r>
              <w:t>Custo Hora Médio</w:t>
            </w:r>
          </w:p>
        </w:tc>
        <w:tc>
          <w:tcPr>
            <w:tcW w:type="dxa" w:w="3135"/>
          </w:tcPr>
          <w:p>
            <w:r>
              <w:t>R$ 150,00</w:t>
            </w:r>
          </w:p>
        </w:tc>
        <w:tc>
          <w:tcPr>
            <w:tcW w:type="dxa" w:w="3135"/>
          </w:tcPr>
          <w:p>
            <w:r>
              <w:t>Média mercado BR</w:t>
            </w:r>
          </w:p>
        </w:tc>
      </w:tr>
      <w:tr>
        <w:tc>
          <w:tcPr>
            <w:tcW w:type="dxa" w:w="3135"/>
          </w:tcPr>
          <w:p>
            <w:r>
              <w:t>Custo Desenvolvimento</w:t>
            </w:r>
          </w:p>
        </w:tc>
        <w:tc>
          <w:tcPr>
            <w:tcW w:type="dxa" w:w="3135"/>
          </w:tcPr>
          <w:p>
            <w:r>
              <w:t>R$ 1,604,400.00</w:t>
            </w:r>
          </w:p>
        </w:tc>
        <w:tc>
          <w:tcPr>
            <w:tcW w:type="dxa" w:w="3135"/>
          </w:tcPr>
          <w:p>
            <w:r>
              <w:t>Equipe multidisciplinar</w:t>
            </w:r>
          </w:p>
        </w:tc>
      </w:tr>
      <w:tr>
        <w:tc>
          <w:tcPr>
            <w:tcW w:type="dxa" w:w="3135"/>
            <w:shd w:fill="E2EFDA"/>
          </w:tcPr>
          <w:p>
            <w:r>
              <w:rPr>
                <w:b/>
              </w:rPr>
              <w:t>Custo Total Estimado</w:t>
            </w:r>
          </w:p>
        </w:tc>
        <w:tc>
          <w:tcPr>
            <w:tcW w:type="dxa" w:w="3135"/>
            <w:shd w:fill="E2EFDA"/>
          </w:tcPr>
          <w:p>
            <w:r>
              <w:rPr>
                <w:b/>
              </w:rPr>
              <w:t>R$ 1,925,280.00</w:t>
            </w:r>
          </w:p>
        </w:tc>
        <w:tc>
          <w:tcPr>
            <w:tcW w:type="dxa" w:w="3135"/>
            <w:shd w:fill="E2EFDA"/>
          </w:tcPr>
          <w:p>
            <w:r>
              <w:rPr>
                <w:b/>
              </w:rPr>
              <w:t>+20% contingência</w:t>
            </w:r>
          </w:p>
        </w:tc>
      </w:tr>
    </w:tbl>
    <w:p>
      <w:r>
        <w:br w:type="page"/>
      </w:r>
    </w:p>
    <w:p>
      <w:pPr>
        <w:pStyle w:val="Heading1"/>
      </w:pPr>
      <w:r>
        <w:t>2. DETALHAMENTO DA CONTAGEM</w:t>
      </w:r>
    </w:p>
    <w:p>
      <w:pPr>
        <w:pStyle w:val="Heading2"/>
      </w:pPr>
      <w:r>
        <w:t>2.1 Arquivos Lógicos Internos (ALI)</w:t>
      </w:r>
    </w:p>
    <w:p>
      <w:r>
        <w:t>Total: 20 entidades = 168 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DER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Complexidade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PF</w:t>
            </w:r>
          </w:p>
        </w:tc>
      </w:tr>
      <w:tr>
        <w:tc>
          <w:tcPr>
            <w:tcW w:type="dxa" w:w="2351"/>
          </w:tcPr>
          <w:p>
            <w:r>
              <w:t>Client (Clientes)</w:t>
            </w:r>
          </w:p>
        </w:tc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Project (Projetos)</w:t>
            </w:r>
          </w:p>
        </w:tc>
        <w:tc>
          <w:tcPr>
            <w:tcW w:type="dxa" w:w="2351"/>
          </w:tcPr>
          <w:p>
            <w:r>
              <w:t>16</w:t>
            </w:r>
          </w:p>
        </w:tc>
        <w:tc>
          <w:tcPr>
            <w:tcW w:type="dxa" w:w="2351"/>
          </w:tcPr>
          <w:p>
            <w:r>
              <w:t>Média</w:t>
            </w:r>
          </w:p>
        </w:tc>
        <w:tc>
          <w:tcPr>
            <w:tcW w:type="dxa" w:w="2351"/>
          </w:tcPr>
          <w:p>
            <w:r>
              <w:t>10</w:t>
            </w:r>
          </w:p>
        </w:tc>
      </w:tr>
      <w:tr>
        <w:tc>
          <w:tcPr>
            <w:tcW w:type="dxa" w:w="2351"/>
          </w:tcPr>
          <w:p>
            <w:r>
              <w:t>QuoteRequest (Cotações)</w:t>
            </w:r>
          </w:p>
        </w:tc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15</w:t>
            </w:r>
          </w:p>
        </w:tc>
      </w:tr>
      <w:tr>
        <w:tc>
          <w:tcPr>
            <w:tcW w:type="dxa" w:w="2351"/>
          </w:tcPr>
          <w:p>
            <w:r>
              <w:t>QuoteSource (Fontes de Preço)</w:t>
            </w:r>
          </w:p>
        </w:tc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Material (Materiais)</w:t>
            </w:r>
          </w:p>
        </w:tc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Média</w:t>
            </w:r>
          </w:p>
        </w:tc>
        <w:tc>
          <w:tcPr>
            <w:tcW w:type="dxa" w:w="2351"/>
          </w:tcPr>
          <w:p>
            <w:r>
              <w:t>10</w:t>
            </w:r>
          </w:p>
        </w:tc>
      </w:tr>
      <w:tr>
        <w:tc>
          <w:tcPr>
            <w:tcW w:type="dxa" w:w="2351"/>
          </w:tcPr>
          <w:p>
            <w:r>
              <w:t>MaterialCharacteristic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CharacteristicType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Item (Itens Patrimônio)</w:t>
            </w:r>
          </w:p>
        </w:tc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Média</w:t>
            </w:r>
          </w:p>
        </w:tc>
        <w:tc>
          <w:tcPr>
            <w:tcW w:type="dxa" w:w="2351"/>
          </w:tcPr>
          <w:p>
            <w:r>
              <w:t>10</w:t>
            </w:r>
          </w:p>
        </w:tc>
      </w:tr>
      <w:tr>
        <w:tc>
          <w:tcPr>
            <w:tcW w:type="dxa" w:w="2351"/>
          </w:tcPr>
          <w:p>
            <w:r>
              <w:t>ItemCharacteristic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User (Usuários)</w:t>
            </w:r>
          </w:p>
        </w:tc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ProjectConfigVersion</w:t>
            </w:r>
          </w:p>
        </w:tc>
        <w:tc>
          <w:tcPr>
            <w:tcW w:type="dxa" w:w="2351"/>
          </w:tcPr>
          <w:p>
            <w:r>
              <w:t>22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15</w:t>
            </w:r>
          </w:p>
        </w:tc>
      </w:tr>
      <w:tr>
        <w:tc>
          <w:tcPr>
            <w:tcW w:type="dxa" w:w="2351"/>
          </w:tcPr>
          <w:p>
            <w:r>
              <w:t>ProjectBankPrice</w:t>
            </w:r>
          </w:p>
        </w:tc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FinancialTransaction</w:t>
            </w:r>
          </w:p>
        </w:tc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Média</w:t>
            </w:r>
          </w:p>
        </w:tc>
        <w:tc>
          <w:tcPr>
            <w:tcW w:type="dxa" w:w="2351"/>
          </w:tcPr>
          <w:p>
            <w:r>
              <w:t>10</w:t>
            </w:r>
          </w:p>
        </w:tc>
      </w:tr>
      <w:tr>
        <w:tc>
          <w:tcPr>
            <w:tcW w:type="dxa" w:w="2351"/>
          </w:tcPr>
          <w:p>
            <w:r>
              <w:t>ApiCostConfig</w:t>
            </w:r>
          </w:p>
        </w:tc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BankPrice (Banco Preços)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RevaluationParam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Setting (Configurações)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IntegrationSetting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File (Arquivos)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GeneratedDocument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</w:tbl>
    <w:p/>
    <w:p>
      <w:pPr>
        <w:pStyle w:val="Heading2"/>
      </w:pPr>
      <w:r>
        <w:t>2.2 Arquivos de Interface Externa (AIE)</w:t>
      </w:r>
    </w:p>
    <w:p>
      <w:r>
        <w:t>Total: 3 integrações = 19 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DER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Complexidade</w:t>
            </w:r>
          </w:p>
        </w:tc>
        <w:tc>
          <w:tcPr>
            <w:tcW w:type="dxa" w:w="2351"/>
            <w:shd w:fill="4472C4"/>
          </w:tcPr>
          <w:p>
            <w:r>
              <w:rPr>
                <w:b/>
                <w:color w:val="FFFFFF"/>
              </w:rPr>
              <w:t>PF</w:t>
            </w:r>
          </w:p>
        </w:tc>
      </w:tr>
      <w:tr>
        <w:tc>
          <w:tcPr>
            <w:tcW w:type="dxa" w:w="2351"/>
          </w:tcPr>
          <w:p>
            <w:r>
              <w:t>API Anthropic (Claude AI)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Média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  <w:tr>
        <w:tc>
          <w:tcPr>
            <w:tcW w:type="dxa" w:w="2351"/>
          </w:tcPr>
          <w:p>
            <w:r>
              <w:t>API SerpAPI (Google Shopping)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Baixa</w:t>
            </w:r>
          </w:p>
        </w:tc>
        <w:tc>
          <w:tcPr>
            <w:tcW w:type="dxa" w:w="2351"/>
          </w:tcPr>
          <w:p>
            <w:r>
              <w:t>5</w:t>
            </w:r>
          </w:p>
        </w:tc>
      </w:tr>
      <w:tr>
        <w:tc>
          <w:tcPr>
            <w:tcW w:type="dxa" w:w="2351"/>
          </w:tcPr>
          <w:p>
            <w:r>
              <w:t>Páginas Web (Scraping)</w:t>
            </w:r>
          </w:p>
        </w:tc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Média</w:t>
            </w:r>
          </w:p>
        </w:tc>
        <w:tc>
          <w:tcPr>
            <w:tcW w:type="dxa" w:w="2351"/>
          </w:tcPr>
          <w:p>
            <w:r>
              <w:t>7</w:t>
            </w:r>
          </w:p>
        </w:tc>
      </w:tr>
    </w:tbl>
    <w:p/>
    <w:p>
      <w:pPr>
        <w:pStyle w:val="Heading2"/>
      </w:pPr>
      <w:r>
        <w:t>2.3 Funções de Transação (Backend)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Quantidade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Pontos de Função</w:t>
            </w:r>
          </w:p>
        </w:tc>
      </w:tr>
      <w:tr>
        <w:tc>
          <w:tcPr>
            <w:tcW w:type="dxa" w:w="3135"/>
          </w:tcPr>
          <w:p>
            <w:r>
              <w:t>Entradas Externas (EE)</w:t>
            </w:r>
          </w:p>
        </w:tc>
        <w:tc>
          <w:tcPr>
            <w:tcW w:type="dxa" w:w="3135"/>
          </w:tcPr>
          <w:p>
            <w:r>
              <w:t>34</w:t>
            </w:r>
          </w:p>
        </w:tc>
        <w:tc>
          <w:tcPr>
            <w:tcW w:type="dxa" w:w="3135"/>
          </w:tcPr>
          <w:p>
            <w:r>
              <w:t>128</w:t>
            </w:r>
          </w:p>
        </w:tc>
      </w:tr>
      <w:tr>
        <w:tc>
          <w:tcPr>
            <w:tcW w:type="dxa" w:w="3135"/>
          </w:tcPr>
          <w:p>
            <w:r>
              <w:t>Saídas Externas (SE)</w:t>
            </w:r>
          </w:p>
        </w:tc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47</w:t>
            </w:r>
          </w:p>
        </w:tc>
      </w:tr>
      <w:tr>
        <w:tc>
          <w:tcPr>
            <w:tcW w:type="dxa" w:w="3135"/>
          </w:tcPr>
          <w:p>
            <w:r>
              <w:t>Consultas Externas (CE)</w:t>
            </w:r>
          </w:p>
        </w:tc>
        <w:tc>
          <w:tcPr>
            <w:tcW w:type="dxa" w:w="3135"/>
          </w:tcPr>
          <w:p>
            <w:r>
              <w:t>27</w:t>
            </w:r>
          </w:p>
        </w:tc>
        <w:tc>
          <w:tcPr>
            <w:tcW w:type="dxa" w:w="3135"/>
          </w:tcPr>
          <w:p>
            <w:r>
              <w:t>97</w:t>
            </w:r>
          </w:p>
        </w:tc>
      </w:tr>
    </w:tbl>
    <w:p/>
    <w:p>
      <w:pPr>
        <w:pStyle w:val="Heading2"/>
      </w:pPr>
      <w:r>
        <w:t>2.4 Frontend e Infraestrutura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Quantidade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</w:rPr>
              <w:t>Pontos de Função</w:t>
            </w:r>
          </w:p>
        </w:tc>
      </w:tr>
      <w:tr>
        <w:tc>
          <w:tcPr>
            <w:tcW w:type="dxa" w:w="3135"/>
          </w:tcPr>
          <w:p>
            <w:r>
              <w:t>Telas e Componentes Frontend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131</w:t>
            </w:r>
          </w:p>
        </w:tc>
      </w:tr>
      <w:tr>
        <w:tc>
          <w:tcPr>
            <w:tcW w:type="dxa" w:w="3135"/>
          </w:tcPr>
          <w:p>
            <w:r>
              <w:t>Serviços Backend</w:t>
            </w:r>
          </w:p>
        </w:tc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48</w:t>
            </w:r>
          </w:p>
        </w:tc>
      </w:tr>
      <w:tr>
        <w:tc>
          <w:tcPr>
            <w:tcW w:type="dxa" w:w="3135"/>
          </w:tcPr>
          <w:p>
            <w:r>
              <w:t>Componentes Infraestrutura</w:t>
            </w:r>
          </w:p>
        </w:tc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50</w:t>
            </w:r>
          </w:p>
        </w:tc>
      </w:tr>
    </w:tbl>
    <w:p>
      <w:r>
        <w:br w:type="page"/>
      </w:r>
    </w:p>
    <w:p>
      <w:pPr>
        <w:pStyle w:val="Heading1"/>
      </w:pPr>
      <w:r>
        <w:t>3. STACK TECNOLÓGICO</w:t>
      </w:r>
    </w:p>
    <w:p>
      <w:pPr>
        <w:pStyle w:val="Heading2"/>
      </w:pPr>
      <w:r>
        <w:t>3.1 Backend</w:t>
      </w:r>
    </w:p>
    <w:p>
      <w:pPr>
        <w:pStyle w:val="ListBullet"/>
      </w:pPr>
      <w:r>
        <w:t>• Python 3.11+ (Linguagem principal)</w:t>
      </w:r>
    </w:p>
    <w:p>
      <w:pPr>
        <w:pStyle w:val="ListBullet"/>
      </w:pPr>
      <w:r>
        <w:t>• FastAPI 0.109.0 (Framework web)</w:t>
      </w:r>
    </w:p>
    <w:p>
      <w:pPr>
        <w:pStyle w:val="ListBullet"/>
      </w:pPr>
      <w:r>
        <w:t>• SQLAlchemy 2.0.25 (ORM)</w:t>
      </w:r>
    </w:p>
    <w:p>
      <w:pPr>
        <w:pStyle w:val="ListBullet"/>
      </w:pPr>
      <w:r>
        <w:t>• PostgreSQL 15 (Banco de dados)</w:t>
      </w:r>
    </w:p>
    <w:p>
      <w:pPr>
        <w:pStyle w:val="ListBullet"/>
      </w:pPr>
      <w:r>
        <w:t>• Celery 5.3.6 (Processamento assíncrono)</w:t>
      </w:r>
    </w:p>
    <w:p>
      <w:pPr>
        <w:pStyle w:val="ListBullet"/>
      </w:pPr>
      <w:r>
        <w:t>• Redis 7 (Message broker)</w:t>
      </w:r>
    </w:p>
    <w:p>
      <w:pPr>
        <w:pStyle w:val="ListBullet"/>
      </w:pPr>
      <w:r>
        <w:t>• Playwright 1.41.0 (Web scraping)</w:t>
      </w:r>
    </w:p>
    <w:p>
      <w:pPr>
        <w:pStyle w:val="ListBullet"/>
      </w:pPr>
      <w:r>
        <w:t>• Anthropic SDK 0.18.1 (Claude AI)</w:t>
      </w:r>
    </w:p>
    <w:p>
      <w:pPr>
        <w:pStyle w:val="Heading2"/>
      </w:pPr>
      <w:r>
        <w:t>3.2 Frontend</w:t>
      </w:r>
    </w:p>
    <w:p>
      <w:pPr>
        <w:pStyle w:val="ListBullet"/>
      </w:pPr>
      <w:r>
        <w:t>• Next.js 14.1.0 (Framework React)</w:t>
      </w:r>
    </w:p>
    <w:p>
      <w:pPr>
        <w:pStyle w:val="ListBullet"/>
      </w:pPr>
      <w:r>
        <w:t>• React 18.2.0 (UI Library)</w:t>
      </w:r>
    </w:p>
    <w:p>
      <w:pPr>
        <w:pStyle w:val="ListBullet"/>
      </w:pPr>
      <w:r>
        <w:t>• TypeScript 5.3.3 (Linguagem)</w:t>
      </w:r>
    </w:p>
    <w:p>
      <w:pPr>
        <w:pStyle w:val="ListBullet"/>
      </w:pPr>
      <w:r>
        <w:t>• Tailwind CSS 3.4.1 (Estilização)</w:t>
      </w:r>
    </w:p>
    <w:p>
      <w:pPr>
        <w:pStyle w:val="ListBullet"/>
      </w:pPr>
      <w:r>
        <w:t>• Axios 1.6.7 (Cliente HTTP)</w:t>
      </w:r>
    </w:p>
    <w:p>
      <w:pPr>
        <w:pStyle w:val="ListBullet"/>
      </w:pPr>
      <w:r>
        <w:t>• SWR 2.2.5 (Data fetching)</w:t>
      </w:r>
    </w:p>
    <w:p>
      <w:pPr>
        <w:pStyle w:val="Heading2"/>
      </w:pPr>
      <w:r>
        <w:t>3.3 Infraestrutura</w:t>
      </w:r>
    </w:p>
    <w:p>
      <w:pPr>
        <w:pStyle w:val="ListBullet"/>
      </w:pPr>
      <w:r>
        <w:t>• Docker + Docker Compose (Containerização)</w:t>
      </w:r>
    </w:p>
    <w:p>
      <w:pPr>
        <w:pStyle w:val="ListBullet"/>
      </w:pPr>
      <w:r>
        <w:t>• Alembic (Migrations de banco)</w:t>
      </w:r>
    </w:p>
    <w:p>
      <w:pPr>
        <w:pStyle w:val="ListBullet"/>
      </w:pPr>
      <w:r>
        <w:t>• bcrypt (Hash de senhas)</w:t>
      </w:r>
    </w:p>
    <w:p>
      <w:pPr>
        <w:pStyle w:val="ListBullet"/>
      </w:pPr>
      <w:r>
        <w:t>• cryptography (Criptografia de credenciais)</w:t>
      </w:r>
    </w:p>
    <w:p>
      <w:r>
        <w:br w:type="page"/>
      </w:r>
    </w:p>
    <w:p>
      <w:pPr>
        <w:pStyle w:val="Heading1"/>
      </w:pPr>
      <w:r>
        <w:t>4.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/>
          </w:tcPr>
          <w:p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4703"/>
            <w:shd w:fill="4472C4"/>
          </w:tcPr>
          <w:p>
            <w:r>
              <w:rPr>
                <w:b/>
                <w:color w:val="FFFFFF"/>
              </w:rPr>
              <w:t>Definição</w:t>
            </w:r>
          </w:p>
        </w:tc>
      </w:tr>
      <w:tr>
        <w:tc>
          <w:tcPr>
            <w:tcW w:type="dxa" w:w="4703"/>
          </w:tcPr>
          <w:p>
            <w:r>
              <w:t>ALI</w:t>
            </w:r>
          </w:p>
        </w:tc>
        <w:tc>
          <w:tcPr>
            <w:tcW w:type="dxa" w:w="4703"/>
          </w:tcPr>
          <w:p>
            <w:r>
              <w:t>Arquivo Lógico Interno - Dados mantidos pela aplicação</w:t>
            </w:r>
          </w:p>
        </w:tc>
      </w:tr>
      <w:tr>
        <w:tc>
          <w:tcPr>
            <w:tcW w:type="dxa" w:w="4703"/>
          </w:tcPr>
          <w:p>
            <w:r>
              <w:t>AIE</w:t>
            </w:r>
          </w:p>
        </w:tc>
        <w:tc>
          <w:tcPr>
            <w:tcW w:type="dxa" w:w="4703"/>
          </w:tcPr>
          <w:p>
            <w:r>
              <w:t>Arquivo de Interface Externa - Dados de sistemas externos</w:t>
            </w:r>
          </w:p>
        </w:tc>
      </w:tr>
      <w:tr>
        <w:tc>
          <w:tcPr>
            <w:tcW w:type="dxa" w:w="4703"/>
          </w:tcPr>
          <w:p>
            <w:r>
              <w:t>CE</w:t>
            </w:r>
          </w:p>
        </w:tc>
        <w:tc>
          <w:tcPr>
            <w:tcW w:type="dxa" w:w="4703"/>
          </w:tcPr>
          <w:p>
            <w:r>
              <w:t>Consulta Externa - Recuperação de dados sem processamento</w:t>
            </w:r>
          </w:p>
        </w:tc>
      </w:tr>
      <w:tr>
        <w:tc>
          <w:tcPr>
            <w:tcW w:type="dxa" w:w="4703"/>
          </w:tcPr>
          <w:p>
            <w:r>
              <w:t>DER</w:t>
            </w:r>
          </w:p>
        </w:tc>
        <w:tc>
          <w:tcPr>
            <w:tcW w:type="dxa" w:w="4703"/>
          </w:tcPr>
          <w:p>
            <w:r>
              <w:t>Dados Elementares Referenciados - Campos da função</w:t>
            </w:r>
          </w:p>
        </w:tc>
      </w:tr>
      <w:tr>
        <w:tc>
          <w:tcPr>
            <w:tcW w:type="dxa" w:w="4703"/>
          </w:tcPr>
          <w:p>
            <w:r>
              <w:t>EE</w:t>
            </w:r>
          </w:p>
        </w:tc>
        <w:tc>
          <w:tcPr>
            <w:tcW w:type="dxa" w:w="4703"/>
          </w:tcPr>
          <w:p>
            <w:r>
              <w:t>Entrada Externa - Processo que mantém dados</w:t>
            </w:r>
          </w:p>
        </w:tc>
      </w:tr>
      <w:tr>
        <w:tc>
          <w:tcPr>
            <w:tcW w:type="dxa" w:w="4703"/>
          </w:tcPr>
          <w:p>
            <w:r>
              <w:t>IFPUG</w:t>
            </w:r>
          </w:p>
        </w:tc>
        <w:tc>
          <w:tcPr>
            <w:tcW w:type="dxa" w:w="4703"/>
          </w:tcPr>
          <w:p>
            <w:r>
              <w:t>International Function Point Users Group</w:t>
            </w:r>
          </w:p>
        </w:tc>
      </w:tr>
      <w:tr>
        <w:tc>
          <w:tcPr>
            <w:tcW w:type="dxa" w:w="4703"/>
          </w:tcPr>
          <w:p>
            <w:r>
              <w:t>PF</w:t>
            </w:r>
          </w:p>
        </w:tc>
        <w:tc>
          <w:tcPr>
            <w:tcW w:type="dxa" w:w="4703"/>
          </w:tcPr>
          <w:p>
            <w:r>
              <w:t>Ponto de Função - Unidade de medida</w:t>
            </w:r>
          </w:p>
        </w:tc>
      </w:tr>
      <w:tr>
        <w:tc>
          <w:tcPr>
            <w:tcW w:type="dxa" w:w="4703"/>
          </w:tcPr>
          <w:p>
            <w:r>
              <w:t>RLR</w:t>
            </w:r>
          </w:p>
        </w:tc>
        <w:tc>
          <w:tcPr>
            <w:tcW w:type="dxa" w:w="4703"/>
          </w:tcPr>
          <w:p>
            <w:r>
              <w:t>Registro Lógico Referenciado - Subgrupos de dados</w:t>
            </w:r>
          </w:p>
        </w:tc>
      </w:tr>
      <w:tr>
        <w:tc>
          <w:tcPr>
            <w:tcW w:type="dxa" w:w="4703"/>
          </w:tcPr>
          <w:p>
            <w:r>
              <w:t>SE</w:t>
            </w:r>
          </w:p>
        </w:tc>
        <w:tc>
          <w:tcPr>
            <w:tcW w:type="dxa" w:w="4703"/>
          </w:tcPr>
          <w:p>
            <w:r>
              <w:t>Saída Externa - Processo com cálculos/derivações</w:t>
            </w:r>
          </w:p>
        </w:tc>
      </w:tr>
      <w:tr>
        <w:tc>
          <w:tcPr>
            <w:tcW w:type="dxa" w:w="4703"/>
          </w:tcPr>
          <w:p>
            <w:r>
              <w:t>VAF</w:t>
            </w:r>
          </w:p>
        </w:tc>
        <w:tc>
          <w:tcPr>
            <w:tcW w:type="dxa" w:w="4703"/>
          </w:tcPr>
          <w:p>
            <w:r>
              <w:t>Value Adjustment Factor - Fator de ajuste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