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rPr>
        <w:t xml:space="preserve">1. Resumen ejecutivo del plan</w:t>
      </w:r>
    </w:p>
    <w:p>
      <w:pPr>
        <w:spacing w:after="120" w:before="0"/>
        <w:jc w:val="both"/>
      </w:pPr>
      <w:r>
        <w:rPr>
          <w:rFonts w:ascii="Arial" w:cs="Arial" w:eastAsia="Arial" w:hAnsi="Arial"/>
          <w:b w:val="false"/>
          <w:bCs w:val="false"/>
          <w:i w:val="false"/>
          <w:iCs w:val="false"/>
          <w:color w:val="1A1A1A"/>
          <w:sz w:val="22"/>
          <w:szCs w:val="22"/>
        </w:rPr>
        <w:t xml:space="preserve">Este documento detalla la estrategia completa para diseñar, construir y sustentar un dashboard interactivo en Power BI Desktop, cumpliendo todos los requisitos del proyecto final de la asignatura Herramientas de Visualización para la Inteligencia de Negocios. El plan está calibrado para un equipo de 3 estudiantes de ingeniería informática con nivel intermedio en Power BI (DAX básico) y un plazo de ejecución menor a una semana.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2"/>
              <w:bottom w:val="single" w:color="2E86AB" w:sz="1"/>
              <w:right w:val="single" w:color="2E86AB" w:sz="1"/>
            </w:tcBorders>
            <w:shd w:fill="E8F1F8" w:val="clear"/>
            <w:tcMar>
              <w:top w:type="dxa" w:w="120"/>
              <w:left w:type="dxa" w:w="200"/>
              <w:bottom w:type="dxa" w:w="120"/>
              <w:right w:type="dxa" w:w="200"/>
            </w:tcMar>
          </w:tcPr>
          <w:p>
            <w:r>
              <w:rPr>
                <w:rFonts w:ascii="Arial" w:cs="Arial" w:eastAsia="Arial" w:hAnsi="Arial"/>
                <w:i/>
                <w:iCs/>
                <w:color w:val="1B3A5C"/>
                <w:sz w:val="22"/>
                <w:szCs w:val="22"/>
              </w:rPr>
              <w:t xml:space="preserve">Ventaja competitiva: el equipo cuenta con acceso al MCP Server de Power BI (powerbi-modeling-mcp), lo que permite crear medidas DAX, relaciones, tablas y calendarios directamente desde la terminal, acelerando significativamente la fase de modelado.</w:t>
            </w:r>
          </w:p>
        </w:tc>
      </w:tr>
    </w:tbl>
    <w:p>
      <w:pPr>
        <w:spacing w:after="80"/>
      </w:pPr>
    </w:p>
    <w:p>
      <w:pPr>
        <w:spacing w:after="120" w:before="0"/>
        <w:jc w:val="both"/>
      </w:pPr>
      <w:r>
        <w:rPr>
          <w:rFonts w:ascii="Arial" w:cs="Arial" w:eastAsia="Arial" w:hAnsi="Arial"/>
          <w:b w:val="false"/>
          <w:bCs w:val="false"/>
          <w:i w:val="false"/>
          <w:iCs w:val="false"/>
          <w:color w:val="1A1A1A"/>
          <w:sz w:val="22"/>
          <w:szCs w:val="22"/>
        </w:rPr>
        <w:t xml:space="preserve">El plan integra los 9 temas del curso exigidos en la rúbrica: Business Intelligence y toma de decisiones, ecosistema de herramientas, preparación de datos, modelado, visualización, interactividad, teoría del color, distribución visual y sustentación ejecutiva.</w:t>
      </w:r>
    </w:p>
    <w:p>
      <w:pPr>
        <w:pStyle w:val="Heading1"/>
      </w:pPr>
      <w:r>
        <w:rPr>
          <w:rFonts w:ascii="Arial" w:cs="Arial" w:eastAsia="Arial" w:hAnsi="Arial"/>
          <w:b/>
          <w:bCs/>
        </w:rPr>
        <w:t xml:space="preserve">2. Dataset seleccionado: Stack Overflow Developer Survey 2025</w:t>
      </w:r>
    </w:p>
    <w:p>
      <w:pPr>
        <w:pStyle w:val="Heading2"/>
      </w:pPr>
      <w:r>
        <w:rPr>
          <w:rFonts w:ascii="Arial" w:cs="Arial" w:eastAsia="Arial" w:hAnsi="Arial"/>
          <w:b/>
          <w:bCs/>
        </w:rPr>
        <w:t xml:space="preserve">2.1. Ficha técnica del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8F1F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Fuente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Stack Overflow Annual Developer Survey 2025 (survey.stackoverflow.co)</w:t>
            </w:r>
          </w:p>
        </w:tc>
      </w:tr>
      <w:tr>
        <w:tc>
          <w:tcPr>
            <w:tcW w:type="dxa" w:w="2800"/>
            <w:tcBorders>
              <w:top w:val="single" w:color="D1D5DB" w:sz="1"/>
              <w:left w:val="single" w:color="D1D5DB" w:sz="1"/>
              <w:bottom w:val="single" w:color="D1D5DB" w:sz="1"/>
              <w:right w:val="single" w:color="D1D5DB" w:sz="1"/>
            </w:tcBorders>
            <w:shd w:fill="E8F1F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Descarga</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survey.stackoverflow.co → botón Download Full Dataset (ZIP con CSV) — también disponible en Kaggle</w:t>
            </w:r>
          </w:p>
        </w:tc>
      </w:tr>
      <w:tr>
        <w:tc>
          <w:tcPr>
            <w:tcW w:type="dxa" w:w="2800"/>
            <w:tcBorders>
              <w:top w:val="single" w:color="D1D5DB" w:sz="1"/>
              <w:left w:val="single" w:color="D1D5DB" w:sz="1"/>
              <w:bottom w:val="single" w:color="D1D5DB" w:sz="1"/>
              <w:right w:val="single" w:color="D1D5DB" w:sz="1"/>
            </w:tcBorders>
            <w:shd w:fill="E8F1F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Formato</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CSV (survey_results_public.csv + survey_results_schema.csv)</w:t>
            </w:r>
          </w:p>
        </w:tc>
      </w:tr>
      <w:tr>
        <w:tc>
          <w:tcPr>
            <w:tcW w:type="dxa" w:w="2800"/>
            <w:tcBorders>
              <w:top w:val="single" w:color="D1D5DB" w:sz="1"/>
              <w:left w:val="single" w:color="D1D5DB" w:sz="1"/>
              <w:bottom w:val="single" w:color="D1D5DB" w:sz="1"/>
              <w:right w:val="single" w:color="D1D5DB" w:sz="1"/>
            </w:tcBorders>
            <w:shd w:fill="E8F1F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Registros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~49,000+ respuestas de 177 países</w:t>
            </w:r>
          </w:p>
        </w:tc>
      </w:tr>
      <w:tr>
        <w:tc>
          <w:tcPr>
            <w:tcW w:type="dxa" w:w="2800"/>
            <w:tcBorders>
              <w:top w:val="single" w:color="D1D5DB" w:sz="1"/>
              <w:left w:val="single" w:color="D1D5DB" w:sz="1"/>
              <w:bottom w:val="single" w:color="D1D5DB" w:sz="1"/>
              <w:right w:val="single" w:color="D1D5DB" w:sz="1"/>
            </w:tcBorders>
            <w:shd w:fill="E8F1F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Variables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62 preguntas sobre 314 tecnologías distintas</w:t>
            </w:r>
          </w:p>
        </w:tc>
      </w:tr>
      <w:tr>
        <w:tc>
          <w:tcPr>
            <w:tcW w:type="dxa" w:w="2800"/>
            <w:tcBorders>
              <w:top w:val="single" w:color="D1D5DB" w:sz="1"/>
              <w:left w:val="single" w:color="D1D5DB" w:sz="1"/>
              <w:bottom w:val="single" w:color="D1D5DB" w:sz="1"/>
              <w:right w:val="single" w:color="D1D5DB" w:sz="1"/>
            </w:tcBorders>
            <w:shd w:fill="E8F1F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Licencia</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Open Database License (ODbL) — uso libre con atribución</w:t>
            </w:r>
          </w:p>
        </w:tc>
      </w:tr>
      <w:tr>
        <w:tc>
          <w:tcPr>
            <w:tcW w:type="dxa" w:w="2800"/>
            <w:tcBorders>
              <w:top w:val="single" w:color="D1D5DB" w:sz="1"/>
              <w:left w:val="single" w:color="D1D5DB" w:sz="1"/>
              <w:bottom w:val="single" w:color="D1D5DB" w:sz="1"/>
              <w:right w:val="single" w:color="D1D5DB" w:sz="1"/>
            </w:tcBorders>
            <w:shd w:fill="E8F1F8" w:val="clear"/>
            <w:tcMar>
              <w:top w:type="dxa" w:w="80"/>
              <w:left w:type="dxa" w:w="120"/>
              <w:bottom w:type="dxa" w:w="80"/>
              <w:right w:type="dxa" w:w="120"/>
            </w:tcMar>
          </w:tcPr>
          <w:p>
            <w:pPr>
              <w:jc w:val="left"/>
            </w:pPr>
            <w:r>
              <w:rPr>
                <w:rFonts w:ascii="Arial" w:cs="Arial" w:eastAsia="Arial" w:hAnsi="Arial"/>
                <w:b/>
                <w:bCs/>
                <w:color w:val="1A1A1A"/>
                <w:sz w:val="20"/>
                <w:szCs w:val="20"/>
              </w:rPr>
              <w:t xml:space="preserve">Fecha de descarga</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Mayo 2026 (datos recolectados en 2025)</w:t>
            </w:r>
          </w:p>
        </w:tc>
      </w:tr>
    </w:tbl>
    <w:p>
      <w:pPr>
        <w:pStyle w:val="Heading2"/>
      </w:pPr>
      <w:r>
        <w:rPr>
          <w:rFonts w:ascii="Arial" w:cs="Arial" w:eastAsia="Arial" w:hAnsi="Arial"/>
          <w:b/>
          <w:bCs/>
        </w:rPr>
        <w:t xml:space="preserve">2.2. Enfoque analítico: Herramientas de desarrollo e IA</w:t>
      </w:r>
    </w:p>
    <w:p>
      <w:pPr>
        <w:spacing w:after="120" w:before="0"/>
        <w:jc w:val="both"/>
      </w:pPr>
      <w:r>
        <w:rPr>
          <w:rFonts w:ascii="Arial" w:cs="Arial" w:eastAsia="Arial" w:hAnsi="Arial"/>
          <w:b w:val="false"/>
          <w:bCs w:val="false"/>
          <w:i w:val="false"/>
          <w:iCs w:val="false"/>
          <w:color w:val="1A1A1A"/>
          <w:sz w:val="22"/>
          <w:szCs w:val="22"/>
        </w:rPr>
        <w:t xml:space="preserve">El dashboard se centrará en el análisis del ecosistema de herramientas que usan los desarrolladores, con énfasis especial en la adopción, percepción y uso de herramientas de inteligencia artificial. Este enfoque es particularmente relevante porque la encuesta 2025 revela una paradoja fascinante: mientras la adopción de herramientas IA creció al 84%, la confianza en ellas cayó del 70% al 60%.</w:t>
      </w:r>
    </w:p>
    <w:p>
      <w:pPr>
        <w:pStyle w:val="Heading3"/>
      </w:pPr>
      <w:r>
        <w:rPr>
          <w:rFonts w:ascii="Arial" w:cs="Arial" w:eastAsia="Arial" w:hAnsi="Arial"/>
          <w:b/>
          <w:bCs/>
        </w:rPr>
        <w:t xml:space="preserve">Audiencia definida del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2"/>
              <w:bottom w:val="single" w:color="2E86AB" w:sz="1"/>
              <w:right w:val="single" w:color="2E86AB" w:sz="1"/>
            </w:tcBorders>
            <w:shd w:fill="E8F1F8" w:val="clear"/>
            <w:tcMar>
              <w:top w:type="dxa" w:w="120"/>
              <w:left w:type="dxa" w:w="200"/>
              <w:bottom w:type="dxa" w:w="120"/>
              <w:right w:type="dxa" w:w="200"/>
            </w:tcMar>
          </w:tcPr>
          <w:p>
            <w:r>
              <w:rPr>
                <w:rFonts w:ascii="Arial" w:cs="Arial" w:eastAsia="Arial" w:hAnsi="Arial"/>
                <w:i/>
                <w:iCs/>
                <w:color w:val="1B3A5C"/>
                <w:sz w:val="22"/>
                <w:szCs w:val="22"/>
              </w:rPr>
              <w:t xml:space="preserve">VP de Ingeniería o Director de Plataforma de una empresa tech mediana que necesita decidir qué herramientas de desarrollo e IA estandarizar para sus equipos, optimizando productividad, satisfacción del desarrollador y presupuesto de licencias.</w:t>
            </w:r>
          </w:p>
        </w:tc>
      </w:tr>
    </w:tbl>
    <w:p>
      <w:pPr>
        <w:spacing w:after="60"/>
      </w:pPr>
    </w:p>
    <w:p>
      <w:pPr>
        <w:pStyle w:val="Heading3"/>
      </w:pPr>
      <w:r>
        <w:rPr>
          <w:rFonts w:ascii="Arial" w:cs="Arial" w:eastAsia="Arial" w:hAnsi="Arial"/>
          <w:b/>
          <w:bCs/>
        </w:rPr>
        <w:t xml:space="preserve">Tres preguntas de negocio que responde el dashboard</w:t>
      </w:r>
    </w:p>
    <w:p>
      <w:pPr>
        <w:pStyle w:val="ListParagraph"/>
        <w:numPr>
          <w:ilvl w:val="0"/>
          <w:numId w:val="2"/>
        </w:numPr>
        <w:spacing w:after="60"/>
      </w:pPr>
      <w:r>
        <w:rPr>
          <w:rFonts w:ascii="Arial" w:cs="Arial" w:eastAsia="Arial" w:hAnsi="Arial"/>
          <w:sz w:val="22"/>
          <w:szCs w:val="22"/>
        </w:rPr>
        <w:t xml:space="preserve">¿Qué herramientas de IA (ChatGPT, Copilot, Claude, Gemini, etc.) dominan el flujo de trabajo del desarrollador y cuáles generan mayor satisfacción vs. frustración?</w:t>
      </w:r>
    </w:p>
    <w:p>
      <w:pPr>
        <w:pStyle w:val="ListParagraph"/>
        <w:numPr>
          <w:ilvl w:val="0"/>
          <w:numId w:val="2"/>
        </w:numPr>
        <w:spacing w:after="60"/>
      </w:pPr>
      <w:r>
        <w:rPr>
          <w:rFonts w:ascii="Arial" w:cs="Arial" w:eastAsia="Arial" w:hAnsi="Arial"/>
          <w:sz w:val="22"/>
          <w:szCs w:val="22"/>
        </w:rPr>
        <w:t xml:space="preserve">¿Cómo varía la adopción de IDEs, frameworks y plataformas cloud según el nivel de experiencia, el rol y la región geográfica?</w:t>
      </w:r>
    </w:p>
    <w:p>
      <w:pPr>
        <w:pStyle w:val="ListParagraph"/>
        <w:numPr>
          <w:ilvl w:val="0"/>
          <w:numId w:val="2"/>
        </w:numPr>
        <w:spacing w:after="60"/>
      </w:pPr>
      <w:r>
        <w:rPr>
          <w:rFonts w:ascii="Arial" w:cs="Arial" w:eastAsia="Arial" w:hAnsi="Arial"/>
          <w:sz w:val="22"/>
          <w:szCs w:val="22"/>
        </w:rPr>
        <w:t xml:space="preserve">¿Qué modelos LLM prefieren los desarrolladores profesionales vs. los que están aprendiendo, y cómo se relaciona con la confianza reportada?</w:t>
      </w:r>
    </w:p>
    <w:p>
      <w:pPr>
        <w:pStyle w:val="Heading3"/>
      </w:pPr>
      <w:r>
        <w:rPr>
          <w:rFonts w:ascii="Arial" w:cs="Arial" w:eastAsia="Arial" w:hAnsi="Arial"/>
          <w:b/>
          <w:bCs/>
        </w:rPr>
        <w:t xml:space="preserve">Variables clave del dataset a utilizar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c>
          <w:tcPr>
            <w:tcW w:type="dxa" w:w="22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26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22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 en el modelo</w:t>
            </w:r>
          </w:p>
        </w:tc>
        <w:tc>
          <w:tcPr>
            <w:tcW w:type="dxa" w:w="23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Uso en el dashboard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AISelect / AIToolUsed</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Categórica (multi-selección)</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Hecho</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Herramientas IA usadas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AIAcc (Trust in AI)</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Categórica ordinal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Hecho</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Nivel de confianza en IA</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AISent (Sentiment)</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Categórica ordinal</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Hecho</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Sentimiento favorable/desfavorable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DevType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Categórica</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Dimensión</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Rol del desarrollador</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Country</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Categórica</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Dimensión</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Filtro geográfico y mapa</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YearsCodePro</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Numérica</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Dimensión (rangos)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Nivel de experiencia</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EdLevel</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Categórica ordinal</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Dimensión</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Nivel educativo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LanguageHaveWorkedWith</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Categórica (multi)</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Hecho</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Lenguajes de programación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NEWCollabToolsUsed (IDE)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Categórica (multi)</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Hecho</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IDEs y editores usados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DatabaseHaveWorkedWith</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Categórica (multi)</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Hecho</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Bases de datos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ConvertedCompYearly</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Numérica continua</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Hecho</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Salario anual (USD)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OpSysProfessional</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Categórica</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Dimensión</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Sistema operativo principal</w:t>
            </w:r>
          </w:p>
        </w:tc>
      </w:tr>
    </w:tbl>
    <w:p>
      <w:pPr>
        <w:pStyle w:val="Heading2"/>
      </w:pPr>
      <w:r>
        <w:rPr>
          <w:rFonts w:ascii="Arial" w:cs="Arial" w:eastAsia="Arial" w:hAnsi="Arial"/>
          <w:b/>
          <w:bCs/>
        </w:rPr>
        <w:t xml:space="preserve">2.3. KPIs principales (mínimo 3 exigidos)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c>
          <w:tcPr>
            <w:tcW w:type="dxa" w:w="24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w:t>
            </w:r>
          </w:p>
        </w:tc>
        <w:tc>
          <w:tcPr>
            <w:tcW w:type="dxa" w:w="24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Fórmula DAX (concepto)</w:t>
            </w:r>
          </w:p>
        </w:tc>
        <w:tc>
          <w:tcPr>
            <w:tcW w:type="dxa" w:w="21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Formato</w:t>
            </w:r>
          </w:p>
        </w:tc>
        <w:tc>
          <w:tcPr>
            <w:tcW w:type="dxa" w:w="24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Decisión que informa</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 Adopción IA</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DIVIDE(COUNTROWS con AI=Yes, COUNTROWS total)</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Porcentaje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Urgencia de estandarizar herramientas IA</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Confianza promedio en IA</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AVERAGE o distribución de AIAcc</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Escala 1–5 o %</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Riesgo de resistencia al cambio</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Top herramienta IA</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TOPN(1, VALUES(AITool), [Conteo], DESC)</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Texto / conteo</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Candidata para licencia corporativa</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Salario mediano</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MEDIAN(ConvertedCompYearly)</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USD $</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Benchmark compensación por stack</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 Uso diario de IA</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DIVIDE(COUNTROWS Daily, total)</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Porcentaje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Nivel de integración IA en flujo</w:t>
            </w:r>
          </w:p>
        </w:tc>
      </w:tr>
    </w:tbl>
    <w:p>
      <w:pPr>
        <w:pStyle w:val="Heading1"/>
      </w:pPr>
      <w:r>
        <w:rPr>
          <w:rFonts w:ascii="Arial" w:cs="Arial" w:eastAsia="Arial" w:hAnsi="Arial"/>
          <w:b/>
          <w:bCs/>
        </w:rPr>
        <w:t xml:space="preserve">3. Cronograma de ejecución (5–6 días)</w:t>
      </w:r>
    </w:p>
    <w:p>
      <w:pPr>
        <w:spacing w:after="120" w:before="0"/>
        <w:jc w:val="both"/>
      </w:pPr>
      <w:r>
        <w:rPr>
          <w:rFonts w:ascii="Arial" w:cs="Arial" w:eastAsia="Arial" w:hAnsi="Arial"/>
          <w:b w:val="false"/>
          <w:bCs w:val="false"/>
          <w:i w:val="false"/>
          <w:iCs w:val="false"/>
          <w:color w:val="1A1A1A"/>
          <w:sz w:val="22"/>
          <w:szCs w:val="22"/>
        </w:rPr>
        <w:t xml:space="preserve">El trabajo se distribuye en sprints diarios con entregables concretos y responsabilidades claras para los 3 integrantes (A, B,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3760"/>
        <w:gridCol w:w="2400"/>
      </w:tblGrid>
      <w:tr>
        <w:tc>
          <w:tcPr>
            <w:tcW w:type="dxa" w:w="11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Día</w:t>
            </w:r>
          </w:p>
        </w:tc>
        <w:tc>
          <w:tcPr>
            <w:tcW w:type="dxa" w:w="21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Fase</w:t>
            </w:r>
          </w:p>
        </w:tc>
        <w:tc>
          <w:tcPr>
            <w:tcW w:type="dxa" w:w="37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Actividades principales</w:t>
            </w:r>
          </w:p>
        </w:tc>
        <w:tc>
          <w:tcPr>
            <w:tcW w:type="dxa" w:w="24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Responsable</w:t>
            </w:r>
          </w:p>
        </w:tc>
      </w:tr>
      <w:tr>
        <w:tc>
          <w:tcPr>
            <w:tcW w:type="dxa" w:w="1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Día 1</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Datos + definición</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Descargar CSV de survey.stackoverflow.co. Explorar variables en Power Query. Definir audiencia y 3 preguntas. Limpiar: filtrar solo profesionales, eliminar nulos en AISelect y Country, crear rangos de experiencia. Separar columnas multi-selección (split por punto y coma).</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 descarga + limpieza
B: preguntas + KPIs
C: split de columnas multi</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Día 2</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Modelo + DAX</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Crear modelo estrella vía MCP. Tabla hechos: respuestas. Dimensiones: países, herramientas, roles, niveles. Relaciones con relationship_operations. Crear medidas DAX con measure_operations: COUNTROWS, %, MEDIAN, TOPN. Tabla calendario si se compara 2024 vs 2025. Validar con dax_query_operations.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 modelo + relaciones
B: medidas DAX
C: calendario + validación</w:t>
            </w:r>
          </w:p>
        </w:tc>
      </w:tr>
      <w:tr>
        <w:tc>
          <w:tcPr>
            <w:tcW w:type="dxa" w:w="1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Día 3</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Visualización</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Construir 4–5 páginas del dashboard. Aplicar layout Z/F y jerarquía de tamaños del documento de recomendaciones. Un gráfico principal por página. KPIs arriba. Filtros laterales o superiores consistentes.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 Pág. 1 (panorama IA) + Pág. 2 (herramientas detalle)
B: Pág. 3 (IDEs/LLMs) + Pág. 4 (perfiles)
C: KPIs globales + filtros + pág. conclusiones</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Día 4</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Color + interacción</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Aplicar paleta semántica (sección 6). Añadir tooltips personalizados, cross-filter, drill-through, bookmarks, navegación entre páginas. Formato condicional en KPIs. Página de hallazgos.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 paleta + formato condicional
B: tooltips + drill-through
C: bookmarks + QA</w:t>
            </w:r>
          </w:p>
        </w:tc>
      </w:tr>
      <w:tr>
        <w:tc>
          <w:tcPr>
            <w:tcW w:type="dxa" w:w="1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Día 5</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Pulir + ensayar</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Alinear con Format &gt; Align. Revisar checklist (sección 10). Publicar en Power BI Service. Ensayar sustentación 2–3 veces cronometradas. Preparar respuestas técnicas.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 alineación + publicar
B: ensayo narrativo
C: prep. preguntas técnicas</w:t>
            </w:r>
          </w:p>
        </w:tc>
      </w:tr>
      <w:tr>
        <w:tc>
          <w:tcPr>
            <w:tcW w:type="dxa" w:w="1100"/>
            <w:tcBorders>
              <w:top w:val="single" w:color="D1D5DB" w:sz="1"/>
              <w:left w:val="single" w:color="D1D5DB" w:sz="1"/>
              <w:bottom w:val="single" w:color="D1D5DB" w:sz="1"/>
              <w:right w:val="single" w:color="D1D5DB" w:sz="1"/>
            </w:tcBorders>
            <w:shd w:fill="FFF3E0" w:val="clear"/>
            <w:tcMar>
              <w:top w:type="dxa" w:w="80"/>
              <w:left w:type="dxa" w:w="120"/>
              <w:bottom w:type="dxa" w:w="80"/>
              <w:right w:type="dxa" w:w="120"/>
            </w:tcMar>
          </w:tcPr>
          <w:p>
            <w:pPr>
              <w:jc w:val="left"/>
            </w:pPr>
            <w:r>
              <w:rPr>
                <w:rFonts w:ascii="Arial" w:cs="Arial" w:eastAsia="Arial" w:hAnsi="Arial"/>
                <w:b/>
                <w:bCs/>
                <w:color w:val="1A1A1A"/>
                <w:sz w:val="20"/>
                <w:szCs w:val="20"/>
              </w:rPr>
              <w:t xml:space="preserve">Día 6</w:t>
            </w:r>
          </w:p>
        </w:tc>
        <w:tc>
          <w:tcPr>
            <w:tcW w:type="dxa" w:w="2100"/>
            <w:tcBorders>
              <w:top w:val="single" w:color="D1D5DB" w:sz="1"/>
              <w:left w:val="single" w:color="D1D5DB" w:sz="1"/>
              <w:bottom w:val="single" w:color="D1D5DB" w:sz="1"/>
              <w:right w:val="single" w:color="D1D5DB" w:sz="1"/>
            </w:tcBorders>
            <w:shd w:fill="FFF3E0" w:val="clear"/>
            <w:tcMar>
              <w:top w:type="dxa" w:w="80"/>
              <w:left w:type="dxa" w:w="120"/>
              <w:bottom w:type="dxa" w:w="80"/>
              <w:right w:type="dxa" w:w="120"/>
            </w:tcMar>
          </w:tcPr>
          <w:p>
            <w:pPr>
              <w:jc w:val="left"/>
            </w:pPr>
            <w:r>
              <w:rPr>
                <w:rFonts w:ascii="Arial" w:cs="Arial" w:eastAsia="Arial" w:hAnsi="Arial"/>
                <w:b/>
                <w:bCs/>
                <w:color w:val="1A1A1A"/>
                <w:sz w:val="20"/>
                <w:szCs w:val="20"/>
              </w:rPr>
              <w:t xml:space="preserve">SUSTENTACIÓN</w:t>
            </w:r>
          </w:p>
        </w:tc>
        <w:tc>
          <w:tcPr>
            <w:tcW w:type="dxa" w:w="3760"/>
            <w:tcBorders>
              <w:top w:val="single" w:color="D1D5DB" w:sz="1"/>
              <w:left w:val="single" w:color="D1D5DB" w:sz="1"/>
              <w:bottom w:val="single" w:color="D1D5DB" w:sz="1"/>
              <w:right w:val="single" w:color="D1D5DB" w:sz="1"/>
            </w:tcBorders>
            <w:shd w:fill="FFF3E0" w:val="clear"/>
            <w:tcMar>
              <w:top w:type="dxa" w:w="80"/>
              <w:left w:type="dxa" w:w="120"/>
              <w:bottom w:type="dxa" w:w="80"/>
              <w:right w:type="dxa" w:w="120"/>
            </w:tcMar>
          </w:tcPr>
          <w:p>
            <w:pPr>
              <w:jc w:val="left"/>
            </w:pPr>
            <w:r>
              <w:rPr>
                <w:rFonts w:ascii="Arial" w:cs="Arial" w:eastAsia="Arial" w:hAnsi="Arial"/>
                <w:b/>
                <w:bCs/>
                <w:color w:val="1A1A1A"/>
                <w:sz w:val="20"/>
                <w:szCs w:val="20"/>
              </w:rPr>
              <w:t xml:space="preserve">Presentar dashboard en vivo. Interactuar con filtros. Explicar color y distribución. Cerrar con hallazgos concretos.</w:t>
            </w:r>
          </w:p>
        </w:tc>
        <w:tc>
          <w:tcPr>
            <w:tcW w:type="dxa" w:w="2400"/>
            <w:tcBorders>
              <w:top w:val="single" w:color="D1D5DB" w:sz="1"/>
              <w:left w:val="single" w:color="D1D5DB" w:sz="1"/>
              <w:bottom w:val="single" w:color="D1D5DB" w:sz="1"/>
              <w:right w:val="single" w:color="D1D5DB" w:sz="1"/>
            </w:tcBorders>
            <w:shd w:fill="FFF3E0" w:val="clear"/>
            <w:tcMar>
              <w:top w:type="dxa" w:w="80"/>
              <w:left w:type="dxa" w:w="120"/>
              <w:bottom w:type="dxa" w:w="80"/>
              <w:right w:type="dxa" w:w="120"/>
            </w:tcMar>
          </w:tcPr>
          <w:p>
            <w:pPr>
              <w:jc w:val="left"/>
            </w:pPr>
            <w:r>
              <w:rPr>
                <w:rFonts w:ascii="Arial" w:cs="Arial" w:eastAsia="Arial" w:hAnsi="Arial"/>
                <w:b/>
                <w:bCs/>
                <w:color w:val="1A1A1A"/>
                <w:sz w:val="20"/>
                <w:szCs w:val="20"/>
              </w:rPr>
              <w:t xml:space="preserve">Todos</w:t>
            </w:r>
          </w:p>
        </w:tc>
      </w:tr>
    </w:tbl>
    <w:p>
      <w:pPr>
        <w:pStyle w:val="Heading1"/>
      </w:pPr>
      <w:r>
        <w:rPr>
          <w:rFonts w:ascii="Arial" w:cs="Arial" w:eastAsia="Arial" w:hAnsi="Arial"/>
          <w:b/>
          <w:bCs/>
        </w:rPr>
        <w:t xml:space="preserve">4. Arquitectura del dashboard</w:t>
      </w:r>
    </w:p>
    <w:p>
      <w:pPr>
        <w:pStyle w:val="Heading2"/>
      </w:pPr>
      <w:r>
        <w:rPr>
          <w:rFonts w:ascii="Arial" w:cs="Arial" w:eastAsia="Arial" w:hAnsi="Arial"/>
          <w:b/>
          <w:bCs/>
        </w:rPr>
        <w:t xml:space="preserve">4.1. Estructura de páginas</w:t>
      </w:r>
    </w:p>
    <w:p>
      <w:pPr>
        <w:spacing w:after="120" w:before="0"/>
        <w:jc w:val="both"/>
      </w:pPr>
      <w:r>
        <w:rPr>
          <w:rFonts w:ascii="Arial" w:cs="Arial" w:eastAsia="Arial" w:hAnsi="Arial"/>
          <w:b/>
          <w:bCs/>
          <w:i w:val="false"/>
          <w:iCs w:val="false"/>
          <w:color w:val="1A1A1A"/>
          <w:sz w:val="22"/>
          <w:szCs w:val="22"/>
        </w:rPr>
        <w:t xml:space="preserve">Página 1 — Panorama de adopción de IA: </w:t>
      </w:r>
      <w:r>
        <w:rPr>
          <w:rFonts w:ascii="Arial" w:cs="Arial" w:eastAsia="Arial" w:hAnsi="Arial"/>
          <w:b w:val="false"/>
          <w:bCs w:val="false"/>
          <w:i w:val="false"/>
          <w:iCs w:val="false"/>
          <w:color w:val="1A1A1A"/>
          <w:sz w:val="22"/>
          <w:szCs w:val="22"/>
        </w:rPr>
        <w:t xml:space="preserve">Vista ejecutiva con KPIs (% adopción IA, % uso diario, confianza promedio, sentimiento favorable). Gráfico principal: barras horizontales de herramientas IA por número de usuarios (ChatGPT, Copilot, Claude, Gemini, etc.). Complementarios: donut de frecuencia de uso (diario/semanal/mensual/nunca), mapa de calor de adopción por región.</w:t>
      </w:r>
    </w:p>
    <w:p>
      <w:pPr>
        <w:spacing w:after="120" w:before="0"/>
        <w:jc w:val="both"/>
      </w:pPr>
      <w:r>
        <w:rPr>
          <w:rFonts w:ascii="Arial" w:cs="Arial" w:eastAsia="Arial" w:hAnsi="Arial"/>
          <w:b/>
          <w:bCs/>
          <w:i w:val="false"/>
          <w:iCs w:val="false"/>
          <w:color w:val="1A1A1A"/>
          <w:sz w:val="22"/>
          <w:szCs w:val="22"/>
        </w:rPr>
        <w:t xml:space="preserve">Página 2 — Confianza vs. adopción (la paradoja): </w:t>
      </w:r>
      <w:r>
        <w:rPr>
          <w:rFonts w:ascii="Arial" w:cs="Arial" w:eastAsia="Arial" w:hAnsi="Arial"/>
          <w:b w:val="false"/>
          <w:bCs w:val="false"/>
          <w:i w:val="false"/>
          <w:iCs w:val="false"/>
          <w:color w:val="1A1A1A"/>
          <w:sz w:val="22"/>
          <w:szCs w:val="22"/>
        </w:rPr>
        <w:t xml:space="preserve">Gráfico principal: gráfico combinado de barras (adopción %) + línea (confianza %) por herramienta IA. Complementarios: barras apiladas de sentimiento por nivel de experiencia, scatter de confianza vs. frecuencia de uso. Aquí se muestra el hallazgo central: más adopción no significa más confianza.</w:t>
      </w:r>
    </w:p>
    <w:p>
      <w:pPr>
        <w:spacing w:after="120" w:before="0"/>
        <w:jc w:val="both"/>
      </w:pPr>
      <w:r>
        <w:rPr>
          <w:rFonts w:ascii="Arial" w:cs="Arial" w:eastAsia="Arial" w:hAnsi="Arial"/>
          <w:b/>
          <w:bCs/>
          <w:i w:val="false"/>
          <w:iCs w:val="false"/>
          <w:color w:val="1A1A1A"/>
          <w:sz w:val="22"/>
          <w:szCs w:val="22"/>
        </w:rPr>
        <w:t xml:space="preserve">Página 3 — Ecosistema de herramientas de desarrollo: </w:t>
      </w:r>
      <w:r>
        <w:rPr>
          <w:rFonts w:ascii="Arial" w:cs="Arial" w:eastAsia="Arial" w:hAnsi="Arial"/>
          <w:b w:val="false"/>
          <w:bCs w:val="false"/>
          <w:i w:val="false"/>
          <w:iCs w:val="false"/>
          <w:color w:val="1A1A1A"/>
          <w:sz w:val="22"/>
          <w:szCs w:val="22"/>
        </w:rPr>
        <w:t xml:space="preserve">Gráfico principal: barras agrupadas de IDEs (VS Code, IntelliJ, Vim, etc.) por tipo de rol. Complementarios: treemap de lenguajes de programación, heatmap de bases de datos por región, barras de plataformas cloud (Docker, AWS, npm). Comparación: “usa actualmente” vs. “quiere usar el próximo año”.</w:t>
      </w:r>
    </w:p>
    <w:p>
      <w:pPr>
        <w:spacing w:after="120" w:before="0"/>
        <w:jc w:val="both"/>
      </w:pPr>
      <w:r>
        <w:rPr>
          <w:rFonts w:ascii="Arial" w:cs="Arial" w:eastAsia="Arial" w:hAnsi="Arial"/>
          <w:b/>
          <w:bCs/>
          <w:i w:val="false"/>
          <w:iCs w:val="false"/>
          <w:color w:val="1A1A1A"/>
          <w:sz w:val="22"/>
          <w:szCs w:val="22"/>
        </w:rPr>
        <w:t xml:space="preserve">Página 4 — Perfiles y modelos LLM: </w:t>
      </w:r>
      <w:r>
        <w:rPr>
          <w:rFonts w:ascii="Arial" w:cs="Arial" w:eastAsia="Arial" w:hAnsi="Arial"/>
          <w:b w:val="false"/>
          <w:bCs w:val="false"/>
          <w:i w:val="false"/>
          <w:iCs w:val="false"/>
          <w:color w:val="1A1A1A"/>
          <w:sz w:val="22"/>
          <w:szCs w:val="22"/>
        </w:rPr>
        <w:t xml:space="preserve">Gráfico principal: barras de modelos LLM preferidos (GPT-4, Claude, Gemini, Llama, etc.) segmentados por profesionales vs. aprendices. Complementarios: boxplot de salario por stack tecnológico, distribución de experiencia por herramienta IA preferida.</w:t>
      </w:r>
    </w:p>
    <w:p>
      <w:pPr>
        <w:spacing w:after="120" w:before="0"/>
        <w:jc w:val="both"/>
      </w:pPr>
      <w:r>
        <w:rPr>
          <w:rFonts w:ascii="Arial" w:cs="Arial" w:eastAsia="Arial" w:hAnsi="Arial"/>
          <w:b/>
          <w:bCs/>
          <w:i w:val="false"/>
          <w:iCs w:val="false"/>
          <w:color w:val="1A1A1A"/>
          <w:sz w:val="22"/>
          <w:szCs w:val="22"/>
        </w:rPr>
        <w:t xml:space="preserve">Página 5 — Hallazgos y recomendaciones: </w:t>
      </w:r>
      <w:r>
        <w:rPr>
          <w:rFonts w:ascii="Arial" w:cs="Arial" w:eastAsia="Arial" w:hAnsi="Arial"/>
          <w:b w:val="false"/>
          <w:bCs w:val="false"/>
          <w:i w:val="false"/>
          <w:iCs w:val="false"/>
          <w:color w:val="1A1A1A"/>
          <w:sz w:val="22"/>
          <w:szCs w:val="22"/>
        </w:rPr>
        <w:t xml:space="preserve">Síntesis ejecutiva con 3–5 hallazgos concretos respaldados por datos. KPIs clave replicados en pequeño. Conclusión orientada a la decisión: qué herramientas estandarizar, dónde invertir en capacitación, qué riesgos monitorear.</w:t>
      </w:r>
    </w:p>
    <w:p>
      <w:pPr>
        <w:pStyle w:val="Heading2"/>
      </w:pPr>
      <w:r>
        <w:rPr>
          <w:rFonts w:ascii="Arial" w:cs="Arial" w:eastAsia="Arial" w:hAnsi="Arial"/>
          <w:b/>
          <w:bCs/>
        </w:rPr>
        <w:t xml:space="preserve">4.2. Distribución visual por página (patrón Z)</w:t>
      </w:r>
    </w:p>
    <w:p>
      <w:pPr>
        <w:spacing w:after="120" w:before="0"/>
        <w:jc w:val="both"/>
      </w:pPr>
      <w:r>
        <w:rPr>
          <w:rFonts w:ascii="Arial" w:cs="Arial" w:eastAsia="Arial" w:hAnsi="Arial"/>
          <w:b w:val="false"/>
          <w:bCs w:val="false"/>
          <w:i w:val="false"/>
          <w:iCs w:val="false"/>
          <w:color w:val="1A1A1A"/>
          <w:sz w:val="22"/>
          <w:szCs w:val="22"/>
        </w:rPr>
        <w:t xml:space="preserve">Cada página sigue la estructura recomendada en el documento del curso. El formato es 16:9 y la organización es:</w:t>
      </w:r>
    </w:p>
    <w:p>
      <w:pPr>
        <w:pStyle w:val="ListParagraph"/>
        <w:numPr>
          <w:ilvl w:val="0"/>
          <w:numId w:val="3"/>
        </w:numPr>
        <w:spacing w:after="60"/>
      </w:pPr>
      <w:r>
        <w:rPr>
          <w:rFonts w:ascii="Arial" w:cs="Arial" w:eastAsia="Arial" w:hAnsi="Arial"/>
          <w:sz w:val="22"/>
          <w:szCs w:val="22"/>
        </w:rPr>
        <w:t xml:space="preserve">Zona superior: título de página (40–60 px) + fila de KPIs (3–4 tarjetas, 80–120 px altura, ancho uniforme).</w:t>
      </w:r>
    </w:p>
    <w:p>
      <w:pPr>
        <w:pStyle w:val="ListParagraph"/>
        <w:numPr>
          <w:ilvl w:val="0"/>
          <w:numId w:val="3"/>
        </w:numPr>
        <w:spacing w:after="60"/>
      </w:pPr>
      <w:r>
        <w:rPr>
          <w:rFonts w:ascii="Arial" w:cs="Arial" w:eastAsia="Arial" w:hAnsi="Arial"/>
          <w:sz w:val="22"/>
          <w:szCs w:val="22"/>
        </w:rPr>
        <w:t xml:space="preserve">Zona central: gráfico principal ocupando 40–60% del área útil, ubicado en centro-izquierda.</w:t>
      </w:r>
    </w:p>
    <w:p>
      <w:pPr>
        <w:pStyle w:val="ListParagraph"/>
        <w:numPr>
          <w:ilvl w:val="0"/>
          <w:numId w:val="3"/>
        </w:numPr>
        <w:spacing w:after="60"/>
      </w:pPr>
      <w:r>
        <w:rPr>
          <w:rFonts w:ascii="Arial" w:cs="Arial" w:eastAsia="Arial" w:hAnsi="Arial"/>
          <w:sz w:val="22"/>
          <w:szCs w:val="22"/>
        </w:rPr>
        <w:t xml:space="preserve">Zona derecha/inferior: 2–3 gráficos complementarios de menor tamaño.</w:t>
      </w:r>
    </w:p>
    <w:p>
      <w:pPr>
        <w:pStyle w:val="ListParagraph"/>
        <w:numPr>
          <w:ilvl w:val="0"/>
          <w:numId w:val="3"/>
        </w:numPr>
        <w:spacing w:after="60"/>
      </w:pPr>
      <w:r>
        <w:rPr>
          <w:rFonts w:ascii="Arial" w:cs="Arial" w:eastAsia="Arial" w:hAnsi="Arial"/>
          <w:sz w:val="22"/>
          <w:szCs w:val="22"/>
        </w:rPr>
        <w:t xml:space="preserve">Zona inferior (si aplica): tabla de detalle (180–300 px altura, pocas columnas).</w:t>
      </w:r>
    </w:p>
    <w:p>
      <w:pPr>
        <w:pStyle w:val="ListParagraph"/>
        <w:numPr>
          <w:ilvl w:val="0"/>
          <w:numId w:val="3"/>
        </w:numPr>
        <w:spacing w:after="60"/>
      </w:pPr>
      <w:r>
        <w:rPr>
          <w:rFonts w:ascii="Arial" w:cs="Arial" w:eastAsia="Arial" w:hAnsi="Arial"/>
          <w:sz w:val="22"/>
          <w:szCs w:val="22"/>
        </w:rPr>
        <w:t xml:space="preserve">Filtros: columna lateral izquierda (180–240 px ancho) o fila superior, consistente en TODAS las páginas.</w:t>
      </w:r>
    </w:p>
    <w:p>
      <w:pPr>
        <w:pStyle w:val="Heading2"/>
      </w:pPr>
      <w:r>
        <w:rPr>
          <w:rFonts w:ascii="Arial" w:cs="Arial" w:eastAsia="Arial" w:hAnsi="Arial"/>
          <w:b/>
          <w:bCs/>
        </w:rPr>
        <w:t xml:space="preserve">4.3. Espaciado y alineación</w:t>
      </w:r>
    </w:p>
    <w:p>
      <w:pPr>
        <w:pStyle w:val="ListParagraph"/>
        <w:numPr>
          <w:ilvl w:val="0"/>
          <w:numId w:val="3"/>
        </w:numPr>
        <w:spacing w:after="60"/>
      </w:pPr>
      <w:r>
        <w:rPr>
          <w:rFonts w:ascii="Arial" w:cs="Arial" w:eastAsia="Arial" w:hAnsi="Arial"/>
          <w:sz w:val="22"/>
          <w:szCs w:val="22"/>
        </w:rPr>
        <w:t xml:space="preserve">Margen exterior de página: 20–40 px.</w:t>
      </w:r>
    </w:p>
    <w:p>
      <w:pPr>
        <w:pStyle w:val="ListParagraph"/>
        <w:numPr>
          <w:ilvl w:val="0"/>
          <w:numId w:val="3"/>
        </w:numPr>
        <w:spacing w:after="60"/>
      </w:pPr>
      <w:r>
        <w:rPr>
          <w:rFonts w:ascii="Arial" w:cs="Arial" w:eastAsia="Arial" w:hAnsi="Arial"/>
          <w:sz w:val="22"/>
          <w:szCs w:val="22"/>
        </w:rPr>
        <w:t xml:space="preserve">Separación entre tarjetas KPI: 8–16 px.</w:t>
      </w:r>
    </w:p>
    <w:p>
      <w:pPr>
        <w:pStyle w:val="ListParagraph"/>
        <w:numPr>
          <w:ilvl w:val="0"/>
          <w:numId w:val="3"/>
        </w:numPr>
        <w:spacing w:after="60"/>
      </w:pPr>
      <w:r>
        <w:rPr>
          <w:rFonts w:ascii="Arial" w:cs="Arial" w:eastAsia="Arial" w:hAnsi="Arial"/>
          <w:sz w:val="22"/>
          <w:szCs w:val="22"/>
        </w:rPr>
        <w:t xml:space="preserve">Separación entre gráficos: 12–24 px.</w:t>
      </w:r>
    </w:p>
    <w:p>
      <w:pPr>
        <w:pStyle w:val="ListParagraph"/>
        <w:numPr>
          <w:ilvl w:val="0"/>
          <w:numId w:val="3"/>
        </w:numPr>
        <w:spacing w:after="60"/>
      </w:pPr>
      <w:r>
        <w:rPr>
          <w:rFonts w:ascii="Arial" w:cs="Arial" w:eastAsia="Arial" w:hAnsi="Arial"/>
          <w:sz w:val="22"/>
          <w:szCs w:val="22"/>
        </w:rPr>
        <w:t xml:space="preserve">Máximo 6–8 visuales por página.</w:t>
      </w:r>
    </w:p>
    <w:p>
      <w:pPr>
        <w:pStyle w:val="ListParagraph"/>
        <w:numPr>
          <w:ilvl w:val="0"/>
          <w:numId w:val="3"/>
        </w:numPr>
        <w:spacing w:after="60"/>
      </w:pPr>
      <w:r>
        <w:rPr>
          <w:rFonts w:ascii="Arial" w:cs="Arial" w:eastAsia="Arial" w:hAnsi="Arial"/>
          <w:sz w:val="22"/>
          <w:szCs w:val="22"/>
        </w:rPr>
        <w:t xml:space="preserve">Usar Formato &gt; Alinear &gt; Distribuir horizontalmente/verticalmente.</w:t>
      </w:r>
    </w:p>
    <w:p>
      <w:pPr>
        <w:pStyle w:val="Heading1"/>
      </w:pPr>
      <w:r>
        <w:rPr>
          <w:rFonts w:ascii="Arial" w:cs="Arial" w:eastAsia="Arial" w:hAnsi="Arial"/>
          <w:b/>
          <w:bCs/>
        </w:rPr>
        <w:t xml:space="preserve">5. Preparación de datos en Power Query</w:t>
      </w:r>
    </w:p>
    <w:p>
      <w:pPr>
        <w:spacing w:after="120" w:before="0"/>
        <w:jc w:val="both"/>
      </w:pPr>
      <w:r>
        <w:rPr>
          <w:rFonts w:ascii="Arial" w:cs="Arial" w:eastAsia="Arial" w:hAnsi="Arial"/>
          <w:b w:val="false"/>
          <w:bCs w:val="false"/>
          <w:i w:val="false"/>
          <w:iCs w:val="false"/>
          <w:color w:val="1A1A1A"/>
          <w:sz w:val="22"/>
          <w:szCs w:val="22"/>
        </w:rPr>
        <w:t xml:space="preserve">El CSV del Developer Survey requiere transformaciones específicas antes de modelar. Este es el flujo recomendado en Power Query:</w:t>
      </w:r>
    </w:p>
    <w:p>
      <w:pPr>
        <w:pStyle w:val="Heading2"/>
      </w:pPr>
      <w:r>
        <w:rPr>
          <w:rFonts w:ascii="Arial" w:cs="Arial" w:eastAsia="Arial" w:hAnsi="Arial"/>
          <w:b/>
          <w:bCs/>
        </w:rPr>
        <w:t xml:space="preserve">5.1. Pasos de limpieza</w:t>
      </w:r>
    </w:p>
    <w:p>
      <w:pPr>
        <w:pStyle w:val="ListParagraph"/>
        <w:numPr>
          <w:ilvl w:val="0"/>
          <w:numId w:val="4"/>
        </w:numPr>
        <w:spacing w:after="60"/>
      </w:pPr>
      <w:r>
        <w:rPr>
          <w:rFonts w:ascii="Arial" w:cs="Arial" w:eastAsia="Arial" w:hAnsi="Arial"/>
          <w:sz w:val="22"/>
          <w:szCs w:val="22"/>
        </w:rPr>
        <w:t xml:space="preserve">Cargar survey_results_public.csv en Power Query (Get Data &gt; Text/CSV).</w:t>
      </w:r>
    </w:p>
    <w:p>
      <w:pPr>
        <w:pStyle w:val="ListParagraph"/>
        <w:numPr>
          <w:ilvl w:val="0"/>
          <w:numId w:val="4"/>
        </w:numPr>
        <w:spacing w:after="60"/>
      </w:pPr>
      <w:r>
        <w:rPr>
          <w:rFonts w:ascii="Arial" w:cs="Arial" w:eastAsia="Arial" w:hAnsi="Arial"/>
          <w:sz w:val="22"/>
          <w:szCs w:val="22"/>
        </w:rPr>
        <w:t xml:space="preserve">Filtrar la columna MainBranch para mantener solo "I am a developer by profession" (elimina estudiantes sin contexto laboral).</w:t>
      </w:r>
    </w:p>
    <w:p>
      <w:pPr>
        <w:pStyle w:val="ListParagraph"/>
        <w:numPr>
          <w:ilvl w:val="0"/>
          <w:numId w:val="4"/>
        </w:numPr>
        <w:spacing w:after="60"/>
      </w:pPr>
      <w:r>
        <w:rPr>
          <w:rFonts w:ascii="Arial" w:cs="Arial" w:eastAsia="Arial" w:hAnsi="Arial"/>
          <w:sz w:val="22"/>
          <w:szCs w:val="22"/>
        </w:rPr>
        <w:t xml:space="preserve">Eliminar filas donde AISelect sea nulo (sin dato de adopción IA no aportan al análisis central).</w:t>
      </w:r>
    </w:p>
    <w:p>
      <w:pPr>
        <w:pStyle w:val="ListParagraph"/>
        <w:numPr>
          <w:ilvl w:val="0"/>
          <w:numId w:val="4"/>
        </w:numPr>
        <w:spacing w:after="60"/>
      </w:pPr>
      <w:r>
        <w:rPr>
          <w:rFonts w:ascii="Arial" w:cs="Arial" w:eastAsia="Arial" w:hAnsi="Arial"/>
          <w:sz w:val="22"/>
          <w:szCs w:val="22"/>
        </w:rPr>
        <w:t xml:space="preserve">Eliminar filas donde Country sea nulo.</w:t>
      </w:r>
    </w:p>
    <w:p>
      <w:pPr>
        <w:pStyle w:val="ListParagraph"/>
        <w:numPr>
          <w:ilvl w:val="0"/>
          <w:numId w:val="4"/>
        </w:numPr>
        <w:spacing w:after="60"/>
      </w:pPr>
      <w:r>
        <w:rPr>
          <w:rFonts w:ascii="Arial" w:cs="Arial" w:eastAsia="Arial" w:hAnsi="Arial"/>
          <w:sz w:val="22"/>
          <w:szCs w:val="22"/>
        </w:rPr>
        <w:t xml:space="preserve">Tratar ConvertedCompYearly: eliminar valores extremos (menores a $1,000 o mayores a $500,000 anuales, probables errores de captura). Documentar cuántos registros se excluyen.</w:t>
      </w:r>
    </w:p>
    <w:p>
      <w:pPr>
        <w:pStyle w:val="ListParagraph"/>
        <w:numPr>
          <w:ilvl w:val="0"/>
          <w:numId w:val="4"/>
        </w:numPr>
        <w:spacing w:after="60"/>
      </w:pPr>
      <w:r>
        <w:rPr>
          <w:rFonts w:ascii="Arial" w:cs="Arial" w:eastAsia="Arial" w:hAnsi="Arial"/>
          <w:sz w:val="22"/>
          <w:szCs w:val="22"/>
        </w:rPr>
        <w:t xml:space="preserve">Crear columna calculada ExperienceRange: 0–2 (Junior), 3–5 (Mid), 6–10 (Senior), 11–20 (Staff), 20+ (Principal). Basada en YearsCodePro.</w:t>
      </w:r>
    </w:p>
    <w:p>
      <w:pPr>
        <w:pStyle w:val="ListParagraph"/>
        <w:numPr>
          <w:ilvl w:val="0"/>
          <w:numId w:val="4"/>
        </w:numPr>
        <w:spacing w:after="60"/>
      </w:pPr>
      <w:r>
        <w:rPr>
          <w:rFonts w:ascii="Arial" w:cs="Arial" w:eastAsia="Arial" w:hAnsi="Arial"/>
          <w:sz w:val="22"/>
          <w:szCs w:val="22"/>
        </w:rPr>
        <w:t xml:space="preserve">Crear columna Región agrupando Country en: Norteamérica, Europa, Asia, Latinoamérica, África, Oceanía.</w:t>
      </w:r>
    </w:p>
    <w:p>
      <w:pPr>
        <w:pStyle w:val="Heading2"/>
      </w:pPr>
      <w:r>
        <w:rPr>
          <w:rFonts w:ascii="Arial" w:cs="Arial" w:eastAsia="Arial" w:hAnsi="Arial"/>
          <w:b/>
          <w:bCs/>
        </w:rPr>
        <w:t xml:space="preserve">5.2. Manejo de columnas multi-selección (crítico)</w:t>
      </w:r>
    </w:p>
    <w:p>
      <w:pPr>
        <w:spacing w:after="120" w:before="0"/>
        <w:jc w:val="both"/>
      </w:pPr>
      <w:r>
        <w:rPr>
          <w:rFonts w:ascii="Arial" w:cs="Arial" w:eastAsia="Arial" w:hAnsi="Arial"/>
          <w:b w:val="false"/>
          <w:bCs w:val="false"/>
          <w:i w:val="false"/>
          <w:iCs w:val="false"/>
          <w:color w:val="1A1A1A"/>
          <w:sz w:val="22"/>
          <w:szCs w:val="22"/>
        </w:rPr>
        <w:t xml:space="preserve">Varias columnas del survey contienen múltiples respuestas separadas por punto y coma (e.g., "Python;JavaScript;TypeScript"). Para modelar correctamente:</w:t>
      </w:r>
    </w:p>
    <w:p>
      <w:pPr>
        <w:pStyle w:val="ListParagraph"/>
        <w:numPr>
          <w:ilvl w:val="0"/>
          <w:numId w:val="3"/>
        </w:numPr>
        <w:spacing w:after="60"/>
      </w:pPr>
      <w:r>
        <w:rPr>
          <w:rFonts w:ascii="Arial" w:cs="Arial" w:eastAsia="Arial" w:hAnsi="Arial"/>
          <w:sz w:val="22"/>
          <w:szCs w:val="22"/>
        </w:rPr>
        <w:t xml:space="preserve">Opción A (recomendada para velocidad): NO separar. Usar medidas DAX con CONTAINSSTRING() para filtrar. Ejemplo: Usuarios_Python = CALCULATE(COUNTROWS(Hechos), CONTAINSSTRING(Hechos[LanguageHaveWorkedWith], "Python")).</w:t>
      </w:r>
    </w:p>
    <w:p>
      <w:pPr>
        <w:pStyle w:val="ListParagraph"/>
        <w:numPr>
          <w:ilvl w:val="0"/>
          <w:numId w:val="3"/>
        </w:numPr>
        <w:spacing w:after="60"/>
      </w:pPr>
      <w:r>
        <w:rPr>
          <w:rFonts w:ascii="Arial" w:cs="Arial" w:eastAsia="Arial" w:hAnsi="Arial"/>
          <w:sz w:val="22"/>
          <w:szCs w:val="22"/>
        </w:rPr>
        <w:t xml:space="preserve">Opción B (modelo limpio pero más trabajo): Duplicar la tabla, hacer Split Column by Delimiter, luego Unpivot. Esto crea una fila por cada herramienta/lenguaje, conectada al respondente por ID. Ideal para tablas dimensión de herramientas IA y lenguajes.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2"/>
              <w:bottom w:val="single" w:color="2E86AB" w:sz="1"/>
              <w:right w:val="single" w:color="2E86AB" w:sz="1"/>
            </w:tcBorders>
            <w:shd w:fill="E8F1F8" w:val="clear"/>
            <w:tcMar>
              <w:top w:type="dxa" w:w="120"/>
              <w:left w:type="dxa" w:w="200"/>
              <w:bottom w:type="dxa" w:w="120"/>
              <w:right w:type="dxa" w:w="200"/>
            </w:tcMar>
          </w:tcPr>
          <w:p>
            <w:r>
              <w:rPr>
                <w:rFonts w:ascii="Arial" w:cs="Arial" w:eastAsia="Arial" w:hAnsi="Arial"/>
                <w:i/>
                <w:iCs/>
                <w:color w:val="1B3A5C"/>
                <w:sz w:val="22"/>
                <w:szCs w:val="22"/>
              </w:rPr>
              <w:t xml:space="preserve">Recomendación para el plazo: usar Opción A para la mayoría de columnas multi-selección, y Opción B solo para AISelect (herramientas IA) que es el eje central del análisis y necesita su propia tabla dimensión para gráficos de barras y treemaps.</w:t>
            </w:r>
          </w:p>
        </w:tc>
      </w:tr>
    </w:tbl>
    <w:p>
      <w:pPr>
        <w:pStyle w:val="Heading1"/>
      </w:pPr>
      <w:r>
        <w:rPr>
          <w:rFonts w:ascii="Arial" w:cs="Arial" w:eastAsia="Arial" w:hAnsi="Arial"/>
          <w:b/>
          <w:bCs/>
        </w:rPr>
        <w:t xml:space="preserve">6. Modelado de datos con MCP Server</w:t>
      </w:r>
    </w:p>
    <w:p>
      <w:pPr>
        <w:spacing w:after="120" w:before="0"/>
        <w:jc w:val="both"/>
      </w:pPr>
      <w:r>
        <w:rPr>
          <w:rFonts w:ascii="Arial" w:cs="Arial" w:eastAsia="Arial" w:hAnsi="Arial"/>
          <w:b w:val="false"/>
          <w:bCs w:val="false"/>
          <w:i w:val="false"/>
          <w:iCs w:val="false"/>
          <w:color w:val="1A1A1A"/>
          <w:sz w:val="22"/>
          <w:szCs w:val="22"/>
        </w:rPr>
        <w:t xml:space="preserve">El equipo tiene acceso al powerbi-modeling-mcp, un servidor MCP que permite interactuar con el modelo semántico de Power BI Desktop desde la terminal.</w:t>
      </w:r>
    </w:p>
    <w:p>
      <w:pPr>
        <w:pStyle w:val="Heading2"/>
      </w:pPr>
      <w:r>
        <w:rPr>
          <w:rFonts w:ascii="Arial" w:cs="Arial" w:eastAsia="Arial" w:hAnsi="Arial"/>
          <w:b/>
          <w:bCs/>
        </w:rPr>
        <w:t xml:space="preserve">6.1. Operaciones clave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Herramienta MCP</w:t>
            </w:r>
          </w:p>
        </w:tc>
        <w:tc>
          <w:tcPr>
            <w:tcW w:type="dxa" w:w="24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Operaciones</w:t>
            </w:r>
          </w:p>
        </w:tc>
        <w:tc>
          <w:tcPr>
            <w:tcW w:type="dxa" w:w="45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Uso en el proyecto</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database_operations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Create, List, Export TMDL</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Crear modelo base, exportar definición para respaldo</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table_operations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Create, List, Get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Crear tabla calendario, dimensiones calculadas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column_operations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Create, Update, List</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Columnas calculadas (ExperienceRange, Región)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measure_operations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Create, Update, List, Move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TODAS las medidas DAX: COUNTROWS, %, MEDIAN, TOPN, CONTAINSSTRING</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relationship_operations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Create, List, Find</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Relaciones estrella: hechos → dimensiones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calendar_operations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Create, CreateColumnGroups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Tabla calendario si se comparan años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dax_query_operations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Execute, Validate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Validar medidas con EVALUATE antes de visualizar</w:t>
            </w:r>
          </w:p>
        </w:tc>
      </w:tr>
    </w:tbl>
    <w:p>
      <w:pPr>
        <w:pStyle w:val="Heading2"/>
      </w:pPr>
      <w:r>
        <w:rPr>
          <w:rFonts w:ascii="Arial" w:cs="Arial" w:eastAsia="Arial" w:hAnsi="Arial"/>
          <w:b/>
          <w:bCs/>
        </w:rPr>
        <w:t xml:space="preserve">6.2. Flujo de trabajo con MCP</w:t>
      </w:r>
    </w:p>
    <w:p>
      <w:pPr>
        <w:pStyle w:val="ListParagraph"/>
        <w:numPr>
          <w:ilvl w:val="0"/>
          <w:numId w:val="5"/>
        </w:numPr>
        <w:spacing w:after="60"/>
      </w:pPr>
      <w:r>
        <w:rPr>
          <w:rFonts w:ascii="Arial" w:cs="Arial" w:eastAsia="Arial" w:hAnsi="Arial"/>
          <w:sz w:val="22"/>
          <w:szCs w:val="22"/>
        </w:rPr>
        <w:t xml:space="preserve">Abrir Power BI Desktop con el archivo .pbix y los datos ya cargados.</w:t>
      </w:r>
    </w:p>
    <w:p>
      <w:pPr>
        <w:pStyle w:val="ListParagraph"/>
        <w:numPr>
          <w:ilvl w:val="0"/>
          <w:numId w:val="5"/>
        </w:numPr>
        <w:spacing w:after="60"/>
      </w:pPr>
      <w:r>
        <w:rPr>
          <w:rFonts w:ascii="Arial" w:cs="Arial" w:eastAsia="Arial" w:hAnsi="Arial"/>
          <w:sz w:val="22"/>
          <w:szCs w:val="22"/>
        </w:rPr>
        <w:t xml:space="preserve">Desde la terminal, conectar al MCP Server (detecta la instancia abierta de PBI Desktop).</w:t>
      </w:r>
    </w:p>
    <w:p>
      <w:pPr>
        <w:pStyle w:val="ListParagraph"/>
        <w:numPr>
          <w:ilvl w:val="0"/>
          <w:numId w:val="5"/>
        </w:numPr>
        <w:spacing w:after="60"/>
      </w:pPr>
      <w:r>
        <w:rPr>
          <w:rFonts w:ascii="Arial" w:cs="Arial" w:eastAsia="Arial" w:hAnsi="Arial"/>
          <w:sz w:val="22"/>
          <w:szCs w:val="22"/>
        </w:rPr>
        <w:t xml:space="preserve">Usar database_operations &gt; List para verificar la conexión.</w:t>
      </w:r>
    </w:p>
    <w:p>
      <w:pPr>
        <w:pStyle w:val="ListParagraph"/>
        <w:numPr>
          <w:ilvl w:val="0"/>
          <w:numId w:val="5"/>
        </w:numPr>
        <w:spacing w:after="60"/>
      </w:pPr>
      <w:r>
        <w:rPr>
          <w:rFonts w:ascii="Arial" w:cs="Arial" w:eastAsia="Arial" w:hAnsi="Arial"/>
          <w:sz w:val="22"/>
          <w:szCs w:val="22"/>
        </w:rPr>
        <w:t xml:space="preserve">Crear relaciones con relationship_operations &gt; Create (definir fromTable, fromColumn, toTable, toColumn).</w:t>
      </w:r>
    </w:p>
    <w:p>
      <w:pPr>
        <w:pStyle w:val="ListParagraph"/>
        <w:numPr>
          <w:ilvl w:val="0"/>
          <w:numId w:val="5"/>
        </w:numPr>
        <w:spacing w:after="60"/>
      </w:pPr>
      <w:r>
        <w:rPr>
          <w:rFonts w:ascii="Arial" w:cs="Arial" w:eastAsia="Arial" w:hAnsi="Arial"/>
          <w:sz w:val="22"/>
          <w:szCs w:val="22"/>
        </w:rPr>
        <w:t xml:space="preserve">Crear medidas DAX con measure_operations &gt; Create (name, expression, tableName, formatString).</w:t>
      </w:r>
    </w:p>
    <w:p>
      <w:pPr>
        <w:pStyle w:val="ListParagraph"/>
        <w:numPr>
          <w:ilvl w:val="0"/>
          <w:numId w:val="5"/>
        </w:numPr>
        <w:spacing w:after="60"/>
      </w:pPr>
      <w:r>
        <w:rPr>
          <w:rFonts w:ascii="Arial" w:cs="Arial" w:eastAsia="Arial" w:hAnsi="Arial"/>
          <w:sz w:val="22"/>
          <w:szCs w:val="22"/>
        </w:rPr>
        <w:t xml:space="preserve">Validar medidas con dax_query_operations &gt; Execute (EVALUATE + filtros).</w:t>
      </w:r>
    </w:p>
    <w:p>
      <w:pPr>
        <w:pStyle w:val="ListParagraph"/>
        <w:numPr>
          <w:ilvl w:val="0"/>
          <w:numId w:val="5"/>
        </w:numPr>
        <w:spacing w:after="60"/>
      </w:pPr>
      <w:r>
        <w:rPr>
          <w:rFonts w:ascii="Arial" w:cs="Arial" w:eastAsia="Arial" w:hAnsi="Arial"/>
          <w:sz w:val="22"/>
          <w:szCs w:val="22"/>
        </w:rPr>
        <w:t xml:space="preserve">Exportar el modelo a TMDL para documentación y respaldo.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2"/>
              <w:bottom w:val="single" w:color="2E86AB" w:sz="1"/>
              <w:right w:val="single" w:color="2E86AB" w:sz="1"/>
            </w:tcBorders>
            <w:shd w:fill="E8F1F8" w:val="clear"/>
            <w:tcMar>
              <w:top w:type="dxa" w:w="120"/>
              <w:left w:type="dxa" w:w="200"/>
              <w:bottom w:type="dxa" w:w="120"/>
              <w:right w:type="dxa" w:w="200"/>
            </w:tcMar>
          </w:tcPr>
          <w:p>
            <w:r>
              <w:rPr>
                <w:rFonts w:ascii="Arial" w:cs="Arial" w:eastAsia="Arial" w:hAnsi="Arial"/>
                <w:i/>
                <w:iCs/>
                <w:color w:val="1B3A5C"/>
                <w:sz w:val="22"/>
                <w:szCs w:val="22"/>
              </w:rPr>
              <w:t xml:space="preserve">Ventaja de velocidad: lo que normalmente toma 2–3 horas haciendo clic en Power BI (crear 15+ medidas, definir relaciones, crear calendario), con MCP se puede hacer en 30–45 minutos.</w:t>
            </w:r>
          </w:p>
        </w:tc>
      </w:tr>
    </w:tbl>
    <w:p>
      <w:pPr>
        <w:pStyle w:val="Heading2"/>
      </w:pPr>
      <w:r>
        <w:rPr>
          <w:rFonts w:ascii="Arial" w:cs="Arial" w:eastAsia="Arial" w:hAnsi="Arial"/>
          <w:b/>
          <w:bCs/>
        </w:rPr>
        <w:t xml:space="preserve">6.3. Medidas DAX específicas para el proyecto</w:t>
      </w:r>
    </w:p>
    <w:p>
      <w:pPr>
        <w:spacing w:after="120" w:before="0"/>
        <w:jc w:val="both"/>
      </w:pPr>
      <w:r>
        <w:rPr>
          <w:rFonts w:ascii="Arial" w:cs="Arial" w:eastAsia="Arial" w:hAnsi="Arial"/>
          <w:b w:val="false"/>
          <w:bCs w:val="false"/>
          <w:i w:val="false"/>
          <w:iCs w:val="false"/>
          <w:color w:val="1A1A1A"/>
          <w:sz w:val="22"/>
          <w:szCs w:val="22"/>
        </w:rPr>
        <w:t xml:space="preserve">Estas son las medidas DAX que el equipo debe crear para el dashboard de herramientas e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Medida</w:t>
            </w:r>
          </w:p>
        </w:tc>
        <w:tc>
          <w:tcPr>
            <w:tcW w:type="dxa" w:w="45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Expresión DAX (concepto)</w:t>
            </w:r>
          </w:p>
        </w:tc>
        <w:tc>
          <w:tcPr>
            <w:tcW w:type="dxa" w:w="24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Página donde se usa</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Total Respondentes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COUNTROWS(Hechos)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Todas (KPI)</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 Adopción IA</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DIVIDE(CALCULATE(COUNTROWS(H), H[AISelect]="Yes"), [Total Resp.])</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Pág. 1 (KPI)</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Usuarios por Herramienta</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COUNTROWS(FILTER(HerramientasIA, ...))</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Pág. 1 (barras)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 Uso Diario IA</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DIVIDE(CALCULATE(COUNTROWS, AIFreq="Daily"), [Total Resp.])</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Pág. 1 (KPI)</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Confianza Promedio</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AVERAGE o distribución de AIAcc</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Pág. 2 (KPI + gráfico)</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Sentimiento Favorable %</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DIVIDE(CALCULATE(COUNTROWS, AISent IN {"Favorable","Very fav."}), total)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Pág. 2 (barras)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Salario Mediano</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MEDIAN(Hechos[ConvertedCompYearly])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Pág. 4 (boxplot)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Usuarios Python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CALCULATE(COUNTROWS(H), CONTAINSSTRING(H[Lang], "Python"))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Pág. 3 (treemap)</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Top Herramienta IA</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TOPN(1, VALUES(DimAI[Tool]), [Usuarios por Herr.], DESC)</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Pág. 1 (KPI texto)</w:t>
            </w:r>
          </w:p>
        </w:tc>
      </w:tr>
    </w:tbl>
    <w:p>
      <w:pPr>
        <w:pStyle w:val="Heading1"/>
      </w:pPr>
      <w:r>
        <w:rPr>
          <w:rFonts w:ascii="Arial" w:cs="Arial" w:eastAsia="Arial" w:hAnsi="Arial"/>
          <w:b/>
          <w:bCs/>
        </w:rPr>
        <w:t xml:space="preserve">7. Estrategia de color</w:t>
      </w:r>
    </w:p>
    <w:p>
      <w:pPr>
        <w:spacing w:after="120" w:before="0"/>
        <w:jc w:val="both"/>
      </w:pPr>
      <w:r>
        <w:rPr>
          <w:rFonts w:ascii="Arial" w:cs="Arial" w:eastAsia="Arial" w:hAnsi="Arial"/>
          <w:b w:val="false"/>
          <w:bCs w:val="false"/>
          <w:i w:val="false"/>
          <w:iCs w:val="false"/>
          <w:color w:val="1A1A1A"/>
          <w:sz w:val="22"/>
          <w:szCs w:val="22"/>
        </w:rPr>
        <w:t xml:space="preserve">El color debe tener función semántica, no decorativa. La rúbrica exige señalar y explicar verbalmente al menos un ejemplo verificable en pantalla.</w:t>
      </w:r>
    </w:p>
    <w:p>
      <w:pPr>
        <w:pStyle w:val="Heading2"/>
      </w:pPr>
      <w:r>
        <w:rPr>
          <w:rFonts w:ascii="Arial" w:cs="Arial" w:eastAsia="Arial" w:hAnsi="Arial"/>
          <w:b/>
          <w:bCs/>
        </w:rPr>
        <w:t xml:space="preserve">7.1. Paleta propuesta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80"/>
        <w:gridCol w:w="3080"/>
      </w:tblGrid>
      <w:tr>
        <w:tc>
          <w:tcPr>
            <w:tcW w:type="dxa" w:w="18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Color</w:t>
            </w:r>
          </w:p>
        </w:tc>
        <w:tc>
          <w:tcPr>
            <w:tcW w:type="dxa" w:w="14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Hex</w:t>
            </w:r>
          </w:p>
        </w:tc>
        <w:tc>
          <w:tcPr>
            <w:tcW w:type="dxa" w:w="308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Función semántica</w:t>
            </w:r>
          </w:p>
        </w:tc>
        <w:tc>
          <w:tcPr>
            <w:tcW w:type="dxa" w:w="308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Ejemplo de uso</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Azul oscuro</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#1B3A5C</w:t>
            </w:r>
          </w:p>
        </w:tc>
        <w:tc>
          <w:tcPr>
            <w:tcW w:type="dxa" w:w="3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Datos primarios, métricas principales</w:t>
            </w:r>
          </w:p>
        </w:tc>
        <w:tc>
          <w:tcPr>
            <w:tcW w:type="dxa" w:w="3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Barras de adopción, línea de tendencia</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Teal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#2E86AB</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Segundo eje, elementos de apoyo</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Segundo eje en combinado, filtros activos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Naranja</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#F18F01</w:t>
            </w:r>
          </w:p>
        </w:tc>
        <w:tc>
          <w:tcPr>
            <w:tcW w:type="dxa" w:w="3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Alerta, destaque, atención</w:t>
            </w:r>
          </w:p>
        </w:tc>
        <w:tc>
          <w:tcPr>
            <w:tcW w:type="dxa" w:w="3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KPI de confianza baja, herramienta con caída</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Verde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#059669</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Positivo, crecimiento, meta OK</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Adopción creciente, sentimiento favorable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Rojo suave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#DC2626</w:t>
            </w:r>
          </w:p>
        </w:tc>
        <w:tc>
          <w:tcPr>
            <w:tcW w:type="dxa" w:w="3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Negativo, riesgo, caída</w:t>
            </w:r>
          </w:p>
        </w:tc>
        <w:tc>
          <w:tcPr>
            <w:tcW w:type="dxa" w:w="3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Caída de confianza YoY, sentimiento negativo</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Gris claro</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#E5E7EB</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Contexto, fondo, secundario</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Fondo tarjetas, gridlines, texto auxiliar</w:t>
            </w:r>
          </w:p>
        </w:tc>
      </w:tr>
    </w:tbl>
    <w:p>
      <w:pPr>
        <w:pStyle w:val="Heading2"/>
      </w:pPr>
      <w:r>
        <w:rPr>
          <w:rFonts w:ascii="Arial" w:cs="Arial" w:eastAsia="Arial" w:hAnsi="Arial"/>
          <w:b/>
          <w:bCs/>
        </w:rPr>
        <w:t xml:space="preserve">7.2. Reglas de aplicación</w:t>
      </w:r>
    </w:p>
    <w:p>
      <w:pPr>
        <w:pStyle w:val="ListParagraph"/>
        <w:numPr>
          <w:ilvl w:val="0"/>
          <w:numId w:val="3"/>
        </w:numPr>
        <w:spacing w:after="60"/>
      </w:pPr>
      <w:r>
        <w:rPr>
          <w:rFonts w:ascii="Arial" w:cs="Arial" w:eastAsia="Arial" w:hAnsi="Arial"/>
          <w:sz w:val="22"/>
          <w:szCs w:val="22"/>
        </w:rPr>
        <w:t xml:space="preserve">Máximo 5–6 colores en todo el dashboard.</w:t>
      </w:r>
    </w:p>
    <w:p>
      <w:pPr>
        <w:pStyle w:val="ListParagraph"/>
        <w:numPr>
          <w:ilvl w:val="0"/>
          <w:numId w:val="3"/>
        </w:numPr>
        <w:spacing w:after="60"/>
      </w:pPr>
      <w:r>
        <w:rPr>
          <w:rFonts w:ascii="Arial" w:cs="Arial" w:eastAsia="Arial" w:hAnsi="Arial"/>
          <w:sz w:val="22"/>
          <w:szCs w:val="22"/>
        </w:rPr>
        <w:t xml:space="preserve">Un solo color para una misma categoría en TODAS las páginas.</w:t>
      </w:r>
    </w:p>
    <w:p>
      <w:pPr>
        <w:pStyle w:val="ListParagraph"/>
        <w:numPr>
          <w:ilvl w:val="0"/>
          <w:numId w:val="3"/>
        </w:numPr>
        <w:spacing w:after="60"/>
      </w:pPr>
      <w:r>
        <w:rPr>
          <w:rFonts w:ascii="Arial" w:cs="Arial" w:eastAsia="Arial" w:hAnsi="Arial"/>
          <w:sz w:val="22"/>
          <w:szCs w:val="22"/>
        </w:rPr>
        <w:t xml:space="preserve">Fondo siempre claro (blanco o gris tenue).</w:t>
      </w:r>
    </w:p>
    <w:p>
      <w:pPr>
        <w:pStyle w:val="ListParagraph"/>
        <w:numPr>
          <w:ilvl w:val="0"/>
          <w:numId w:val="3"/>
        </w:numPr>
        <w:spacing w:after="60"/>
      </w:pPr>
      <w:r>
        <w:rPr>
          <w:rFonts w:ascii="Arial" w:cs="Arial" w:eastAsia="Arial" w:hAnsi="Arial"/>
          <w:sz w:val="22"/>
          <w:szCs w:val="22"/>
        </w:rPr>
        <w:t xml:space="preserve">Reservar saturación para alertas puntuales.</w:t>
      </w:r>
    </w:p>
    <w:p>
      <w:pPr>
        <w:pStyle w:val="ListParagraph"/>
        <w:numPr>
          <w:ilvl w:val="0"/>
          <w:numId w:val="3"/>
        </w:numPr>
        <w:spacing w:after="60"/>
      </w:pPr>
      <w:r>
        <w:rPr>
          <w:rFonts w:ascii="Arial" w:cs="Arial" w:eastAsia="Arial" w:hAnsi="Arial"/>
          <w:sz w:val="22"/>
          <w:szCs w:val="22"/>
        </w:rPr>
        <w:t xml:space="preserve">Incluir al menos un formato condicional (color automático basado en umbral).</w:t>
      </w:r>
    </w:p>
    <w:p>
      <w:pPr>
        <w:pStyle w:val="ListParagraph"/>
        <w:numPr>
          <w:ilvl w:val="0"/>
          <w:numId w:val="3"/>
        </w:numPr>
        <w:spacing w:after="60"/>
      </w:pPr>
      <w:r>
        <w:rPr>
          <w:rFonts w:ascii="Arial" w:cs="Arial" w:eastAsia="Arial" w:hAnsi="Arial"/>
          <w:sz w:val="22"/>
          <w:szCs w:val="22"/>
        </w:rPr>
        <w:t xml:space="preserve">Ejemplo concreto: si la confianza en IA es menor al 40%, el KPI cambia a naranja automáticamente.</w:t>
      </w:r>
    </w:p>
    <w:p>
      <w:pPr>
        <w:pStyle w:val="Heading1"/>
      </w:pPr>
      <w:r>
        <w:rPr>
          <w:rFonts w:ascii="Arial" w:cs="Arial" w:eastAsia="Arial" w:hAnsi="Arial"/>
          <w:b/>
          <w:bCs/>
        </w:rPr>
        <w:t xml:space="preserve">8. Plan de interactividad</w:t>
      </w:r>
    </w:p>
    <w:p>
      <w:pPr>
        <w:spacing w:after="120" w:before="0"/>
        <w:jc w:val="both"/>
      </w:pPr>
      <w:r>
        <w:rPr>
          <w:rFonts w:ascii="Arial" w:cs="Arial" w:eastAsia="Arial" w:hAnsi="Arial"/>
          <w:b w:val="false"/>
          <w:bCs w:val="false"/>
          <w:i w:val="false"/>
          <w:iCs w:val="false"/>
          <w:color w:val="1A1A1A"/>
          <w:sz w:val="22"/>
          <w:szCs w:val="22"/>
        </w:rPr>
        <w:t xml:space="preserve">La rúbrica asigna el 25% de la nota al manejo de la herramienta. Cada interacción debe estar justificada visual y verbalmente durante la sustentación.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c>
          <w:tcPr>
            <w:tcW w:type="dxa" w:w="20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Mecanismo</w:t>
            </w:r>
          </w:p>
        </w:tc>
        <w:tc>
          <w:tcPr>
            <w:tcW w:type="dxa" w:w="37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Implementación</w:t>
            </w:r>
          </w:p>
        </w:tc>
        <w:tc>
          <w:tcPr>
            <w:tcW w:type="dxa" w:w="36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Justificación en sustentación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Segmentadores</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3–4 slicers globales: región, nivel experiencia, rol, año (si aplica)</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Filtran la población para responder preguntas específicas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Cross-filter</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Clic en barra de ChatGPT filtra automáticamente confianza, salario, región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"Si selecciono ChatGPT, vean cómo cambia la confianza vs. Copilot"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Drill-through</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Desde herramienta IA en Pág.1, navegar a detalle en Pág.2</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Profundizar sin saturar la vista principal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Tooltips custom.</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Cursor sobre país muestra mini-gráfico de top 3 herramientas IA</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Capas de información sin ocupar espacio visual</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Bookmarks</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Botón: "Usa actualmente" vs. "Quiere usar" para cambiar vista</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Dos perspectivas del mismo análisis con un clic</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Navegación</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Botones o íconos para moverse entre las 5 páginas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Flujo narrativo controlado durante la sustentación</w:t>
            </w:r>
          </w:p>
        </w:tc>
      </w:tr>
    </w:tbl>
    <w:p>
      <w:pPr>
        <w:pStyle w:val="Heading1"/>
      </w:pPr>
      <w:r>
        <w:rPr>
          <w:rFonts w:ascii="Arial" w:cs="Arial" w:eastAsia="Arial" w:hAnsi="Arial"/>
          <w:b/>
          <w:bCs/>
        </w:rPr>
        <w:t xml:space="preserve">9. Estrategia de sustentación</w:t>
      </w:r>
    </w:p>
    <w:p>
      <w:pPr>
        <w:pStyle w:val="Heading2"/>
      </w:pPr>
      <w:r>
        <w:rPr>
          <w:rFonts w:ascii="Arial" w:cs="Arial" w:eastAsia="Arial" w:hAnsi="Arial"/>
          <w:b/>
          <w:bCs/>
        </w:rPr>
        <w:t xml:space="preserve">9.1. Estructura de la presentación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760"/>
        <w:gridCol w:w="2400"/>
      </w:tblGrid>
      <w:tr>
        <w:tc>
          <w:tcPr>
            <w:tcW w:type="dxa" w:w="8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Min.</w:t>
            </w:r>
          </w:p>
        </w:tc>
        <w:tc>
          <w:tcPr>
            <w:tcW w:type="dxa" w:w="24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Bloque</w:t>
            </w:r>
          </w:p>
        </w:tc>
        <w:tc>
          <w:tcPr>
            <w:tcW w:type="dxa" w:w="37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Contenido</w:t>
            </w:r>
          </w:p>
        </w:tc>
        <w:tc>
          <w:tcPr>
            <w:tcW w:type="dxa" w:w="24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Quién</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0–2</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Contexto</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Problema: un VP de ingeniería necesita decidir qué herramientas IA estandarizar. Fuente: Stack Overflow 2025, 49K+ devs.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Integrante A</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2–3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Objetivos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 preguntas: adopción IA, confianza vs. uso, ecosistema de herramientas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Integrante A</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3–8</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Págs. 1–2</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KPIs, barras de herramientas IA, paradoja confianza-adopción. Interacciones EN VIVO.</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Integrante B</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8–12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Págs. 3–4</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IDEs, LLMs, perfiles. Interacciones EN VIVO. Explicar color y distribución.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Integrante C</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12–14</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Hallazgos</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3–5 conclusiones: qué herramientas estandarizar, dónde capacitar, qué riesgos.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Integrante A</w:t>
            </w:r>
          </w:p>
        </w:tc>
      </w:tr>
      <w:tr>
        <w:tc>
          <w:tcPr>
            <w:tcW w:type="dxa" w:w="800"/>
            <w:tcBorders>
              <w:top w:val="single" w:color="D1D5DB" w:sz="1"/>
              <w:left w:val="single" w:color="D1D5DB" w:sz="1"/>
              <w:bottom w:val="single" w:color="D1D5DB" w:sz="1"/>
              <w:right w:val="single" w:color="D1D5DB" w:sz="1"/>
            </w:tcBorders>
            <w:shd w:fill="FFF3E0"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14–20</w:t>
            </w:r>
          </w:p>
        </w:tc>
        <w:tc>
          <w:tcPr>
            <w:tcW w:type="dxa" w:w="2400"/>
            <w:tcBorders>
              <w:top w:val="single" w:color="D1D5DB" w:sz="1"/>
              <w:left w:val="single" w:color="D1D5DB" w:sz="1"/>
              <w:bottom w:val="single" w:color="D1D5DB" w:sz="1"/>
              <w:right w:val="single" w:color="D1D5DB" w:sz="1"/>
            </w:tcBorders>
            <w:shd w:fill="FFF3E0" w:val="clear"/>
            <w:tcMar>
              <w:top w:type="dxa" w:w="80"/>
              <w:left w:type="dxa" w:w="120"/>
              <w:bottom w:type="dxa" w:w="80"/>
              <w:right w:type="dxa" w:w="120"/>
            </w:tcMar>
          </w:tcPr>
          <w:p>
            <w:pPr>
              <w:jc w:val="left"/>
            </w:pPr>
            <w:r>
              <w:rPr>
                <w:rFonts w:ascii="Arial" w:cs="Arial" w:eastAsia="Arial" w:hAnsi="Arial"/>
                <w:b/>
                <w:bCs/>
                <w:color w:val="1A1A1A"/>
                <w:sz w:val="20"/>
                <w:szCs w:val="20"/>
              </w:rPr>
              <w:t xml:space="preserve">Preguntas</w:t>
            </w:r>
          </w:p>
        </w:tc>
        <w:tc>
          <w:tcPr>
            <w:tcW w:type="dxa" w:w="3760"/>
            <w:tcBorders>
              <w:top w:val="single" w:color="D1D5DB" w:sz="1"/>
              <w:left w:val="single" w:color="D1D5DB" w:sz="1"/>
              <w:bottom w:val="single" w:color="D1D5DB" w:sz="1"/>
              <w:right w:val="single" w:color="D1D5DB" w:sz="1"/>
            </w:tcBorders>
            <w:shd w:fill="FFF3E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Dominio técnico: modelo, DAX, limpieza, gráficos, MCP, color.</w:t>
            </w:r>
          </w:p>
        </w:tc>
        <w:tc>
          <w:tcPr>
            <w:tcW w:type="dxa" w:w="2400"/>
            <w:tcBorders>
              <w:top w:val="single" w:color="D1D5DB" w:sz="1"/>
              <w:left w:val="single" w:color="D1D5DB" w:sz="1"/>
              <w:bottom w:val="single" w:color="D1D5DB" w:sz="1"/>
              <w:right w:val="single" w:color="D1D5DB" w:sz="1"/>
            </w:tcBorders>
            <w:shd w:fill="FFF3E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Todos</w:t>
            </w:r>
          </w:p>
        </w:tc>
      </w:tr>
    </w:tbl>
    <w:p>
      <w:pPr>
        <w:pStyle w:val="Heading2"/>
      </w:pPr>
      <w:r>
        <w:rPr>
          <w:rFonts w:ascii="Arial" w:cs="Arial" w:eastAsia="Arial" w:hAnsi="Arial"/>
          <w:b/>
          <w:bCs/>
        </w:rPr>
        <w:t xml:space="preserve">9.2. Cómo explicar el color (crítico para nivel 5)</w:t>
      </w:r>
    </w:p>
    <w:p>
      <w:pPr>
        <w:spacing w:after="120" w:before="0"/>
        <w:jc w:val="both"/>
      </w:pPr>
      <w:r>
        <w:rPr>
          <w:rFonts w:ascii="Arial" w:cs="Arial" w:eastAsia="Arial" w:hAnsi="Arial"/>
          <w:b w:val="false"/>
          <w:bCs w:val="false"/>
          <w:i w:val="false"/>
          <w:iCs w:val="false"/>
          <w:color w:val="1A1A1A"/>
          <w:sz w:val="22"/>
          <w:szCs w:val="22"/>
        </w:rPr>
        <w:t xml:space="preserve">Señalar en pantalla y decir: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2"/>
              <w:bottom w:val="single" w:color="2E86AB" w:sz="1"/>
              <w:right w:val="single" w:color="2E86AB" w:sz="1"/>
            </w:tcBorders>
            <w:shd w:fill="E8F1F8" w:val="clear"/>
            <w:tcMar>
              <w:top w:type="dxa" w:w="120"/>
              <w:left w:type="dxa" w:w="200"/>
              <w:bottom w:type="dxa" w:w="120"/>
              <w:right w:type="dxa" w:w="200"/>
            </w:tcMar>
          </w:tcPr>
          <w:p>
            <w:r>
              <w:rPr>
                <w:rFonts w:ascii="Arial" w:cs="Arial" w:eastAsia="Arial" w:hAnsi="Arial"/>
                <w:i/>
                <w:iCs/>
                <w:color w:val="1B3A5C"/>
                <w:sz w:val="22"/>
                <w:szCs w:val="22"/>
              </w:rPr>
              <w:t xml:space="preserve">"Usamos naranja exclusivamente para alertas. En el KPI de confianza en IA, cuando el porcentaje cae por debajo del 40%, la tarjeta cambia a naranja automáticamente mediante formato condicional. Esto permite que el VP de ingeniería identifique rápidamente dónde hay riesgos de adopción sin leer cada número. El verde se usa únicamente para indicadores que superan el umbral esperado."</w:t>
            </w:r>
          </w:p>
        </w:tc>
      </w:tr>
    </w:tbl>
    <w:p>
      <w:pPr>
        <w:spacing w:after="60"/>
      </w:pPr>
    </w:p>
    <w:p>
      <w:pPr>
        <w:pStyle w:val="Heading2"/>
      </w:pPr>
      <w:r>
        <w:rPr>
          <w:rFonts w:ascii="Arial" w:cs="Arial" w:eastAsia="Arial" w:hAnsi="Arial"/>
          <w:b/>
          <w:bCs/>
        </w:rPr>
        <w:t xml:space="preserve">9.3. Cómo explicar la distribución (crítico para nivel 5)</w:t>
      </w:r>
    </w:p>
    <w:p>
      <w:pPr>
        <w:spacing w:after="120" w:before="0"/>
        <w:jc w:val="both"/>
      </w:pPr>
      <w:r>
        <w:rPr>
          <w:rFonts w:ascii="Arial" w:cs="Arial" w:eastAsia="Arial" w:hAnsi="Arial"/>
          <w:b w:val="false"/>
          <w:bCs w:val="false"/>
          <w:i w:val="false"/>
          <w:iCs w:val="false"/>
          <w:color w:val="1A1A1A"/>
          <w:sz w:val="22"/>
          <w:szCs w:val="22"/>
        </w:rPr>
        <w:t xml:space="preserve">Señalar en pantalla y decir: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2"/>
              <w:bottom w:val="single" w:color="2E86AB" w:sz="1"/>
              <w:right w:val="single" w:color="2E86AB" w:sz="1"/>
            </w:tcBorders>
            <w:shd w:fill="E8F1F8" w:val="clear"/>
            <w:tcMar>
              <w:top w:type="dxa" w:w="120"/>
              <w:left w:type="dxa" w:w="200"/>
              <w:bottom w:type="dxa" w:w="120"/>
              <w:right w:type="dxa" w:w="200"/>
            </w:tcMar>
          </w:tcPr>
          <w:p>
            <w:r>
              <w:rPr>
                <w:rFonts w:ascii="Arial" w:cs="Arial" w:eastAsia="Arial" w:hAnsi="Arial"/>
                <w:i/>
                <w:iCs/>
                <w:color w:val="1B3A5C"/>
                <w:sz w:val="22"/>
                <w:szCs w:val="22"/>
              </w:rPr>
              <w:t xml:space="preserve">"Organizamos esta página siguiendo un patrón Z: el ojo del usuario empieza arriba a la izquierda con el título y los 4 KPIs, luego baja al gráfico principal de barras que ocupa el 50% del área porque responde la pregunta central — qué herramientas IA dominan. Finalmente, abajo a la derecha están los gráficos complementarios que dan contexto. El tamaño del gráfico principal es intencionalmente mayor porque jerarquía visual = importancia analítica."</w:t>
            </w:r>
          </w:p>
        </w:tc>
      </w:tr>
    </w:tbl>
    <w:p>
      <w:pPr>
        <w:pStyle w:val="Heading2"/>
      </w:pPr>
      <w:r>
        <w:rPr>
          <w:rFonts w:ascii="Arial" w:cs="Arial" w:eastAsia="Arial" w:hAnsi="Arial"/>
          <w:b/>
          <w:bCs/>
        </w:rPr>
        <w:t xml:space="preserve">9.4. Preguntas técnicas probables</w:t>
      </w:r>
    </w:p>
    <w:p>
      <w:pPr>
        <w:pStyle w:val="ListParagraph"/>
        <w:numPr>
          <w:ilvl w:val="0"/>
          <w:numId w:val="3"/>
        </w:numPr>
        <w:spacing w:after="60"/>
      </w:pPr>
      <w:r>
        <w:rPr>
          <w:rFonts w:ascii="Arial" w:cs="Arial" w:eastAsia="Arial" w:hAnsi="Arial"/>
          <w:b/>
          <w:bCs/>
          <w:i w:val="false"/>
          <w:iCs w:val="false"/>
          <w:color w:val="1A1A1A"/>
          <w:sz w:val="22"/>
          <w:szCs w:val="22"/>
        </w:rPr>
        <w:t xml:space="preserve">"¿Por qué barras horizontales para herramientas IA?": </w:t>
      </w:r>
      <w:r>
        <w:rPr>
          <w:rFonts w:ascii="Arial" w:cs="Arial" w:eastAsia="Arial" w:hAnsi="Arial"/>
          <w:b w:val="false"/>
          <w:bCs w:val="false"/>
          <w:i w:val="false"/>
          <w:iCs w:val="false"/>
          <w:color w:val="1A1A1A"/>
          <w:sz w:val="22"/>
          <w:szCs w:val="22"/>
        </w:rPr>
        <w:t xml:space="preserve">Porque hay 10+ categorías con nombres largos (GitHub Copilot, ChatGPT, etc.). Las barras horizontales permiten leer las etiquetas sin rotarlas. Además, facilitan la comparación de magnitud.</w:t>
      </w:r>
    </w:p>
    <w:p>
      <w:pPr>
        <w:pStyle w:val="ListParagraph"/>
        <w:numPr>
          <w:ilvl w:val="0"/>
          <w:numId w:val="3"/>
        </w:numPr>
        <w:spacing w:after="60"/>
      </w:pPr>
      <w:r>
        <w:rPr>
          <w:rFonts w:ascii="Arial" w:cs="Arial" w:eastAsia="Arial" w:hAnsi="Arial"/>
          <w:b/>
          <w:bCs/>
          <w:i w:val="false"/>
          <w:iCs w:val="false"/>
          <w:color w:val="1A1A1A"/>
          <w:sz w:val="22"/>
          <w:szCs w:val="22"/>
        </w:rPr>
        <w:t xml:space="preserve">"¿Cómo manejaron las columnas multi-selección?": </w:t>
      </w:r>
      <w:r>
        <w:rPr>
          <w:rFonts w:ascii="Arial" w:cs="Arial" w:eastAsia="Arial" w:hAnsi="Arial"/>
          <w:b w:val="false"/>
          <w:bCs w:val="false"/>
          <w:i w:val="false"/>
          <w:iCs w:val="false"/>
          <w:color w:val="1A1A1A"/>
          <w:sz w:val="22"/>
          <w:szCs w:val="22"/>
        </w:rPr>
        <w:t xml:space="preserve">Para AISelect creamos una tabla dimensión separada con Split + Unpivot en Power Query. Para lenguajes y bases de datos usamos CONTAINSSTRING() en DAX para filtrar sin explotar las filas.</w:t>
      </w:r>
    </w:p>
    <w:p>
      <w:pPr>
        <w:pStyle w:val="ListParagraph"/>
        <w:numPr>
          <w:ilvl w:val="0"/>
          <w:numId w:val="3"/>
        </w:numPr>
        <w:spacing w:after="60"/>
      </w:pPr>
      <w:r>
        <w:rPr>
          <w:rFonts w:ascii="Arial" w:cs="Arial" w:eastAsia="Arial" w:hAnsi="Arial"/>
          <w:b/>
          <w:bCs/>
          <w:i w:val="false"/>
          <w:iCs w:val="false"/>
          <w:color w:val="1A1A1A"/>
          <w:sz w:val="22"/>
          <w:szCs w:val="22"/>
        </w:rPr>
        <w:t xml:space="preserve">"¿Qué medidas DAX crearon?": </w:t>
      </w:r>
      <w:r>
        <w:rPr>
          <w:rFonts w:ascii="Arial" w:cs="Arial" w:eastAsia="Arial" w:hAnsi="Arial"/>
          <w:b w:val="false"/>
          <w:bCs w:val="false"/>
          <w:i w:val="false"/>
          <w:iCs w:val="false"/>
          <w:color w:val="1A1A1A"/>
          <w:sz w:val="22"/>
          <w:szCs w:val="22"/>
        </w:rPr>
        <w:t xml:space="preserve">COUNTROWS para totales, DIVIDE para porcentajes, MEDIAN para salarios, CALCULATE con filtros para segmentar por herramienta, CONTAINSSTRING para multi-selección, formato condicional con IF para colores semánticos.</w:t>
      </w:r>
    </w:p>
    <w:p>
      <w:pPr>
        <w:pStyle w:val="ListParagraph"/>
        <w:numPr>
          <w:ilvl w:val="0"/>
          <w:numId w:val="3"/>
        </w:numPr>
        <w:spacing w:after="60"/>
      </w:pPr>
      <w:r>
        <w:rPr>
          <w:rFonts w:ascii="Arial" w:cs="Arial" w:eastAsia="Arial" w:hAnsi="Arial"/>
          <w:b/>
          <w:bCs/>
          <w:i w:val="false"/>
          <w:iCs w:val="false"/>
          <w:color w:val="1A1A1A"/>
          <w:sz w:val="22"/>
          <w:szCs w:val="22"/>
        </w:rPr>
        <w:t xml:space="preserve">"¿Cómo está el modelo de datos?": </w:t>
      </w:r>
      <w:r>
        <w:rPr>
          <w:rFonts w:ascii="Arial" w:cs="Arial" w:eastAsia="Arial" w:hAnsi="Arial"/>
          <w:b w:val="false"/>
          <w:bCs w:val="false"/>
          <w:i w:val="false"/>
          <w:iCs w:val="false"/>
          <w:color w:val="1A1A1A"/>
          <w:sz w:val="22"/>
          <w:szCs w:val="22"/>
        </w:rPr>
        <w:t xml:space="preserve">Modelo estrella: tabla de hechos (respuestas), dimensiones de países, herramientas IA (unpivoted), roles, niveles educativos. Relaciones uno-a-muchos desde dimensiones hacia hechos.</w:t>
      </w:r>
    </w:p>
    <w:p>
      <w:pPr>
        <w:pStyle w:val="ListParagraph"/>
        <w:numPr>
          <w:ilvl w:val="0"/>
          <w:numId w:val="3"/>
        </w:numPr>
        <w:spacing w:after="60"/>
      </w:pPr>
      <w:r>
        <w:rPr>
          <w:rFonts w:ascii="Arial" w:cs="Arial" w:eastAsia="Arial" w:hAnsi="Arial"/>
          <w:b/>
          <w:bCs/>
          <w:i w:val="false"/>
          <w:iCs w:val="false"/>
          <w:color w:val="1A1A1A"/>
          <w:sz w:val="22"/>
          <w:szCs w:val="22"/>
        </w:rPr>
        <w:t xml:space="preserve">"¿Por qué Power BI?": </w:t>
      </w:r>
      <w:r>
        <w:rPr>
          <w:rFonts w:ascii="Arial" w:cs="Arial" w:eastAsia="Arial" w:hAnsi="Arial"/>
          <w:b w:val="false"/>
          <w:bCs w:val="false"/>
          <w:i w:val="false"/>
          <w:iCs w:val="false"/>
          <w:color w:val="1A1A1A"/>
          <w:sz w:val="22"/>
          <w:szCs w:val="22"/>
        </w:rPr>
        <w:t xml:space="preserve">DAX para cálculos avanzados, Power Query para ETL visual, modelado estrella nativo, interactividad rica y publicación en la nube. El MCP Server nos permitió automatizar el modelado desde la terminal.</w:t>
      </w:r>
    </w:p>
    <w:p>
      <w:pPr>
        <w:pStyle w:val="ListParagraph"/>
        <w:numPr>
          <w:ilvl w:val="0"/>
          <w:numId w:val="3"/>
        </w:numPr>
        <w:spacing w:after="60"/>
      </w:pPr>
      <w:r>
        <w:rPr>
          <w:rFonts w:ascii="Arial" w:cs="Arial" w:eastAsia="Arial" w:hAnsi="Arial"/>
          <w:b/>
          <w:bCs/>
          <w:i w:val="false"/>
          <w:iCs w:val="false"/>
          <w:color w:val="1A1A1A"/>
          <w:sz w:val="22"/>
          <w:szCs w:val="22"/>
        </w:rPr>
        <w:t xml:space="preserve">"¿Qué registros excluyeron y por qué?": </w:t>
      </w:r>
      <w:r>
        <w:rPr>
          <w:rFonts w:ascii="Arial" w:cs="Arial" w:eastAsia="Arial" w:hAnsi="Arial"/>
          <w:b w:val="false"/>
          <w:bCs w:val="false"/>
          <w:i w:val="false"/>
          <w:iCs w:val="false"/>
          <w:color w:val="1A1A1A"/>
          <w:sz w:val="22"/>
          <w:szCs w:val="22"/>
        </w:rPr>
        <w:t xml:space="preserve">Excluimos no-profesionales (MainBranch != profesional), respuestas sin dato de IA (AISelect nulo), países sin identificar y salarios extremos (&lt;$1K o &gt;$500K USD). Documentamos la cantidad excluida en cada paso.</w:t>
      </w:r>
    </w:p>
    <w:p>
      <w:pPr>
        <w:pStyle w:val="Heading1"/>
      </w:pPr>
      <w:r>
        <w:rPr>
          <w:rFonts w:ascii="Arial" w:cs="Arial" w:eastAsia="Arial" w:hAnsi="Arial"/>
          <w:b/>
          <w:bCs/>
        </w:rPr>
        <w:t xml:space="preserve">10. Checklist pre-sustentación</w:t>
      </w:r>
    </w:p>
    <w:p>
      <w:pPr>
        <w:spacing w:after="120" w:before="0"/>
        <w:jc w:val="both"/>
      </w:pPr>
      <w:r>
        <w:rPr>
          <w:rFonts w:ascii="Arial" w:cs="Arial" w:eastAsia="Arial" w:hAnsi="Arial"/>
          <w:b w:val="false"/>
          <w:bCs w:val="false"/>
          <w:i w:val="false"/>
          <w:iCs w:val="false"/>
          <w:color w:val="1A1A1A"/>
          <w:sz w:val="22"/>
          <w:szCs w:val="22"/>
        </w:rPr>
        <w:t xml:space="preserve">Verificar cada punto ANTES del día de la sustentación.</w:t>
      </w:r>
    </w:p>
    <w:p>
      <w:pPr>
        <w:spacing w:after="120" w:before="0"/>
        <w:jc w:val="both"/>
      </w:pPr>
      <w:r>
        <w:rPr>
          <w:rFonts w:ascii="Arial" w:cs="Arial" w:eastAsia="Arial" w:hAnsi="Arial"/>
          <w:b/>
          <w:bCs/>
          <w:i w:val="false"/>
          <w:iCs w:val="false"/>
          <w:color w:val="1A1A1A"/>
          <w:sz w:val="22"/>
          <w:szCs w:val="22"/>
        </w:rPr>
        <w:t xml:space="preserve">Datos y modelo:</w:t>
      </w:r>
    </w:p>
    <w:p>
      <w:pPr>
        <w:pStyle w:val="ListParagraph"/>
        <w:numPr>
          <w:ilvl w:val="0"/>
          <w:numId w:val="3"/>
        </w:numPr>
        <w:spacing w:after="60"/>
      </w:pPr>
      <w:r>
        <w:rPr>
          <w:rFonts w:ascii="Arial" w:cs="Arial" w:eastAsia="Arial" w:hAnsi="Arial"/>
          <w:sz w:val="22"/>
          <w:szCs w:val="22"/>
        </w:rPr>
        <w:t xml:space="preserve">El archivo .pbix abre sin errores y los datos cargan correctamente.</w:t>
      </w:r>
    </w:p>
    <w:p>
      <w:pPr>
        <w:pStyle w:val="ListParagraph"/>
        <w:numPr>
          <w:ilvl w:val="0"/>
          <w:numId w:val="3"/>
        </w:numPr>
        <w:spacing w:after="60"/>
      </w:pPr>
      <w:r>
        <w:rPr>
          <w:rFonts w:ascii="Arial" w:cs="Arial" w:eastAsia="Arial" w:hAnsi="Arial"/>
          <w:sz w:val="22"/>
          <w:szCs w:val="22"/>
        </w:rPr>
        <w:t xml:space="preserve">Las rutas de archivos de datos son relativas o disponibles.</w:t>
      </w:r>
    </w:p>
    <w:p>
      <w:pPr>
        <w:pStyle w:val="ListParagraph"/>
        <w:numPr>
          <w:ilvl w:val="0"/>
          <w:numId w:val="3"/>
        </w:numPr>
        <w:spacing w:after="60"/>
      </w:pPr>
      <w:r>
        <w:rPr>
          <w:rFonts w:ascii="Arial" w:cs="Arial" w:eastAsia="Arial" w:hAnsi="Arial"/>
          <w:sz w:val="22"/>
          <w:szCs w:val="22"/>
        </w:rPr>
        <w:t xml:space="preserve">Las relaciones del modelo están definidas y son correctas.</w:t>
      </w:r>
    </w:p>
    <w:p>
      <w:pPr>
        <w:pStyle w:val="ListParagraph"/>
        <w:numPr>
          <w:ilvl w:val="0"/>
          <w:numId w:val="3"/>
        </w:numPr>
        <w:spacing w:after="60"/>
      </w:pPr>
      <w:r>
        <w:rPr>
          <w:rFonts w:ascii="Arial" w:cs="Arial" w:eastAsia="Arial" w:hAnsi="Arial"/>
          <w:sz w:val="22"/>
          <w:szCs w:val="22"/>
        </w:rPr>
        <w:t xml:space="preserve">Las medidas DAX devuelven valores coherentes.</w:t>
      </w:r>
    </w:p>
    <w:p>
      <w:pPr>
        <w:pStyle w:val="ListParagraph"/>
        <w:numPr>
          <w:ilvl w:val="0"/>
          <w:numId w:val="3"/>
        </w:numPr>
        <w:spacing w:after="60"/>
      </w:pPr>
      <w:r>
        <w:rPr>
          <w:rFonts w:ascii="Arial" w:cs="Arial" w:eastAsia="Arial" w:hAnsi="Arial"/>
          <w:sz w:val="22"/>
          <w:szCs w:val="22"/>
        </w:rPr>
        <w:t xml:space="preserve">Los registros excluidos están documentados con justificación.</w:t>
      </w:r>
    </w:p>
    <w:p>
      <w:pPr>
        <w:spacing w:after="120" w:before="0"/>
        <w:jc w:val="both"/>
      </w:pPr>
      <w:r>
        <w:rPr>
          <w:rFonts w:ascii="Arial" w:cs="Arial" w:eastAsia="Arial" w:hAnsi="Arial"/>
          <w:b/>
          <w:bCs/>
          <w:i w:val="false"/>
          <w:iCs w:val="false"/>
          <w:color w:val="1A1A1A"/>
          <w:sz w:val="22"/>
          <w:szCs w:val="22"/>
        </w:rPr>
        <w:t xml:space="preserve">Visualización:</w:t>
      </w:r>
    </w:p>
    <w:p>
      <w:pPr>
        <w:pStyle w:val="ListParagraph"/>
        <w:numPr>
          <w:ilvl w:val="0"/>
          <w:numId w:val="3"/>
        </w:numPr>
        <w:spacing w:after="60"/>
      </w:pPr>
      <w:r>
        <w:rPr>
          <w:rFonts w:ascii="Arial" w:cs="Arial" w:eastAsia="Arial" w:hAnsi="Arial"/>
          <w:sz w:val="22"/>
          <w:szCs w:val="22"/>
        </w:rPr>
        <w:t xml:space="preserve">Cada página tiene un título descriptivo (no "Página 1").</w:t>
      </w:r>
    </w:p>
    <w:p>
      <w:pPr>
        <w:pStyle w:val="ListParagraph"/>
        <w:numPr>
          <w:ilvl w:val="0"/>
          <w:numId w:val="3"/>
        </w:numPr>
        <w:spacing w:after="60"/>
      </w:pPr>
      <w:r>
        <w:rPr>
          <w:rFonts w:ascii="Arial" w:cs="Arial" w:eastAsia="Arial" w:hAnsi="Arial"/>
          <w:sz w:val="22"/>
          <w:szCs w:val="22"/>
        </w:rPr>
        <w:t xml:space="preserve">Hay un gráfico principal claramente identificable por tamaño.</w:t>
      </w:r>
    </w:p>
    <w:p>
      <w:pPr>
        <w:pStyle w:val="ListParagraph"/>
        <w:numPr>
          <w:ilvl w:val="0"/>
          <w:numId w:val="3"/>
        </w:numPr>
        <w:spacing w:after="60"/>
      </w:pPr>
      <w:r>
        <w:rPr>
          <w:rFonts w:ascii="Arial" w:cs="Arial" w:eastAsia="Arial" w:hAnsi="Arial"/>
          <w:sz w:val="22"/>
          <w:szCs w:val="22"/>
        </w:rPr>
        <w:t xml:space="preserve">Los KPIs están en la parte superior.</w:t>
      </w:r>
    </w:p>
    <w:p>
      <w:pPr>
        <w:pStyle w:val="ListParagraph"/>
        <w:numPr>
          <w:ilvl w:val="0"/>
          <w:numId w:val="3"/>
        </w:numPr>
        <w:spacing w:after="60"/>
      </w:pPr>
      <w:r>
        <w:rPr>
          <w:rFonts w:ascii="Arial" w:cs="Arial" w:eastAsia="Arial" w:hAnsi="Arial"/>
          <w:sz w:val="22"/>
          <w:szCs w:val="22"/>
        </w:rPr>
        <w:t xml:space="preserve">Los gráficos secundarios complementan, no compiten.</w:t>
      </w:r>
    </w:p>
    <w:p>
      <w:pPr>
        <w:pStyle w:val="ListParagraph"/>
        <w:numPr>
          <w:ilvl w:val="0"/>
          <w:numId w:val="3"/>
        </w:numPr>
        <w:spacing w:after="60"/>
      </w:pPr>
      <w:r>
        <w:rPr>
          <w:rFonts w:ascii="Arial" w:cs="Arial" w:eastAsia="Arial" w:hAnsi="Arial"/>
          <w:sz w:val="22"/>
          <w:szCs w:val="22"/>
        </w:rPr>
        <w:t xml:space="preserve">Las tablas están abajo con pocas columnas.</w:t>
      </w:r>
    </w:p>
    <w:p>
      <w:pPr>
        <w:pStyle w:val="ListParagraph"/>
        <w:numPr>
          <w:ilvl w:val="0"/>
          <w:numId w:val="3"/>
        </w:numPr>
        <w:spacing w:after="60"/>
      </w:pPr>
      <w:r>
        <w:rPr>
          <w:rFonts w:ascii="Arial" w:cs="Arial" w:eastAsia="Arial" w:hAnsi="Arial"/>
          <w:sz w:val="22"/>
          <w:szCs w:val="22"/>
        </w:rPr>
        <w:t xml:space="preserve">No hay más de 6–8 visuales por página.</w:t>
      </w:r>
    </w:p>
    <w:p>
      <w:pPr>
        <w:pStyle w:val="ListParagraph"/>
        <w:numPr>
          <w:ilvl w:val="0"/>
          <w:numId w:val="3"/>
        </w:numPr>
        <w:spacing w:after="60"/>
      </w:pPr>
      <w:r>
        <w:rPr>
          <w:rFonts w:ascii="Arial" w:cs="Arial" w:eastAsia="Arial" w:hAnsi="Arial"/>
          <w:sz w:val="22"/>
          <w:szCs w:val="22"/>
        </w:rPr>
        <w:t xml:space="preserve">Las etiquetas son legibles sin rotación forzada.</w:t>
      </w:r>
    </w:p>
    <w:p>
      <w:pPr>
        <w:spacing w:after="120" w:before="0"/>
        <w:jc w:val="both"/>
      </w:pPr>
      <w:r>
        <w:rPr>
          <w:rFonts w:ascii="Arial" w:cs="Arial" w:eastAsia="Arial" w:hAnsi="Arial"/>
          <w:b/>
          <w:bCs/>
          <w:i w:val="false"/>
          <w:iCs w:val="false"/>
          <w:color w:val="1A1A1A"/>
          <w:sz w:val="22"/>
          <w:szCs w:val="22"/>
        </w:rPr>
        <w:t xml:space="preserve">Interactividad:</w:t>
      </w:r>
    </w:p>
    <w:p>
      <w:pPr>
        <w:pStyle w:val="ListParagraph"/>
        <w:numPr>
          <w:ilvl w:val="0"/>
          <w:numId w:val="3"/>
        </w:numPr>
        <w:spacing w:after="60"/>
      </w:pPr>
      <w:r>
        <w:rPr>
          <w:rFonts w:ascii="Arial" w:cs="Arial" w:eastAsia="Arial" w:hAnsi="Arial"/>
          <w:sz w:val="22"/>
          <w:szCs w:val="22"/>
        </w:rPr>
        <w:t xml:space="preserve">Los filtros funcionan y son consistentes entre páginas.</w:t>
      </w:r>
    </w:p>
    <w:p>
      <w:pPr>
        <w:pStyle w:val="ListParagraph"/>
        <w:numPr>
          <w:ilvl w:val="0"/>
          <w:numId w:val="3"/>
        </w:numPr>
        <w:spacing w:after="60"/>
      </w:pPr>
      <w:r>
        <w:rPr>
          <w:rFonts w:ascii="Arial" w:cs="Arial" w:eastAsia="Arial" w:hAnsi="Arial"/>
          <w:sz w:val="22"/>
          <w:szCs w:val="22"/>
        </w:rPr>
        <w:t xml:space="preserve">El cross-filter responde al hacer clic en gráficos.</w:t>
      </w:r>
    </w:p>
    <w:p>
      <w:pPr>
        <w:pStyle w:val="ListParagraph"/>
        <w:numPr>
          <w:ilvl w:val="0"/>
          <w:numId w:val="3"/>
        </w:numPr>
        <w:spacing w:after="60"/>
      </w:pPr>
      <w:r>
        <w:rPr>
          <w:rFonts w:ascii="Arial" w:cs="Arial" w:eastAsia="Arial" w:hAnsi="Arial"/>
          <w:sz w:val="22"/>
          <w:szCs w:val="22"/>
        </w:rPr>
        <w:t xml:space="preserve">Hay al menos un tooltip personalizado.</w:t>
      </w:r>
    </w:p>
    <w:p>
      <w:pPr>
        <w:pStyle w:val="ListParagraph"/>
        <w:numPr>
          <w:ilvl w:val="0"/>
          <w:numId w:val="3"/>
        </w:numPr>
        <w:spacing w:after="60"/>
      </w:pPr>
      <w:r>
        <w:rPr>
          <w:rFonts w:ascii="Arial" w:cs="Arial" w:eastAsia="Arial" w:hAnsi="Arial"/>
          <w:sz w:val="22"/>
          <w:szCs w:val="22"/>
        </w:rPr>
        <w:t xml:space="preserve">La navegación entre páginas funciona.</w:t>
      </w:r>
    </w:p>
    <w:p>
      <w:pPr>
        <w:pStyle w:val="ListParagraph"/>
        <w:numPr>
          <w:ilvl w:val="0"/>
          <w:numId w:val="3"/>
        </w:numPr>
        <w:spacing w:after="60"/>
      </w:pPr>
      <w:r>
        <w:rPr>
          <w:rFonts w:ascii="Arial" w:cs="Arial" w:eastAsia="Arial" w:hAnsi="Arial"/>
          <w:sz w:val="22"/>
          <w:szCs w:val="22"/>
        </w:rPr>
        <w:t xml:space="preserve">Los bookmarks cambian la vista correctamente.</w:t>
      </w:r>
    </w:p>
    <w:p>
      <w:pPr>
        <w:spacing w:after="120" w:before="0"/>
        <w:jc w:val="both"/>
      </w:pPr>
      <w:r>
        <w:rPr>
          <w:rFonts w:ascii="Arial" w:cs="Arial" w:eastAsia="Arial" w:hAnsi="Arial"/>
          <w:b/>
          <w:bCs/>
          <w:i w:val="false"/>
          <w:iCs w:val="false"/>
          <w:color w:val="1A1A1A"/>
          <w:sz w:val="22"/>
          <w:szCs w:val="22"/>
        </w:rPr>
        <w:t xml:space="preserve">Color y distribución:</w:t>
      </w:r>
    </w:p>
    <w:p>
      <w:pPr>
        <w:pStyle w:val="ListParagraph"/>
        <w:numPr>
          <w:ilvl w:val="0"/>
          <w:numId w:val="3"/>
        </w:numPr>
        <w:spacing w:after="60"/>
      </w:pPr>
      <w:r>
        <w:rPr>
          <w:rFonts w:ascii="Arial" w:cs="Arial" w:eastAsia="Arial" w:hAnsi="Arial"/>
          <w:sz w:val="22"/>
          <w:szCs w:val="22"/>
        </w:rPr>
        <w:t xml:space="preserve">La paleta de colores es consistente en todas las páginas.</w:t>
      </w:r>
    </w:p>
    <w:p>
      <w:pPr>
        <w:pStyle w:val="ListParagraph"/>
        <w:numPr>
          <w:ilvl w:val="0"/>
          <w:numId w:val="3"/>
        </w:numPr>
        <w:spacing w:after="60"/>
      </w:pPr>
      <w:r>
        <w:rPr>
          <w:rFonts w:ascii="Arial" w:cs="Arial" w:eastAsia="Arial" w:hAnsi="Arial"/>
          <w:sz w:val="22"/>
          <w:szCs w:val="22"/>
        </w:rPr>
        <w:t xml:space="preserve">Hay al menos un ejemplo de color semántico que puedo SEÑALAR y EXPLICAR.</w:t>
      </w:r>
    </w:p>
    <w:p>
      <w:pPr>
        <w:pStyle w:val="ListParagraph"/>
        <w:numPr>
          <w:ilvl w:val="0"/>
          <w:numId w:val="3"/>
        </w:numPr>
        <w:spacing w:after="60"/>
      </w:pPr>
      <w:r>
        <w:rPr>
          <w:rFonts w:ascii="Arial" w:cs="Arial" w:eastAsia="Arial" w:hAnsi="Arial"/>
          <w:sz w:val="22"/>
          <w:szCs w:val="22"/>
        </w:rPr>
        <w:t xml:space="preserve">Hay al menos un ejemplo de patrón Z/F que puedo SEÑALAR y EXPLICAR.</w:t>
      </w:r>
    </w:p>
    <w:p>
      <w:pPr>
        <w:pStyle w:val="ListParagraph"/>
        <w:numPr>
          <w:ilvl w:val="0"/>
          <w:numId w:val="3"/>
        </w:numPr>
        <w:spacing w:after="60"/>
      </w:pPr>
      <w:r>
        <w:rPr>
          <w:rFonts w:ascii="Arial" w:cs="Arial" w:eastAsia="Arial" w:hAnsi="Arial"/>
          <w:sz w:val="22"/>
          <w:szCs w:val="22"/>
        </w:rPr>
        <w:t xml:space="preserve">Los visuales están alineados.</w:t>
      </w:r>
    </w:p>
    <w:p>
      <w:pPr>
        <w:pStyle w:val="ListParagraph"/>
        <w:numPr>
          <w:ilvl w:val="0"/>
          <w:numId w:val="3"/>
        </w:numPr>
        <w:spacing w:after="60"/>
      </w:pPr>
      <w:r>
        <w:rPr>
          <w:rFonts w:ascii="Arial" w:cs="Arial" w:eastAsia="Arial" w:hAnsi="Arial"/>
          <w:sz w:val="22"/>
          <w:szCs w:val="22"/>
        </w:rPr>
        <w:t xml:space="preserve">Hay espacio en blanco suficiente.</w:t>
      </w:r>
    </w:p>
    <w:p>
      <w:pPr>
        <w:spacing w:after="120" w:before="0"/>
        <w:jc w:val="both"/>
      </w:pPr>
      <w:r>
        <w:rPr>
          <w:rFonts w:ascii="Arial" w:cs="Arial" w:eastAsia="Arial" w:hAnsi="Arial"/>
          <w:b/>
          <w:bCs/>
          <w:i w:val="false"/>
          <w:iCs w:val="false"/>
          <w:color w:val="1A1A1A"/>
          <w:sz w:val="22"/>
          <w:szCs w:val="22"/>
        </w:rPr>
        <w:t xml:space="preserve">Sustentación:</w:t>
      </w:r>
    </w:p>
    <w:p>
      <w:pPr>
        <w:pStyle w:val="ListParagraph"/>
        <w:numPr>
          <w:ilvl w:val="0"/>
          <w:numId w:val="3"/>
        </w:numPr>
        <w:spacing w:after="60"/>
      </w:pPr>
      <w:r>
        <w:rPr>
          <w:rFonts w:ascii="Arial" w:cs="Arial" w:eastAsia="Arial" w:hAnsi="Arial"/>
          <w:sz w:val="22"/>
          <w:szCs w:val="22"/>
        </w:rPr>
        <w:t xml:space="preserve">He ensayado al menos 2 veces la presentación completa.</w:t>
      </w:r>
    </w:p>
    <w:p>
      <w:pPr>
        <w:pStyle w:val="ListParagraph"/>
        <w:numPr>
          <w:ilvl w:val="0"/>
          <w:numId w:val="3"/>
        </w:numPr>
        <w:spacing w:after="60"/>
      </w:pPr>
      <w:r>
        <w:rPr>
          <w:rFonts w:ascii="Arial" w:cs="Arial" w:eastAsia="Arial" w:hAnsi="Arial"/>
          <w:sz w:val="22"/>
          <w:szCs w:val="22"/>
        </w:rPr>
        <w:t xml:space="preserve">Conozco las medidas DAX y puedo explicar al menos 3.</w:t>
      </w:r>
    </w:p>
    <w:p>
      <w:pPr>
        <w:pStyle w:val="ListParagraph"/>
        <w:numPr>
          <w:ilvl w:val="0"/>
          <w:numId w:val="3"/>
        </w:numPr>
        <w:spacing w:after="60"/>
      </w:pPr>
      <w:r>
        <w:rPr>
          <w:rFonts w:ascii="Arial" w:cs="Arial" w:eastAsia="Arial" w:hAnsi="Arial"/>
          <w:sz w:val="22"/>
          <w:szCs w:val="22"/>
        </w:rPr>
        <w:t xml:space="preserve">Puedo explicar por qué elegí cada tipo de gráfico.</w:t>
      </w:r>
    </w:p>
    <w:p>
      <w:pPr>
        <w:pStyle w:val="ListParagraph"/>
        <w:numPr>
          <w:ilvl w:val="0"/>
          <w:numId w:val="3"/>
        </w:numPr>
        <w:spacing w:after="60"/>
      </w:pPr>
      <w:r>
        <w:rPr>
          <w:rFonts w:ascii="Arial" w:cs="Arial" w:eastAsia="Arial" w:hAnsi="Arial"/>
          <w:sz w:val="22"/>
          <w:szCs w:val="22"/>
        </w:rPr>
        <w:t xml:space="preserve">Tengo una conclusión de cierre con hallazgos concretos.</w:t>
      </w:r>
    </w:p>
    <w:p>
      <w:pPr>
        <w:pStyle w:val="ListParagraph"/>
        <w:numPr>
          <w:ilvl w:val="0"/>
          <w:numId w:val="3"/>
        </w:numPr>
        <w:spacing w:after="60"/>
      </w:pPr>
      <w:r>
        <w:rPr>
          <w:rFonts w:ascii="Arial" w:cs="Arial" w:eastAsia="Arial" w:hAnsi="Arial"/>
          <w:sz w:val="22"/>
          <w:szCs w:val="22"/>
        </w:rPr>
        <w:t xml:space="preserve">La presentación cabe en el tiempo asignado (±1 minuto).</w:t>
      </w:r>
    </w:p>
    <w:p>
      <w:pPr>
        <w:pStyle w:val="ListParagraph"/>
        <w:numPr>
          <w:ilvl w:val="0"/>
          <w:numId w:val="3"/>
        </w:numPr>
        <w:spacing w:after="60"/>
      </w:pPr>
      <w:r>
        <w:rPr>
          <w:rFonts w:ascii="Arial" w:cs="Arial" w:eastAsia="Arial" w:hAnsi="Arial"/>
          <w:sz w:val="22"/>
          <w:szCs w:val="22"/>
        </w:rPr>
        <w:t xml:space="preserve">No leo el dashboard ni notas extensas durante la exposición.</w:t>
      </w:r>
    </w:p>
    <w:p>
      <w:pPr>
        <w:pStyle w:val="Heading1"/>
      </w:pPr>
      <w:r>
        <w:rPr>
          <w:rFonts w:ascii="Arial" w:cs="Arial" w:eastAsia="Arial" w:hAnsi="Arial"/>
          <w:b/>
          <w:bCs/>
        </w:rPr>
        <w:t xml:space="preserve">11. Lista de entregables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Entregable</w:t>
            </w:r>
          </w:p>
        </w:tc>
        <w:tc>
          <w:tcPr>
            <w:tcW w:type="dxa" w:w="33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Formato</w:t>
            </w:r>
          </w:p>
        </w:tc>
        <w:tc>
          <w:tcPr>
            <w:tcW w:type="dxa" w:w="30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Archivo del dashboard</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.pbix editable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F18F01"/>
                <w:sz w:val="20"/>
                <w:szCs w:val="20"/>
              </w:rPr>
              <w:t xml:space="preserve">Pendiente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Dataset utilizado</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survey_results_public.csv</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F18F01"/>
                <w:sz w:val="20"/>
                <w:szCs w:val="20"/>
              </w:rPr>
              <w:t xml:space="preserve">Pendiente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Enlace publicado</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URL de Power BI Service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left"/>
            </w:pPr>
            <w:r>
              <w:rPr>
                <w:rFonts w:ascii="Arial" w:cs="Arial" w:eastAsia="Arial" w:hAnsi="Arial"/>
                <w:b w:val="false"/>
                <w:bCs w:val="false"/>
                <w:color w:val="F18F01"/>
                <w:sz w:val="20"/>
                <w:szCs w:val="20"/>
              </w:rPr>
              <w:t xml:space="preserve">Pendiente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Plan de implementación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Este documento (.docx)</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059669"/>
                <w:sz w:val="20"/>
                <w:szCs w:val="20"/>
              </w:rPr>
              <w:t xml:space="preserve">Completado</w:t>
            </w:r>
          </w:p>
        </w:tc>
      </w:tr>
    </w:tbl>
    <w:p>
      <w:pPr>
        <w:spacing w:after="200"/>
      </w:pPr>
    </w:p>
    <w:p>
      <w:pPr>
        <w:pBdr>
          <w:top w:val="single" w:color="2E86AB" w:sz="4" w:space="8"/>
        </w:pBdr>
        <w:spacing w:before="200"/>
        <w:jc w:val="center"/>
      </w:pPr>
      <w:r>
        <w:rPr>
          <w:rFonts w:ascii="Arial" w:cs="Arial" w:eastAsia="Arial" w:hAnsi="Arial"/>
          <w:i/>
          <w:iCs/>
          <w:color w:val="6B7280"/>
          <w:sz w:val="22"/>
          <w:szCs w:val="22"/>
        </w:rPr>
        <w:t xml:space="preserve">Fin del plan de implementación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jc w:val="right"/>
    </w:pPr>
    <w:r>
      <w:rPr>
        <w:rFonts w:ascii="Arial" w:cs="Arial" w:eastAsia="Arial" w:hAnsi="Arial"/>
        <w:color w:val="6B7280"/>
        <w:sz w:val="18"/>
        <w:szCs w:val="18"/>
      </w:rPr>
      <w:t xml:space="preserve">Página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4"/>
      </w:pBdr>
    </w:pPr>
    <w:r>
      <w:rPr>
        <w:rFonts w:ascii="Arial" w:cs="Arial" w:eastAsia="Arial" w:hAnsi="Arial"/>
        <w:i/>
        <w:iCs/>
        <w:color w:val="6B7280"/>
        <w:sz w:val="18"/>
        <w:szCs w:val="18"/>
      </w:rPr>
      <w:t xml:space="preserve">Plan de Implementación — Dashboard BI: Herramientas de Desarrollo e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A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2026-05-23T20:46:17.030Z</dcterms:created>
  <dcterms:modified xsi:type="dcterms:W3CDTF">2026-05-23T20:46:17.042Z</dcterms:modified>
</cp:coreProperties>
</file>

<file path=docProps/custom.xml><?xml version="1.0" encoding="utf-8"?>
<Properties xmlns="http://schemas.openxmlformats.org/officeDocument/2006/custom-properties" xmlns:vt="http://schemas.openxmlformats.org/officeDocument/2006/docPropsVTypes"/>
</file>