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1400"/>
      </w:pPr>
      <w:r>
        <w:drawing>
          <wp:inline distT="0" distB="0" distL="0" distR="0">
            <wp:extent cx="647700" cy="64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cs="Arial" w:eastAsia="Arial" w:hAnsi="Arial"/>
          <w:b/>
          <w:bCs/>
          <w:color w:val="68717F"/>
          <w:spacing w:val="40"/>
          <w:sz w:val="17"/>
          <w:szCs w:val="17"/>
        </w:rPr>
        <w:t xml:space="preserve">6 DE SEPTIEMBRE DE 2026</w:t>
      </w:r>
    </w:p>
    <w:p>
      <w:pPr>
        <w:spacing w:after="140"/>
      </w:pPr>
      <w:r>
        <w:rPr>
          <w:rFonts w:ascii="Arial" w:cs="Arial" w:eastAsia="Arial" w:hAnsi="Arial"/>
          <w:color w:val="23366F"/>
          <w:sz w:val="52"/>
          <w:szCs w:val="52"/>
        </w:rPr>
        <w:t xml:space="preserve">Brief final</w:t>
      </w:r>
    </w:p>
    <w:p>
      <w:pPr>
        <w:spacing w:after="420"/>
      </w:pPr>
      <w:r>
        <w:rPr>
          <w:rFonts w:ascii="Arial" w:cs="Arial" w:eastAsia="Arial" w:hAnsi="Arial"/>
          <w:color w:val="2167AE"/>
          <w:sz w:val="26"/>
          <w:szCs w:val="26"/>
        </w:rPr>
        <w:t xml:space="preserve">Fast Creative Builder</w:t>
      </w:r>
    </w:p>
    <w:p>
      <w:pPr>
        <w:spacing w:after="140" w:before="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Constructor visual para key visuals, gráficas digitales, landing pages y email marketing.</w:t>
      </w:r>
    </w:p>
    <w:p>
      <w:pPr>
        <w:spacing w:after="140" w:before="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Versión 7. Reemplaza a todas las anteriores e incorpora las correcciones del 6 de septiembre.</w:t>
      </w:r>
    </w:p>
    <w:p>
      <w:pPr>
        <w:spacing w:after="140" w:before="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Destino: fast-creative-builder.gamonal.app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Arial" w:cs="Arial" w:eastAsia="Arial" w:hAnsi="Arial"/>
          <w:b w:val="false"/>
          <w:bCs w:val="false"/>
          <w:color w:val="23366F"/>
          <w:sz w:val="34"/>
          <w:szCs w:val="34"/>
        </w:rPr>
        <w:t xml:space="preserve">1. Instrucciones</w:t>
      </w:r>
    </w:p>
    <w:p>
      <w:pPr>
        <w:spacing w:after="140" w:before="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Este documento es el contrato funcional del aplicativo. Manda sobre cualquier versión anterior del brief y sobre cualquier decisión que no esté escrita aquí.</w:t>
      </w:r>
    </w:p>
    <w:p>
      <w:pPr>
        <w:pStyle w:val="Heading2"/>
        <w:spacing w:after="150" w:before="340"/>
      </w:pPr>
      <w:r>
        <w:rPr>
          <w:rFonts w:ascii="Arial" w:cs="Arial" w:eastAsia="Arial" w:hAnsi="Arial"/>
          <w:b/>
          <w:bCs/>
          <w:color w:val="23366F"/>
          <w:sz w:val="26"/>
          <w:szCs w:val="26"/>
        </w:rPr>
        <w:t xml:space="preserve">1.1 Antes de escribir una sola línea</w:t>
      </w:r>
    </w:p>
    <w:p>
      <w:pPr>
        <w:pStyle w:val="ListParagraph"/>
        <w:numPr>
          <w:ilvl w:val="0"/>
          <w:numId w:val="2"/>
        </w:numPr>
        <w:spacing w:after="110" w:line="288"/>
      </w:pPr>
      <text>Lee los skills obligatorios y aplícalos. </text>
      <text>No es opcional y saltárselos ya costó rehacer la interfaz entera dos veces.</text>
    </w:p>
    <w:p>
      <w:pPr>
        <w:pStyle w:val="ListParagraph"/>
        <w:numPr>
          <w:ilvl w:val="1"/>
          <w:numId w:val="3"/>
        </w:numPr>
        <w:spacing w:after="90" w:line="288"/>
      </w:pPr>
      <w:r>
        <w:rPr>
          <w:rFonts w:ascii="Arial" w:cs="Arial" w:eastAsia="Arial" w:hAnsi="Arial"/>
          <w:b/>
          <w:bCs/>
          <w:color w:val="4A5570"/>
          <w:sz w:val="21"/>
          <w:szCs w:val="21"/>
        </w:rPr>
        <w:t xml:space="preserve">reglas-creacion-aplicativos</w:t>
      </w:r>
      <w:r>
        <w:rPr>
          <w:rFonts w:ascii="Arial" w:cs="Arial" w:eastAsia="Arial" w:hAnsi="Arial"/>
          <w:b w:val="false"/>
          <w:bCs w:val="false"/>
          <w:color w:val="4A5570"/>
          <w:sz w:val="21"/>
          <w:szCs w:val="21"/>
        </w:rPr>
        <w:t xml:space="preserve"> — producto, arquitectura, rutas, archivos, entregables, documentación, pruebas y entrega. Incluye su anexo obligatorio de complementos.</w:t>
      </w:r>
    </w:p>
    <w:p>
      <w:pPr>
        <w:pStyle w:val="ListParagraph"/>
        <w:numPr>
          <w:ilvl w:val="1"/>
          <w:numId w:val="3"/>
        </w:numPr>
        <w:spacing w:after="90" w:line="288"/>
      </w:pPr>
      <w:r>
        <w:rPr>
          <w:rFonts w:ascii="Arial" w:cs="Arial" w:eastAsia="Arial" w:hAnsi="Arial"/>
          <w:b/>
          <w:bCs/>
          <w:color w:val="4A5570"/>
          <w:sz w:val="21"/>
          <w:szCs w:val="21"/>
        </w:rPr>
        <w:t xml:space="preserve">ui-ux-aplicativos-gamonal</w:t>
      </w:r>
      <w:r>
        <w:rPr>
          <w:rFonts w:ascii="Arial" w:cs="Arial" w:eastAsia="Arial" w:hAnsi="Arial"/>
          <w:b w:val="false"/>
          <w:bCs w:val="false"/>
          <w:color w:val="4A5570"/>
          <w:sz w:val="21"/>
          <w:szCs w:val="21"/>
        </w:rPr>
        <w:t xml:space="preserve"> — layout, navegación, componentes, formularios, tablas, responsive, accesibilidad y auditoría.</w:t>
      </w:r>
    </w:p>
    <w:p>
      <w:pPr>
        <w:pStyle w:val="ListParagraph"/>
        <w:numPr>
          <w:ilvl w:val="1"/>
          <w:numId w:val="3"/>
        </w:numPr>
        <w:spacing w:after="90" w:line="288"/>
      </w:pPr>
      <w:r>
        <w:rPr>
          <w:rFonts w:ascii="Arial" w:cs="Arial" w:eastAsia="Arial" w:hAnsi="Arial"/>
          <w:b/>
          <w:bCs/>
          <w:color w:val="4A5570"/>
          <w:sz w:val="21"/>
          <w:szCs w:val="21"/>
        </w:rPr>
        <w:t xml:space="preserve">lineamientos-marca-gamonal</w:t>
      </w:r>
      <w:r>
        <w:rPr>
          <w:rFonts w:ascii="Arial" w:cs="Arial" w:eastAsia="Arial" w:hAnsi="Arial"/>
          <w:b w:val="false"/>
          <w:bCs w:val="false"/>
          <w:color w:val="4A5570"/>
          <w:sz w:val="21"/>
          <w:szCs w:val="21"/>
        </w:rPr>
        <w:t xml:space="preserve"> — estructura, composición, personalidad, sistema de CTA y prohibiciones. Manda la dirección visual.</w:t>
      </w:r>
    </w:p>
    <w:p>
      <w:pPr>
        <w:pStyle w:val="ListParagraph"/>
        <w:numPr>
          <w:ilvl w:val="1"/>
          <w:numId w:val="3"/>
        </w:numPr>
        <w:spacing w:after="90" w:line="288"/>
      </w:pPr>
      <w:r>
        <w:rPr>
          <w:rFonts w:ascii="Arial" w:cs="Arial" w:eastAsia="Arial" w:hAnsi="Arial"/>
          <w:b/>
          <w:bCs/>
          <w:color w:val="4A5570"/>
          <w:sz w:val="21"/>
          <w:szCs w:val="21"/>
        </w:rPr>
        <w:t xml:space="preserve">lineamientos-marca-zurich</w:t>
      </w:r>
      <w:r>
        <w:rPr>
          <w:rFonts w:ascii="Arial" w:cs="Arial" w:eastAsia="Arial" w:hAnsi="Arial"/>
          <w:b w:val="false"/>
          <w:bCs w:val="false"/>
          <w:color w:val="4A5570"/>
          <w:sz w:val="21"/>
          <w:szCs w:val="21"/>
        </w:rPr>
        <w:t xml:space="preserve"> — de aquí salen únicamente el color y la tipografía, mapeados a los roles de Gamonal.</w:t>
      </w:r>
    </w:p>
    <w:p>
      <w:pPr>
        <w:pStyle w:val="ListParagraph"/>
        <w:numPr>
          <w:ilvl w:val="1"/>
          <w:numId w:val="3"/>
        </w:numPr>
        <w:spacing w:after="90" w:line="288"/>
      </w:pPr>
      <w:r>
        <w:rPr>
          <w:rFonts w:ascii="Arial" w:cs="Arial" w:eastAsia="Arial" w:hAnsi="Arial"/>
          <w:b/>
          <w:bCs/>
          <w:color w:val="4A5570"/>
          <w:sz w:val="21"/>
          <w:szCs w:val="21"/>
        </w:rPr>
        <w:t xml:space="preserve">movimiento-interacciones-gamonal</w:t>
      </w:r>
      <w:r>
        <w:rPr>
          <w:rFonts w:ascii="Arial" w:cs="Arial" w:eastAsia="Arial" w:hAnsi="Arial"/>
          <w:b w:val="false"/>
          <w:bCs w:val="false"/>
          <w:color w:val="4A5570"/>
          <w:sz w:val="21"/>
          <w:szCs w:val="21"/>
        </w:rPr>
        <w:t xml:space="preserve"> — sólo cuando haya animación, gesto o microinteracción.</w:t>
      </w:r>
    </w:p>
    <w:p>
      <w:pPr>
        <w:pStyle w:val="ListParagraph"/>
        <w:numPr>
          <w:ilvl w:val="0"/>
          <w:numId w:val="2"/>
        </w:numPr>
        <w:spacing w:after="110" w:line="288"/>
      </w:pPr>
      <text>Lee el registro de decisiones. </text>
      <text>DECISIONES-VISUALES.md lleva dieciocho decisiones vigentes con lo que ya fue rechazado. Volver a proponer algo marcado como rechazado es un error.</text>
    </w:p>
    <w:p>
      <w:pPr>
        <w:pStyle w:val="ListParagraph"/>
        <w:numPr>
          <w:ilvl w:val="0"/>
          <w:numId w:val="2"/>
        </w:numPr>
        <w:spacing w:after="110" w:line="288"/>
      </w:pPr>
      <text>Lee el documento de traspaso. </text>
      <text>documentacion_general_tecnica_fast_creative_builder.docx tiene la historia completa, el estado del código y lo que falta.</text>
    </w:p>
    <w:p>
      <w:pPr>
        <w:pStyle w:val="Heading2"/>
        <w:spacing w:after="150" w:before="340"/>
      </w:pPr>
      <w:r>
        <w:rPr>
          <w:rFonts w:ascii="Arial" w:cs="Arial" w:eastAsia="Arial" w:hAnsi="Arial"/>
          <w:b/>
          <w:bCs/>
          <w:color w:val="23366F"/>
          <w:sz w:val="26"/>
          <w:szCs w:val="26"/>
        </w:rPr>
        <w:t xml:space="preserve">1.2 Cómo se trabaja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Arial" w:cs="Arial" w:eastAsia="Arial" w:hAnsi="Arial"/>
          <w:b/>
          <w:bCs/>
          <w:color w:val="4A5570"/>
          <w:sz w:val="21"/>
          <w:szCs w:val="21"/>
        </w:rPr>
        <w:t xml:space="preserve">La dirección visual la manda Gamonal; Zurich aporta color y tipografía.</w:t>
      </w:r>
      <w:r>
        <w:rPr>
          <w:rFonts w:ascii="Arial" w:cs="Arial" w:eastAsia="Arial" w:hAnsi="Arial"/>
          <w:b w:val="false"/>
          <w:bCs w:val="false"/>
          <w:color w:val="4A5570"/>
          <w:sz w:val="21"/>
          <w:szCs w:val="21"/>
        </w:rPr>
        <w:t xml:space="preserve"> Nunca al revés.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Arial" w:cs="Arial" w:eastAsia="Arial" w:hAnsi="Arial"/>
          <w:b/>
          <w:bCs/>
          <w:color w:val="4A5570"/>
          <w:sz w:val="21"/>
          <w:szCs w:val="21"/>
        </w:rPr>
        <w:t xml:space="preserve">Tres propuestas antes de implementar cualquier rediseño amplio.</w:t>
      </w:r>
      <w:r>
        <w:rPr>
          <w:rFonts w:ascii="Arial" w:cs="Arial" w:eastAsia="Arial" w:hAnsi="Arial"/>
          <w:b w:val="false"/>
          <w:bCs w:val="false"/>
          <w:color w:val="4A5570"/>
          <w:sz w:val="21"/>
          <w:szCs w:val="21"/>
        </w:rPr>
        <w:t xml:space="preserve"> Materialmente distintas en navegación, composición, densidad, interacción e identidad. No la misma pantalla con otro color.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Arial" w:cs="Arial" w:eastAsia="Arial" w:hAnsi="Arial"/>
          <w:b/>
          <w:bCs/>
          <w:color w:val="4A5570"/>
          <w:sz w:val="21"/>
          <w:szCs w:val="21"/>
        </w:rPr>
        <w:t xml:space="preserve">Verifica con números, no a ojo.</w:t>
      </w:r>
      <w:r>
        <w:rPr>
          <w:rFonts w:ascii="Arial" w:cs="Arial" w:eastAsia="Arial" w:hAnsi="Arial"/>
          <w:b w:val="false"/>
          <w:bCs w:val="false"/>
          <w:color w:val="4A5570"/>
          <w:sz w:val="21"/>
          <w:szCs w:val="21"/>
        </w:rPr>
        <w:t xml:space="preserve"> Todo par de texto y fondo se calcula. Todo botón se comprueba contra su banda. El desborde en móvil se mide recorriendo el DOM, no mirando una captura.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Arial" w:cs="Arial" w:eastAsia="Arial" w:hAnsi="Arial"/>
          <w:b/>
          <w:bCs/>
          <w:color w:val="4A5570"/>
          <w:sz w:val="21"/>
          <w:szCs w:val="21"/>
        </w:rPr>
        <w:t xml:space="preserve">El usuario no toca la consola.</w:t>
      </w:r>
      <w:r>
        <w:rPr>
          <w:rFonts w:ascii="Arial" w:cs="Arial" w:eastAsia="Arial" w:hAnsi="Arial"/>
          <w:b w:val="false"/>
          <w:bCs w:val="false"/>
          <w:color w:val="4A5570"/>
          <w:sz w:val="21"/>
          <w:szCs w:val="21"/>
        </w:rPr>
        <w:t xml:space="preserve"> Instalar, configurar, compilar, arrancar y empaquetar es responsabilidad de quien desarrolla. Toda entrega se abre con doble clic o con una URL.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Arial" w:cs="Arial" w:eastAsia="Arial" w:hAnsi="Arial"/>
          <w:b/>
          <w:bCs/>
          <w:color w:val="4A5570"/>
          <w:sz w:val="21"/>
          <w:szCs w:val="21"/>
        </w:rPr>
        <w:t xml:space="preserve">Ningún control decorativo.</w:t>
      </w:r>
      <w:r>
        <w:rPr>
          <w:rFonts w:ascii="Arial" w:cs="Arial" w:eastAsia="Arial" w:hAnsi="Arial"/>
          <w:b w:val="false"/>
          <w:bCs w:val="false"/>
          <w:color w:val="4A5570"/>
          <w:sz w:val="21"/>
          <w:szCs w:val="21"/>
        </w:rPr>
        <w:t xml:space="preserve"> Si un campo aparece en la interfaz, funciona, guarda su estado y admite deshacer.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Arial" w:cs="Arial" w:eastAsia="Arial" w:hAnsi="Arial"/>
          <w:b/>
          <w:bCs/>
          <w:color w:val="4A5570"/>
          <w:sz w:val="21"/>
          <w:szCs w:val="21"/>
        </w:rPr>
        <w:t xml:space="preserve">Una entrega no está lista hasta abrirla y recorrerla.</w:t>
      </w:r>
      <w:r>
        <w:rPr>
          <w:rFonts w:ascii="Arial" w:cs="Arial" w:eastAsia="Arial" w:hAnsi="Arial"/>
          <w:b w:val="false"/>
          <w:bCs w:val="false"/>
          <w:color w:val="4A5570"/>
          <w:sz w:val="21"/>
          <w:szCs w:val="21"/>
        </w:rPr>
        <w:t xml:space="preserve"> En escritorio, tableta y móvil.</w:t>
      </w:r>
    </w:p>
    <w:p>
      <w:pPr>
        <w:pStyle w:val="Heading2"/>
        <w:spacing w:after="150" w:before="340"/>
      </w:pPr>
      <w:r>
        <w:rPr>
          <w:rFonts w:ascii="Arial" w:cs="Arial" w:eastAsia="Arial" w:hAnsi="Arial"/>
          <w:b/>
          <w:bCs/>
          <w:color w:val="23366F"/>
          <w:sz w:val="26"/>
          <w:szCs w:val="26"/>
        </w:rPr>
        <w:t xml:space="preserve">1.3 Las tres reglas innegociables del producto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DAD2BD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3366F"/>
                <w:sz w:val="22"/>
                <w:szCs w:val="22"/>
              </w:rPr>
              <w:t xml:space="preserve">Cero espaciado automático</w:t>
            </w:r>
          </w:p>
          <w:p>
            <w:pPr>
              <w:spacing w:after="100" w:line="288"/>
            </w:pPr>
            <w:r>
              <w:rPr>
                <w:rFonts w:ascii="Arial" w:cs="Arial" w:eastAsia="Arial" w:hAnsi="Arial"/>
                <w:color w:val="23366F"/>
                <w:sz w:val="20"/>
                <w:szCs w:val="20"/>
              </w:rPr>
              <w:t xml:space="preserve">Todo nodo nuevo nace con margen, relleno y separación en cero. Ningún componente, ninguna plantilla y ningún reset introduce espacio que el usuario no pueda ver y editar.</w:t>
            </w:r>
          </w:p>
          <w:p>
            <w:pPr>
              <w:spacing w:after="0" w:line="288"/>
            </w:pPr>
            <w:r>
              <w:rPr>
                <w:rFonts w:ascii="Arial" w:cs="Arial" w:eastAsia="Arial" w:hAnsi="Arial"/>
                <w:b w:val="false"/>
                <w:bCs w:val="false"/>
                <w:color w:val="23366F"/>
                <w:sz w:val="20"/>
                <w:szCs w:val="20"/>
              </w:rPr>
              <w:t xml:space="preserve">En el modelo de datos, </w:t>
            </w:r>
            <w:r>
              <w:rPr>
                <w:rFonts w:ascii="Arial" w:cs="Arial" w:eastAsia="Arial" w:hAnsi="Arial"/>
                <w:b/>
                <w:bCs/>
                <w:color w:val="23366F"/>
                <w:sz w:val="20"/>
                <w:szCs w:val="20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color w:val="23366F"/>
                <w:sz w:val="20"/>
                <w:szCs w:val="20"/>
              </w:rPr>
              <w:t xml:space="preserve"> es un valor explícito, </w:t>
            </w:r>
            <w:r>
              <w:rPr>
                <w:rFonts w:ascii="Arial" w:cs="Arial" w:eastAsia="Arial" w:hAnsi="Arial"/>
                <w:b/>
                <w:bCs/>
                <w:color w:val="23366F"/>
                <w:sz w:val="20"/>
                <w:szCs w:val="20"/>
              </w:rPr>
              <w:t xml:space="preserve">auto</w:t>
            </w:r>
            <w:r>
              <w:rPr>
                <w:rFonts w:ascii="Arial" w:cs="Arial" w:eastAsia="Arial" w:hAnsi="Arial"/>
                <w:b w:val="false"/>
                <w:bCs w:val="false"/>
                <w:color w:val="23366F"/>
                <w:sz w:val="20"/>
                <w:szCs w:val="20"/>
              </w:rPr>
              <w:t xml:space="preserve"> es una regla y la propiedad ausente significa heredado. La interfaz y los datos nunca los confunden.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A6E9AB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3366F"/>
                <w:sz w:val="22"/>
                <w:szCs w:val="22"/>
              </w:rPr>
              <w:t xml:space="preserve">La superposición no empuja</w:t>
            </w:r>
          </w:p>
          <w:p>
            <w:pPr>
              <w:spacing w:after="100" w:line="288"/>
            </w:pPr>
            <w:r>
              <w:rPr>
                <w:rFonts w:ascii="Arial" w:cs="Arial" w:eastAsia="Arial" w:hAnsi="Arial"/>
                <w:color w:val="23366F"/>
                <w:sz w:val="20"/>
                <w:szCs w:val="20"/>
              </w:rPr>
              <w:t xml:space="preserve">Un elemento colocado sobre otro pertenece a la capa superpuesta de su padre. No crea filas, no desplaza hermanos y no aumenta la altura del contenedor.</w:t>
            </w:r>
          </w:p>
          <w:p>
            <w:pPr>
              <w:spacing w:after="0" w:line="288"/>
            </w:pPr>
            <w:r>
              <w:rPr>
                <w:rFonts w:ascii="Arial" w:cs="Arial" w:eastAsia="Arial" w:hAnsi="Arial"/>
                <w:color w:val="23366F"/>
                <w:sz w:val="20"/>
                <w:szCs w:val="20"/>
              </w:rPr>
              <w:t xml:space="preserve">Sus coordenadas son relativas al padre, nunca a la página. Al soltar sobre un componente, el editor pregunta «insertar dentro» o «superponer»; nunca decide solo.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FC5EA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3366F"/>
                <w:sz w:val="22"/>
                <w:szCs w:val="22"/>
              </w:rPr>
              <w:t xml:space="preserve">Un solo motor de render</w:t>
            </w:r>
          </w:p>
          <w:p>
            <w:pPr>
              <w:spacing w:after="100" w:line="288"/>
            </w:pPr>
            <w:r>
              <w:rPr>
                <w:rFonts w:ascii="Arial" w:cs="Arial" w:eastAsia="Arial" w:hAnsi="Arial"/>
                <w:color w:val="23366F"/>
                <w:sz w:val="20"/>
                <w:szCs w:val="20"/>
              </w:rPr>
              <w:t xml:space="preserve">Las funciones de render son puras: reciben un nodo y devuelven una cadena. Viven en el núcleo y las consumen por igual el editor, el exportador de HTML y el rasterizador.</w:t>
            </w:r>
          </w:p>
          <w:p>
            <w:pPr>
              <w:spacing w:after="0" w:line="288"/>
            </w:pPr>
            <w:r>
              <w:rPr>
                <w:rFonts w:ascii="Arial" w:cs="Arial" w:eastAsia="Arial" w:hAnsi="Arial"/>
                <w:color w:val="23366F"/>
                <w:sz w:val="20"/>
                <w:szCs w:val="20"/>
              </w:rPr>
              <w:t xml:space="preserve">No existe una segunda implementación en ningún sitio. El aplicativo anterior tenía tres y ya divergían entre sí.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rPr>
          <w:rFonts w:ascii="Arial" w:cs="Arial" w:eastAsia="Arial" w:hAnsi="Arial"/>
          <w:b w:val="false"/>
          <w:bCs w:val="false"/>
          <w:color w:val="23366F"/>
          <w:sz w:val="34"/>
          <w:szCs w:val="34"/>
        </w:rPr>
        <w:t xml:space="preserve">2. Mejoras clave del aplicativo</w:t>
      </w:r>
    </w:p>
    <w:p>
      <w:pPr>
        <w:spacing w:after="140" w:before="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Fast Creative Builder nace para resolver lo que el aplicativo anterior no resolvía. Estas son las diferencias que justifican rehacerlo desde cero, no parchearlo.</w:t>
      </w:r>
    </w:p>
    <w:p>
      <w:pPr>
        <w:pStyle w:val="Heading2"/>
        <w:spacing w:after="150" w:before="340"/>
      </w:pPr>
      <w:r>
        <w:rPr>
          <w:rFonts w:ascii="Arial" w:cs="Arial" w:eastAsia="Arial" w:hAnsi="Arial"/>
          <w:b/>
          <w:bCs/>
          <w:color w:val="23366F"/>
          <w:sz w:val="26"/>
          <w:szCs w:val="26"/>
        </w:rPr>
        <w:t xml:space="preserve">2.1 Frente al aplicativo anterior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3" w:sz="4"/>
          <w:insideV w:val="none" w:color="FFFFFF" w:sz="0"/>
        </w:tblBorders>
      </w:tblPr>
      <w:tblGrid>
        <w:gridCol w:w="1444"/>
        <w:gridCol w:w="3791"/>
        <w:gridCol w:w="3791"/>
      </w:tblGrid>
      <w:tr>
        <w:trPr>
          <w:tblHeader/>
        </w:trP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EE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68717F"/>
                <w:spacing w:val="20"/>
                <w:sz w:val="16"/>
                <w:szCs w:val="16"/>
              </w:rPr>
              <w:t xml:space="preserve">ASUNTO</w:t>
            </w:r>
          </w:p>
        </w:tc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EE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68717F"/>
                <w:spacing w:val="20"/>
                <w:sz w:val="16"/>
                <w:szCs w:val="16"/>
              </w:rPr>
              <w:t xml:space="preserve">ANTES</w:t>
            </w:r>
          </w:p>
        </w:tc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EE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68717F"/>
                <w:spacing w:val="20"/>
                <w:sz w:val="16"/>
                <w:szCs w:val="16"/>
              </w:rPr>
              <w:t xml:space="preserve">AHORA</w:t>
            </w:r>
          </w:p>
        </w:tc>
      </w:tr>
      <w:tr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Modelo de datos</w:t>
            </w:r>
          </w:p>
        </w:tc>
        <w:tc>
          <w:tcPr>
            <w:tcW w:type="dxa" w:w="379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Lista plana. Un bloque era una caja negra de un solo nivel: no se podía meter un botón dentro de un hero.</w:t>
            </w:r>
          </w:p>
        </w:tc>
        <w:tc>
          <w:tcPr>
            <w:tcW w:type="dxa" w:w="379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Árbol recursivo con ranuras. Cualquier componente admite hijos según su anatomía.</w:t>
            </w:r>
          </w:p>
        </w:tc>
      </w:tr>
      <w:tr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Espaciado</w:t>
            </w:r>
          </w:p>
        </w:tc>
        <w:tc>
          <w:tcPr>
            <w:tcW w:type="dxa" w:w="379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Cada bloque inyectaba márgenes de 64 y 24 píxeles que el usuario no puso y no podía editar.</w:t>
            </w:r>
          </w:p>
        </w:tc>
        <w:tc>
          <w:tcPr>
            <w:tcW w:type="dxa" w:w="379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Todo nace en cero. Si hay separación, está escrita y es visible en el inspector.</w:t>
            </w:r>
          </w:p>
        </w:tc>
      </w:tr>
      <w:tr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Superposición</w:t>
            </w:r>
          </w:p>
        </w:tc>
        <w:tc>
          <w:tcPr>
            <w:tcW w:type="dxa" w:w="379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No existía. Todo era flujo vertical.</w:t>
            </w:r>
          </w:p>
        </w:tc>
        <w:tc>
          <w:tcPr>
            <w:tcW w:type="dxa" w:w="379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Capa superpuesta por componente, con coordenadas relativas al padre.</w:t>
            </w:r>
          </w:p>
        </w:tc>
      </w:tr>
      <w:tr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Motor de render</w:t>
            </w:r>
          </w:p>
        </w:tc>
        <w:tc>
          <w:tcPr>
            <w:tcW w:type="dxa" w:w="379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Tres implementaciones distintas, ya divergidas. Un elemento se componía y desaparecía al publicar.</w:t>
            </w:r>
          </w:p>
        </w:tc>
        <w:tc>
          <w:tcPr>
            <w:tcW w:type="dxa" w:w="379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Uno solo, compartido por editor, exportador y rasterizador.</w:t>
            </w:r>
          </w:p>
        </w:tc>
      </w:tr>
      <w:tr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Catálogo</w:t>
            </w:r>
          </w:p>
        </w:tc>
        <w:tc>
          <w:tcPr>
            <w:tcW w:type="dxa" w:w="379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57 componentes como 53 casos de switch repartidos en tres archivos.</w:t>
            </w:r>
          </w:p>
        </w:tc>
        <w:tc>
          <w:tcPr>
            <w:tcW w:type="dxa" w:w="379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65 componentes declarados como datos. El inspector se genera del manifiesto.</w:t>
            </w:r>
          </w:p>
        </w:tc>
      </w:tr>
      <w:tr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Edición</w:t>
            </w:r>
          </w:p>
        </w:tc>
        <w:tc>
          <w:tcPr>
            <w:tcW w:type="dxa" w:w="379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Todo pasaba por el panel de propiedades.</w:t>
            </w:r>
          </w:p>
        </w:tc>
        <w:tc>
          <w:tcPr>
            <w:tcW w:type="dxa" w:w="379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Se escribe sobre el lienzo. El panel es secundario.</w:t>
            </w:r>
          </w:p>
        </w:tc>
      </w:tr>
      <w:tr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Reglas</w:t>
            </w:r>
          </w:p>
        </w:tc>
        <w:tc>
          <w:tcPr>
            <w:tcW w:type="dxa" w:w="379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No había.</w:t>
            </w:r>
          </w:p>
        </w:tc>
        <w:tc>
          <w:tcPr>
            <w:tcW w:type="dxa" w:w="379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Reglas que miden la pieza, con cotas y lectura en píxeles reales.</w:t>
            </w:r>
          </w:p>
        </w:tc>
      </w:tr>
      <w:tr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Archivos</w:t>
            </w:r>
          </w:p>
        </w:tc>
        <w:tc>
          <w:tcPr>
            <w:tcW w:type="dxa" w:w="379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Ninguno. Todas las imágenes eran URLs pegadas a mano.</w:t>
            </w:r>
          </w:p>
        </w:tc>
        <w:tc>
          <w:tcPr>
            <w:tcW w:type="dxa" w:w="379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Biblioteca de logos, imágenes y tipografías con subida real.</w:t>
            </w:r>
          </w:p>
        </w:tc>
      </w:tr>
      <w:tr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Permisos</w:t>
            </w:r>
          </w:p>
        </w:tc>
        <w:tc>
          <w:tcPr>
            <w:tcW w:type="dxa" w:w="379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La lista de administradores estaba en el HTML del navegador y ningún endpoint la comprobaba.</w:t>
            </w:r>
          </w:p>
        </w:tc>
        <w:tc>
          <w:tcPr>
            <w:tcW w:type="dxa" w:w="379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Rol verificado en el servidor, en el enrutador, antes de llegar a ninguna ruta.</w:t>
            </w:r>
          </w:p>
        </w:tc>
      </w:tr>
      <w:tr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Borrado</w:t>
            </w:r>
          </w:p>
        </w:tc>
        <w:tc>
          <w:tcPr>
            <w:tcW w:type="dxa" w:w="379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Físico y sin retorno. Dejaba versiones huérfanas.</w:t>
            </w:r>
          </w:p>
        </w:tc>
        <w:tc>
          <w:tcPr>
            <w:tcW w:type="dxa" w:w="379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Papelera con restauración a 30 días.</w:t>
            </w:r>
          </w:p>
        </w:tc>
      </w:tr>
      <w:tr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Marca</w:t>
            </w:r>
          </w:p>
        </w:tc>
        <w:tc>
          <w:tcPr>
            <w:tcW w:type="dxa" w:w="379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La paleta de un cliente concreto cableada en el motor.</w:t>
            </w:r>
          </w:p>
        </w:tc>
        <w:tc>
          <w:tcPr>
            <w:tcW w:type="dxa" w:w="379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Sistema de tokens multimarca. Ningún color escrito a mano en los componentes.</w:t>
            </w:r>
          </w:p>
        </w:tc>
      </w:tr>
      <w:tr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Salidas</w:t>
            </w:r>
          </w:p>
        </w:tc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Sólo HTML, y con la canónica apuntando a otro dominio.</w:t>
            </w:r>
          </w:p>
        </w:tc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HTML, fragmento encapsulado para el gestor de contenidos, JPG y PNG.</w:t>
            </w:r>
          </w:p>
        </w:tc>
      </w:tr>
    </w:tbl>
    <w:p>
      <w:pPr>
        <w:pStyle w:val="Heading2"/>
        <w:spacing w:after="150" w:before="340"/>
      </w:pPr>
      <w:r>
        <w:rPr>
          <w:rFonts w:ascii="Arial" w:cs="Arial" w:eastAsia="Arial" w:hAnsi="Arial"/>
          <w:b/>
          <w:bCs/>
          <w:color w:val="23366F"/>
          <w:sz w:val="26"/>
          <w:szCs w:val="26"/>
        </w:rPr>
        <w:t xml:space="preserve">2.2 Lo que el producto hace y nadie más hacía</w:t>
      </w:r>
    </w:p>
    <w:p>
      <w:pPr>
        <w:pStyle w:val="Heading3"/>
        <w:spacing w:after="110" w:before="260"/>
      </w:pPr>
      <w:r>
        <w:rPr>
          <w:rFonts w:ascii="Arial" w:cs="Arial" w:eastAsia="Arial" w:hAnsi="Arial"/>
          <w:b/>
          <w:bCs/>
          <w:color w:val="2167AE"/>
          <w:sz w:val="22"/>
          <w:szCs w:val="22"/>
        </w:rPr>
        <w:t xml:space="preserve">Edición directa sobre el lienzo</w:t>
      </w:r>
    </w:p>
    <w:p>
      <w:pPr>
        <w:spacing w:after="140" w:before="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El cursor entra en el texto y se teclea. Lo que se cambia a menudo —tamaño, peso, alineación, color, enlace— vive en una barra flotante pegada a la selección. El mapa de caja y los valores exactos quedan detrás de «Avanzado», para quien los busque.</w:t>
      </w:r>
    </w:p>
    <w:p>
      <w:pPr>
        <w:pStyle w:val="Heading3"/>
        <w:spacing w:after="110" w:before="260"/>
      </w:pPr>
      <w:r>
        <w:rPr>
          <w:rFonts w:ascii="Arial" w:cs="Arial" w:eastAsia="Arial" w:hAnsi="Arial"/>
          <w:b/>
          <w:bCs/>
          <w:color w:val="2167AE"/>
          <w:sz w:val="22"/>
          <w:szCs w:val="22"/>
        </w:rPr>
        <w:t xml:space="preserve">Reglas en píxeles reales</w:t>
      </w:r>
    </w:p>
    <w:p>
      <w:pPr>
        <w:spacing w:after="140" w:before="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Regla horizontal y vertical en los tres editores. Miden la pieza, no la pantalla: si el lienzo se reduce para caber, la regla se reduce con él y la cifra sigue siendo el píxel real de la pieza. El paso se adapta para que las marcas nunca queden a menos de cinco píxeles en pantalla. La extensión de lo seleccionado se marca sobre la propia regla, y hay lectura de posición y tamaño, cotas de distancia entre elementos y guías arrastrables.</w:t>
      </w:r>
    </w:p>
    <w:p>
      <w:pPr>
        <w:pStyle w:val="Heading3"/>
        <w:spacing w:after="110" w:before="260"/>
      </w:pPr>
      <w:r>
        <w:rPr>
          <w:rFonts w:ascii="Arial" w:cs="Arial" w:eastAsia="Arial" w:hAnsi="Arial"/>
          <w:b/>
          <w:bCs/>
          <w:color w:val="2167AE"/>
          <w:sz w:val="22"/>
          <w:szCs w:val="22"/>
        </w:rPr>
        <w:t xml:space="preserve">Un formato único de inserción</w:t>
      </w:r>
    </w:p>
    <w:p>
      <w:pPr>
        <w:spacing w:after="140" w:before="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Un solo campo donde se pega lo que sea —una dirección, un iframe, un código de inserción, un identificador— y el sistema reconoce el servicio, deriva la URL canónica, aplica la proporción y busca la miniatura. Los proveedores son datos, no código: añadir uno nuevo es escribir un manifiesto.</w:t>
      </w:r>
    </w:p>
    <w:p>
      <w:pPr>
        <w:pStyle w:val="Heading3"/>
        <w:spacing w:after="110" w:before="260"/>
      </w:pPr>
      <w:r>
        <w:rPr>
          <w:rFonts w:ascii="Arial" w:cs="Arial" w:eastAsia="Arial" w:hAnsi="Arial"/>
          <w:b/>
          <w:bCs/>
          <w:color w:val="2167AE"/>
          <w:sz w:val="22"/>
          <w:szCs w:val="22"/>
        </w:rPr>
        <w:t xml:space="preserve">Respaldo obligatorio</w:t>
      </w:r>
    </w:p>
    <w:p>
      <w:pPr>
        <w:spacing w:after="140" w:before="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Ningún marco insertado sobrevive a un cliente de correo ni a una captura de pantalla. Por eso toda inserción exige portada de respaldo, y el aplicativo no deja exportar sin ella. Lo mismo con los estados: antes de rasterizar se elige qué diapositiva, pestaña o panel se congela.</w:t>
      </w:r>
    </w:p>
    <w:p>
      <w:pPr>
        <w:pStyle w:val="Heading3"/>
        <w:spacing w:after="110" w:before="260"/>
      </w:pPr>
      <w:r>
        <w:rPr>
          <w:rFonts w:ascii="Arial" w:cs="Arial" w:eastAsia="Arial" w:hAnsi="Arial"/>
          <w:b/>
          <w:bCs/>
          <w:color w:val="2167AE"/>
          <w:sz w:val="22"/>
          <w:szCs w:val="22"/>
        </w:rPr>
        <w:t xml:space="preserve">Fragmento para el gestor de contenidos</w:t>
      </w:r>
    </w:p>
    <w:p>
      <w:pPr>
        <w:spacing w:after="140" w:before="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Cuarto formato de salida, además de HTML completo, JPG y PNG. Entrega el marcado sin envoltorio, el CSS encapsulado bajo un contenedor raíz con las clases prefijadas, y el JavaScript sin variables globales y tolerante a varias instancias en la misma página. Pensado para que la pieza conviva dentro de Sitecore sin que su CSS arrase con el del sitio ni al revés.</w:t>
      </w:r>
    </w:p>
    <w:p>
      <w:pPr>
        <w:pStyle w:val="Heading3"/>
        <w:spacing w:after="110" w:before="260"/>
      </w:pPr>
      <w:r>
        <w:rPr>
          <w:rFonts w:ascii="Arial" w:cs="Arial" w:eastAsia="Arial" w:hAnsi="Arial"/>
          <w:b/>
          <w:bCs/>
          <w:color w:val="2167AE"/>
          <w:sz w:val="22"/>
          <w:szCs w:val="22"/>
        </w:rPr>
        <w:t xml:space="preserve">Tres modos, un solo catálogo</w:t>
      </w:r>
    </w:p>
    <w:p>
      <w:pPr>
        <w:spacing w:after="140" w:before="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Web, email y estilo libre comparten los mismos 65 componentes y las mismas exportaciones. Lo que cambia son las reglas de construcción. Si el correo no admite una interacción, el mismo componente ofrece una salida estática o enlazada; no desaparece del editor.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Arial" w:cs="Arial" w:eastAsia="Arial" w:hAnsi="Arial"/>
          <w:b w:val="false"/>
          <w:bCs w:val="false"/>
          <w:color w:val="23366F"/>
          <w:sz w:val="34"/>
          <w:szCs w:val="34"/>
        </w:rPr>
        <w:t xml:space="preserve">3. Decisiones tomadas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3" w:sz="4"/>
          <w:insideV w:val="none" w:color="FFFFFF" w:sz="0"/>
        </w:tblBorders>
      </w:tblPr>
      <w:tblGrid>
        <w:gridCol w:w="451"/>
        <w:gridCol w:w="2166"/>
        <w:gridCol w:w="6409"/>
      </w:tblGrid>
      <w:tr>
        <w:trPr>
          <w:tblHeader/>
        </w:trPr>
        <w:tc>
          <w:tcPr>
            <w:tcW w:type="dxa" w:w="4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EE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68717F"/>
                <w:spacing w:val="20"/>
                <w:sz w:val="16"/>
                <w:szCs w:val="16"/>
              </w:rPr>
              <w:t xml:space="preserve">#</w:t>
            </w:r>
          </w:p>
        </w:tc>
        <w:tc>
          <w:tcPr>
            <w:tcW w:type="dxa" w:w="2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EE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68717F"/>
                <w:spacing w:val="20"/>
                <w:sz w:val="16"/>
                <w:szCs w:val="16"/>
              </w:rPr>
              <w:t xml:space="preserve">TEMA</w:t>
            </w:r>
          </w:p>
        </w:tc>
        <w:tc>
          <w:tcPr>
            <w:tcW w:type="dxa" w:w="6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EE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68717F"/>
                <w:spacing w:val="20"/>
                <w:sz w:val="16"/>
                <w:szCs w:val="16"/>
              </w:rPr>
              <w:t xml:space="preserve">DECISIÓN</w:t>
            </w:r>
          </w:p>
        </w:tc>
      </w:tr>
      <w:tr>
        <w:tc>
          <w:tcPr>
            <w:tcW w:type="dxa" w:w="45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1</w:t>
            </w:r>
          </w:p>
        </w:tc>
        <w:tc>
          <w:tcPr>
            <w:tcW w:type="dxa" w:w="216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Punto de partida</w:t>
            </w:r>
          </w:p>
        </w:tc>
        <w:tc>
          <w:tcPr>
            <w:tcW w:type="dxa" w:w="640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Proyecto nuevo. Repositorio Git privado desde el primer commit.</w:t>
            </w:r>
          </w:p>
        </w:tc>
      </w:tr>
      <w:tr>
        <w:tc>
          <w:tcPr>
            <w:tcW w:type="dxa" w:w="45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2</w:t>
            </w:r>
          </w:p>
        </w:tc>
        <w:tc>
          <w:tcPr>
            <w:tcW w:type="dxa" w:w="216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Aplicativo anterior</w:t>
            </w:r>
          </w:p>
        </w:tc>
        <w:tc>
          <w:tcPr>
            <w:tcW w:type="dxa" w:w="640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Eliminado por completo, junto con todo rastro del cliente cuya marca estaba cableada en el motor.</w:t>
            </w:r>
          </w:p>
        </w:tc>
      </w:tr>
      <w:tr>
        <w:tc>
          <w:tcPr>
            <w:tcW w:type="dxa" w:w="45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3</w:t>
            </w:r>
          </w:p>
        </w:tc>
        <w:tc>
          <w:tcPr>
            <w:tcW w:type="dxa" w:w="216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Marca</w:t>
            </w:r>
          </w:p>
        </w:tc>
        <w:tc>
          <w:tcPr>
            <w:tcW w:type="dxa" w:w="640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Zurich es la base de las creatividades y de la interfaz. El motor es multimarca.</w:t>
            </w:r>
          </w:p>
        </w:tc>
      </w:tr>
      <w:tr>
        <w:tc>
          <w:tcPr>
            <w:tcW w:type="dxa" w:w="45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4</w:t>
            </w:r>
          </w:p>
        </w:tc>
        <w:tc>
          <w:tcPr>
            <w:tcW w:type="dxa" w:w="216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Tipografías</w:t>
            </w:r>
          </w:p>
        </w:tc>
        <w:tc>
          <w:tcPr>
            <w:tcW w:type="dxa" w:w="640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Zurich Sans y Arial. El aplicativo incluye subida de tipografías propias.</w:t>
            </w:r>
          </w:p>
        </w:tc>
      </w:tr>
      <w:tr>
        <w:tc>
          <w:tcPr>
            <w:tcW w:type="dxa" w:w="45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5</w:t>
            </w:r>
          </w:p>
        </w:tc>
        <w:tc>
          <w:tcPr>
            <w:tcW w:type="dxa" w:w="216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Desarrollo</w:t>
            </w:r>
          </w:p>
        </w:tc>
        <w:tc>
          <w:tcPr>
            <w:tcW w:type="dxa" w:w="640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Se construye y valida en local. Aprobado, se entrega para GitHub y Cloudflare. La subida la hace el usuario.</w:t>
            </w:r>
          </w:p>
        </w:tc>
      </w:tr>
      <w:tr>
        <w:tc>
          <w:tcPr>
            <w:tcW w:type="dxa" w:w="45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6</w:t>
            </w:r>
          </w:p>
        </w:tc>
        <w:tc>
          <w:tcPr>
            <w:tcW w:type="dxa" w:w="216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Dominio</w:t>
            </w:r>
          </w:p>
        </w:tc>
        <w:tc>
          <w:tcPr>
            <w:tcW w:type="dxa" w:w="640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fast-creative-builder.gamonal.app</w:t>
            </w:r>
          </w:p>
        </w:tc>
      </w:tr>
      <w:tr>
        <w:tc>
          <w:tcPr>
            <w:tcW w:type="dxa" w:w="45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7</w:t>
            </w:r>
          </w:p>
        </w:tc>
        <w:tc>
          <w:tcPr>
            <w:tcW w:type="dxa" w:w="216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Acceso</w:t>
            </w:r>
          </w:p>
        </w:tc>
        <w:tc>
          <w:tcPr>
            <w:tcW w:type="dxa" w:w="640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Invitación por correo. El administrador crea la cuenta, la persona define su contraseña.</w:t>
            </w:r>
          </w:p>
        </w:tc>
      </w:tr>
      <w:tr>
        <w:tc>
          <w:tcPr>
            <w:tcW w:type="dxa" w:w="45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8</w:t>
            </w:r>
          </w:p>
        </w:tc>
        <w:tc>
          <w:tcPr>
            <w:tcW w:type="dxa" w:w="216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Escala</w:t>
            </w:r>
          </w:p>
        </w:tc>
        <w:tc>
          <w:tcPr>
            <w:tcW w:type="dxa" w:w="640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Máximo quince usuarios.</w:t>
            </w:r>
          </w:p>
        </w:tc>
      </w:tr>
      <w:tr>
        <w:tc>
          <w:tcPr>
            <w:tcW w:type="dxa" w:w="45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9</w:t>
            </w:r>
          </w:p>
        </w:tc>
        <w:tc>
          <w:tcPr>
            <w:tcW w:type="dxa" w:w="216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Biblioteca</w:t>
            </w:r>
          </w:p>
        </w:tc>
        <w:tc>
          <w:tcPr>
            <w:tcW w:type="dxa" w:w="640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Logos, imágenes y tipografías. Los iconos son un set del sistema; los videos se enlazan.</w:t>
            </w:r>
          </w:p>
        </w:tc>
      </w:tr>
      <w:tr>
        <w:tc>
          <w:tcPr>
            <w:tcW w:type="dxa" w:w="45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10</w:t>
            </w:r>
          </w:p>
        </w:tc>
        <w:tc>
          <w:tcPr>
            <w:tcW w:type="dxa" w:w="216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Materiales</w:t>
            </w:r>
          </w:p>
        </w:tc>
        <w:tc>
          <w:tcPr>
            <w:tcW w:type="dxa" w:w="640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Sin capa compartida. Cada usuario ve solo lo suyo; el administrador ve todo.</w:t>
            </w:r>
          </w:p>
        </w:tc>
      </w:tr>
      <w:tr>
        <w:tc>
          <w:tcPr>
            <w:tcW w:type="dxa" w:w="45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11</w:t>
            </w:r>
          </w:p>
        </w:tc>
        <w:tc>
          <w:tcPr>
            <w:tcW w:type="dxa" w:w="216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SEO y GEO</w:t>
            </w:r>
          </w:p>
        </w:tc>
        <w:tc>
          <w:tcPr>
            <w:tcW w:type="dxa" w:w="640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Sí, para el modo web.</w:t>
            </w:r>
          </w:p>
        </w:tc>
      </w:tr>
      <w:tr>
        <w:tc>
          <w:tcPr>
            <w:tcW w:type="dxa" w:w="45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12</w:t>
            </w:r>
          </w:p>
        </w:tc>
        <w:tc>
          <w:tcPr>
            <w:tcW w:type="dxa" w:w="216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Prioridad de salida</w:t>
            </w:r>
          </w:p>
        </w:tc>
        <w:tc>
          <w:tcPr>
            <w:tcW w:type="dxa" w:w="640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El HTML manda. JPG y PNG se resuelven sin coste, con las limitaciones declaradas.</w:t>
            </w:r>
          </w:p>
        </w:tc>
      </w:tr>
      <w:tr>
        <w:tc>
          <w:tcPr>
            <w:tcW w:type="dxa" w:w="45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13</w:t>
            </w:r>
          </w:p>
        </w:tc>
        <w:tc>
          <w:tcPr>
            <w:tcW w:type="dxa" w:w="216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Papelera</w:t>
            </w:r>
          </w:p>
        </w:tc>
        <w:tc>
          <w:tcPr>
            <w:tcW w:type="dxa" w:w="640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Sí, con restauración a treinta días.</w:t>
            </w:r>
          </w:p>
        </w:tc>
      </w:tr>
      <w:tr>
        <w:tc>
          <w:tcPr>
            <w:tcW w:type="dxa" w:w="45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14</w:t>
            </w:r>
          </w:p>
        </w:tc>
        <w:tc>
          <w:tcPr>
            <w:tcW w:type="dxa" w:w="216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Modo oscuro</w:t>
            </w:r>
          </w:p>
        </w:tc>
        <w:tc>
          <w:tcPr>
            <w:tcW w:type="dxa" w:w="640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Sí, en la interfaz del aplicativo, sobre neutros oscuros y nunca azul sobre azul.</w:t>
            </w:r>
          </w:p>
        </w:tc>
      </w:tr>
      <w:tr>
        <w:tc>
          <w:tcPr>
            <w:tcW w:type="dxa" w:w="45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15</w:t>
            </w:r>
          </w:p>
        </w:tc>
        <w:tc>
          <w:tcPr>
            <w:tcW w:type="dxa" w:w="216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Idioma</w:t>
            </w:r>
          </w:p>
        </w:tc>
        <w:tc>
          <w:tcPr>
            <w:tcW w:type="dxa" w:w="640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Sólo español.</w:t>
            </w:r>
          </w:p>
        </w:tc>
      </w:tr>
      <w:tr>
        <w:tc>
          <w:tcPr>
            <w:tcW w:type="dxa" w:w="45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16</w:t>
            </w:r>
          </w:p>
        </w:tc>
        <w:tc>
          <w:tcPr>
            <w:tcW w:type="dxa" w:w="216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Plantillas</w:t>
            </w:r>
          </w:p>
        </w:tc>
        <w:tc>
          <w:tcPr>
            <w:tcW w:type="dxa" w:w="640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Fuera por ahora.</w:t>
            </w:r>
          </w:p>
        </w:tc>
      </w:tr>
      <w:tr>
        <w:tc>
          <w:tcPr>
            <w:tcW w:type="dxa" w:w="45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17</w:t>
            </w:r>
          </w:p>
        </w:tc>
        <w:tc>
          <w:tcPr>
            <w:tcW w:type="dxa" w:w="216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Contenido dinámico y A/B</w:t>
            </w:r>
          </w:p>
        </w:tc>
        <w:tc>
          <w:tcPr>
            <w:tcW w:type="dxa" w:w="640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Fuera por ahora.</w:t>
            </w:r>
          </w:p>
        </w:tc>
      </w:tr>
      <w:tr>
        <w:tc>
          <w:tcPr>
            <w:tcW w:type="dxa" w:w="45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18</w:t>
            </w:r>
          </w:p>
        </w:tc>
        <w:tc>
          <w:tcPr>
            <w:tcW w:type="dxa" w:w="216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Formularios</w:t>
            </w:r>
          </w:p>
        </w:tc>
        <w:tc>
          <w:tcPr>
            <w:tcW w:type="dxa" w:w="640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Externos. El aplicativo garantiza que se puedan insertar.</w:t>
            </w:r>
          </w:p>
        </w:tc>
      </w:tr>
      <w:tr>
        <w:tc>
          <w:tcPr>
            <w:tcW w:type="dxa" w:w="45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19</w:t>
            </w:r>
          </w:p>
        </w:tc>
        <w:tc>
          <w:tcPr>
            <w:tcW w:type="dxa" w:w="216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Mapa</w:t>
            </w:r>
          </w:p>
        </w:tc>
        <w:tc>
          <w:tcPr>
            <w:tcW w:type="dxa" w:w="640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OpenStreetMap con Leaflet, sin clave de pago.</w:t>
            </w:r>
          </w:p>
        </w:tc>
      </w:tr>
      <w:tr>
        <w:tc>
          <w:tcPr>
            <w:tcW w:type="dxa" w:w="45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20</w:t>
            </w:r>
          </w:p>
        </w:tc>
        <w:tc>
          <w:tcPr>
            <w:tcW w:type="dxa" w:w="216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Video</w:t>
            </w:r>
          </w:p>
        </w:tc>
        <w:tc>
          <w:tcPr>
            <w:tcW w:type="dxa" w:w="640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Pierde la fuente «archivo». Quedan YouTube, Vimeo y portada enlazada.</w:t>
            </w:r>
          </w:p>
        </w:tc>
      </w:tr>
      <w:tr>
        <w:tc>
          <w:tcPr>
            <w:tcW w:type="dxa" w:w="45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21</w:t>
            </w:r>
          </w:p>
        </w:tc>
        <w:tc>
          <w:tcPr>
            <w:tcW w:type="dxa" w:w="216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Audio y pódcast</w:t>
            </w:r>
          </w:p>
        </w:tc>
        <w:tc>
          <w:tcPr>
            <w:tcW w:type="dxa" w:w="640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Se añade al catálogo.</w:t>
            </w:r>
          </w:p>
        </w:tc>
      </w:tr>
      <w:tr>
        <w:tc>
          <w:tcPr>
            <w:tcW w:type="dxa" w:w="45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22</w:t>
            </w:r>
          </w:p>
        </w:tc>
        <w:tc>
          <w:tcPr>
            <w:tcW w:type="dxa" w:w="216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Inserción externa</w:t>
            </w:r>
          </w:p>
        </w:tc>
        <w:tc>
          <w:tcPr>
            <w:tcW w:type="dxa" w:w="640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Un formato único para todos los servicios.</w:t>
            </w:r>
          </w:p>
        </w:tc>
      </w:tr>
      <w:tr>
        <w:tc>
          <w:tcPr>
            <w:tcW w:type="dxa" w:w="45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23</w:t>
            </w:r>
          </w:p>
        </w:tc>
        <w:tc>
          <w:tcPr>
            <w:tcW w:type="dxa" w:w="216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Sitecore</w:t>
            </w:r>
          </w:p>
        </w:tc>
        <w:tc>
          <w:tcPr>
            <w:tcW w:type="dxa" w:w="640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Se añade el modo de exportación Fragmento.</w:t>
            </w:r>
          </w:p>
        </w:tc>
      </w:tr>
      <w:tr>
        <w:tc>
          <w:tcPr>
            <w:tcW w:type="dxa" w:w="4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24</w:t>
            </w:r>
          </w:p>
        </w:tc>
        <w:tc>
          <w:tcPr>
            <w:tcW w:type="dxa" w:w="2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Interfaz</w:t>
            </w:r>
          </w:p>
        </w:tc>
        <w:tc>
          <w:tcPr>
            <w:tcW w:type="dxa" w:w="6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Tres propuestas de mockup antes de implementar. Pendiente de elección.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rPr>
          <w:rFonts w:ascii="Arial" w:cs="Arial" w:eastAsia="Arial" w:hAnsi="Arial"/>
          <w:b w:val="false"/>
          <w:bCs w:val="false"/>
          <w:color w:val="23366F"/>
          <w:sz w:val="34"/>
          <w:szCs w:val="34"/>
        </w:rPr>
        <w:t xml:space="preserve">4. Sistema visual</w:t>
      </w:r>
    </w:p>
    <w:p>
      <w:pPr>
        <w:spacing w:after="140" w:before="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La dirección se tomó de zurich.cl, que es la referencia que entregó el usuario, y se leyó así: la página no es azul sobre azul, sino bandas pastel a todo el ancho con mucho aire; el azul saturado se reserva para los botones y los datos; el lenguaje de formas son círculos, con la fotografía enmascarada y burbujas superpuestas; los botones son píldora; y los titulares son grandes y de peso normal.</w:t>
      </w:r>
    </w:p>
    <w:p>
      <w:pPr>
        <w:pStyle w:val="Heading2"/>
        <w:spacing w:after="150" w:before="340"/>
      </w:pPr>
      <w:r>
        <w:rPr>
          <w:rFonts w:ascii="Arial" w:cs="Arial" w:eastAsia="Arial" w:hAnsi="Arial"/>
          <w:b/>
          <w:bCs/>
          <w:color w:val="23366F"/>
          <w:sz w:val="26"/>
          <w:szCs w:val="26"/>
        </w:rPr>
        <w:t xml:space="preserve">4.1 Color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3" w:sz="4"/>
          <w:insideV w:val="none" w:color="FFFFFF" w:sz="0"/>
        </w:tblBorders>
      </w:tblPr>
      <w:tblGrid>
        <w:gridCol w:w="1805"/>
        <w:gridCol w:w="1444"/>
        <w:gridCol w:w="5777"/>
      </w:tblGrid>
      <w:tr>
        <w:trPr>
          <w:tblHeader/>
        </w:trPr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EE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68717F"/>
                <w:spacing w:val="20"/>
                <w:sz w:val="16"/>
                <w:szCs w:val="16"/>
              </w:rPr>
              <w:t xml:space="preserve">ROL</w:t>
            </w:r>
          </w:p>
        </w:tc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EE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68717F"/>
                <w:spacing w:val="20"/>
                <w:sz w:val="16"/>
                <w:szCs w:val="16"/>
              </w:rPr>
              <w:t xml:space="preserve">VALOR</w:t>
            </w:r>
          </w:p>
        </w:tc>
        <w:tc>
          <w:tcPr>
            <w:tcW w:type="dxa" w:w="57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EE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68717F"/>
                <w:spacing w:val="20"/>
                <w:sz w:val="16"/>
                <w:szCs w:val="16"/>
              </w:rPr>
              <w:t xml:space="preserve">USO</w:t>
            </w:r>
          </w:p>
        </w:tc>
      </w:tr>
      <w:tr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Azul héroe</w:t>
            </w:r>
          </w:p>
        </w:tc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#2167AE</w:t>
            </w:r>
          </w:p>
        </w:tc>
        <w:tc>
          <w:tcPr>
            <w:tcW w:type="dxa" w:w="5777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Botones, enlaces, cifras. Visibilidad constante, como exige el brandbook.</w:t>
            </w:r>
          </w:p>
        </w:tc>
      </w:tr>
      <w:tr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Azul oscuro</w:t>
            </w:r>
          </w:p>
        </w:tc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#23366F</w:t>
            </w:r>
          </w:p>
        </w:tc>
        <w:tc>
          <w:tcPr>
            <w:tcW w:type="dxa" w:w="5777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Texto y titulares sobre cualquier banda. Barras y laterales.</w:t>
            </w:r>
          </w:p>
        </w:tc>
      </w:tr>
      <w:tr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Banda rosa</w:t>
            </w:r>
          </w:p>
        </w:tc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#FFC5EA</w:t>
            </w:r>
          </w:p>
        </w:tc>
        <w:tc>
          <w:tcPr>
            <w:tcW w:type="dxa" w:w="5777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Fondo de sección. 7,89 con titular navy.</w:t>
            </w:r>
          </w:p>
        </w:tc>
      </w:tr>
      <w:tr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Banda celeste</w:t>
            </w:r>
          </w:p>
        </w:tc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#91BFE3</w:t>
            </w:r>
          </w:p>
        </w:tc>
        <w:tc>
          <w:tcPr>
            <w:tcW w:type="dxa" w:w="5777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Fondo de sección. 5,89. No admite botones.</w:t>
            </w:r>
          </w:p>
        </w:tc>
      </w:tr>
      <w:tr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Banda menta</w:t>
            </w:r>
          </w:p>
        </w:tc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#A6E9AB</w:t>
            </w:r>
          </w:p>
        </w:tc>
        <w:tc>
          <w:tcPr>
            <w:tcW w:type="dxa" w:w="5777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Fondo de sección. 8,13.</w:t>
            </w:r>
          </w:p>
        </w:tc>
      </w:tr>
      <w:tr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Banda ámbar</w:t>
            </w:r>
          </w:p>
        </w:tc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#E4B273</w:t>
            </w:r>
          </w:p>
        </w:tc>
        <w:tc>
          <w:tcPr>
            <w:tcW w:type="dxa" w:w="5777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Fondo de sección. 5,97.</w:t>
            </w:r>
          </w:p>
        </w:tc>
      </w:tr>
      <w:tr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Banda arenisca</w:t>
            </w:r>
          </w:p>
        </w:tc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#DAD2BD</w:t>
            </w:r>
          </w:p>
        </w:tc>
        <w:tc>
          <w:tcPr>
            <w:tcW w:type="dxa" w:w="5777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Fondo de sección. 7,62.</w:t>
            </w:r>
          </w:p>
        </w:tc>
      </w:tr>
      <w:tr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Banda hueso</w:t>
            </w:r>
          </w:p>
        </w:tc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#ECEEEF</w:t>
            </w:r>
          </w:p>
        </w:tc>
        <w:tc>
          <w:tcPr>
            <w:tcW w:type="dxa" w:w="5777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Fondo neutro. 9,87. Sólo pantalla, prohibido en impresión.</w:t>
            </w:r>
          </w:p>
        </w:tc>
      </w:tr>
      <w:tr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Lima</w:t>
            </w:r>
          </w:p>
        </w:tc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#FFF773</w:t>
            </w:r>
          </w:p>
        </w:tc>
        <w:tc>
          <w:tcPr>
            <w:tcW w:type="dxa" w:w="5777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Acento sobre fondo oscuro. 10,28.</w:t>
            </w:r>
          </w:p>
        </w:tc>
      </w:tr>
      <w:tr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Coral</w:t>
            </w:r>
          </w:p>
        </w:tc>
        <w:tc>
          <w:tcPr>
            <w:tcW w:type="dxa" w:w="1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#CC4038</w:t>
            </w:r>
          </w:p>
        </w:tc>
        <w:tc>
          <w:tcPr>
            <w:tcW w:type="dxa" w:w="57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Acción de conversión. El coral de campaña de Zurich, #F16F6D, da 2,90 con texto blanco y no cumple AA; se oscurece hasta 4,82.</w:t>
            </w:r>
          </w:p>
        </w:tc>
      </w:tr>
    </w:tbl>
    <w:p>
      <w:pPr>
        <w:pStyle w:val="Heading3"/>
        <w:spacing w:after="110" w:before="260"/>
      </w:pPr>
      <w:r>
        <w:rPr>
          <w:rFonts w:ascii="Arial" w:cs="Arial" w:eastAsia="Arial" w:hAnsi="Arial"/>
          <w:b/>
          <w:bCs/>
          <w:color w:val="2167AE"/>
          <w:sz w:val="22"/>
          <w:szCs w:val="22"/>
        </w:rPr>
        <w:t xml:space="preserve">Qué botón admite cada banda</w:t>
      </w:r>
    </w:p>
    <w:p>
      <w:pPr>
        <w:spacing w:after="140" w:before="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Tabla calculada, no estimada. Dos condiciones a la vez: separación mínima de 3:1 entre el botón y su fondo, y familias cromáticas distintas, que es lo que prohíbe Gamonal.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3" w:sz="4"/>
          <w:insideV w:val="none" w:color="FFFFFF" w:sz="0"/>
        </w:tblBorders>
      </w:tblPr>
      <w:tblGrid>
        <w:gridCol w:w="1986"/>
        <w:gridCol w:w="1986"/>
        <w:gridCol w:w="1986"/>
        <w:gridCol w:w="3068"/>
      </w:tblGrid>
      <w:tr>
        <w:trPr>
          <w:tblHeader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EE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68717F"/>
                <w:spacing w:val="20"/>
                <w:sz w:val="16"/>
                <w:szCs w:val="16"/>
              </w:rPr>
              <w:t xml:space="preserve">BANDA</w:t>
            </w:r>
          </w:p>
        </w:tc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EE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68717F"/>
                <w:spacing w:val="20"/>
                <w:sz w:val="16"/>
                <w:szCs w:val="16"/>
              </w:rPr>
              <w:t xml:space="preserve">HÉROE</w:t>
            </w:r>
          </w:p>
        </w:tc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EE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68717F"/>
                <w:spacing w:val="20"/>
                <w:sz w:val="16"/>
                <w:szCs w:val="16"/>
              </w:rPr>
              <w:t xml:space="preserve">NAVY</w:t>
            </w:r>
          </w:p>
        </w:tc>
        <w:tc>
          <w:tcPr>
            <w:tcW w:type="dxa" w:w="30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EE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68717F"/>
                <w:spacing w:val="20"/>
                <w:sz w:val="16"/>
                <w:szCs w:val="16"/>
              </w:rPr>
              <w:t xml:space="preserve">CORAL</w:t>
            </w:r>
          </w:p>
        </w:tc>
      </w:tr>
      <w:t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Ámbar</w:t>
            </w:r>
          </w:p>
        </w:tc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3,02  sí</w:t>
            </w:r>
          </w:p>
        </w:tc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5,97  sí</w:t>
            </w:r>
          </w:p>
        </w:tc>
        <w:tc>
          <w:tcPr>
            <w:tcW w:type="dxa" w:w="3068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2,50  no · misma familia</w:t>
            </w:r>
          </w:p>
        </w:tc>
      </w:tr>
      <w:t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Rosa</w:t>
            </w:r>
          </w:p>
        </w:tc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3,99  sí</w:t>
            </w:r>
          </w:p>
        </w:tc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7,89  sí</w:t>
            </w:r>
          </w:p>
        </w:tc>
        <w:tc>
          <w:tcPr>
            <w:tcW w:type="dxa" w:w="3068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3,31  no · misma familia</w:t>
            </w:r>
          </w:p>
        </w:tc>
      </w:tr>
      <w:t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Menta</w:t>
            </w:r>
          </w:p>
        </w:tc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4,11  sí</w:t>
            </w:r>
          </w:p>
        </w:tc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8,13  sí</w:t>
            </w:r>
          </w:p>
        </w:tc>
        <w:tc>
          <w:tcPr>
            <w:tcW w:type="dxa" w:w="3068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3,41  sí</w:t>
            </w:r>
          </w:p>
        </w:tc>
      </w:tr>
      <w:t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Arenisca</w:t>
            </w:r>
          </w:p>
        </w:tc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3,85  sí</w:t>
            </w:r>
          </w:p>
        </w:tc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7,62  sí</w:t>
            </w:r>
          </w:p>
        </w:tc>
        <w:tc>
          <w:tcPr>
            <w:tcW w:type="dxa" w:w="3068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3,20  no · misma familia</w:t>
            </w:r>
          </w:p>
        </w:tc>
      </w:tr>
      <w:t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Celeste</w:t>
            </w:r>
          </w:p>
        </w:tc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2,98  no</w:t>
            </w:r>
          </w:p>
        </w:tc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5,89  no</w:t>
            </w:r>
          </w:p>
        </w:tc>
        <w:tc>
          <w:tcPr>
            <w:tcW w:type="dxa" w:w="3068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2,47  no</w:t>
            </w:r>
          </w:p>
        </w:tc>
      </w:tr>
      <w:t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Hueso</w:t>
            </w:r>
          </w:p>
        </w:tc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4,99  sí</w:t>
            </w:r>
          </w:p>
        </w:tc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9,87  sí</w:t>
            </w:r>
          </w:p>
        </w:tc>
        <w:tc>
          <w:tcPr>
            <w:tcW w:type="dxa" w:w="3068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4,14  sí</w:t>
            </w:r>
          </w:p>
        </w:tc>
      </w:tr>
      <w:t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Blanco</w:t>
            </w:r>
          </w:p>
        </w:tc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5,81  sí</w:t>
            </w:r>
          </w:p>
        </w:tc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11,48  sí</w:t>
            </w:r>
          </w:p>
        </w:tc>
        <w:tc>
          <w:tcPr>
            <w:tcW w:type="dxa" w:w="30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4,82  sí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CEEEF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3366F"/>
                <w:sz w:val="22"/>
                <w:szCs w:val="22"/>
              </w:rPr>
              <w:t xml:space="preserve">Dos consecuencias que hay que recordar</w:t>
            </w:r>
          </w:p>
          <w:p>
            <w:pPr>
              <w:spacing w:after="100" w:line="288"/>
            </w:pPr>
            <w:r>
              <w:rPr>
                <w:rFonts w:ascii="Arial" w:cs="Arial" w:eastAsia="Arial" w:hAnsi="Arial"/>
                <w:b w:val="false"/>
                <w:bCs w:val="false"/>
                <w:color w:val="23366F"/>
                <w:sz w:val="20"/>
                <w:szCs w:val="20"/>
              </w:rPr>
              <w:t xml:space="preserve">La banda celeste no admite ningún botón.</w:t>
            </w:r>
            <w:r>
              <w:rPr>
                <w:rFonts w:ascii="Arial" w:cs="Arial" w:eastAsia="Arial" w:hAnsi="Arial"/>
                <w:b w:val="false"/>
                <w:bCs w:val="false"/>
                <w:color w:val="23366F"/>
                <w:sz w:val="20"/>
                <w:szCs w:val="20"/>
              </w:rPr>
              <w:t xml:space="default"/>
            </w:r>
          </w:p>
          <w:p>
            <w:pPr>
              <w:spacing w:after="100" w:line="288"/>
            </w:pPr>
            <w:r>
              <w:rPr>
                <w:rFonts w:ascii="Arial" w:cs="Arial" w:eastAsia="Arial" w:hAnsi="Arial"/>
                <w:color w:val="23366F"/>
                <w:sz w:val="20"/>
                <w:szCs w:val="20"/>
              </w:rPr>
              <w:t xml:space="preserve">Con los dos azules es azul sobre azul y con el coral se queda en 2,47. Sirve de fondo para texto y fotografía, nunca para una acción.</w:t>
            </w:r>
          </w:p>
          <w:p>
            <w:pPr>
              <w:spacing w:after="100" w:line="288"/>
            </w:pPr>
            <w:r>
              <w:rPr>
                <w:rFonts w:ascii="Arial" w:cs="Arial" w:eastAsia="Arial" w:hAnsi="Arial"/>
                <w:b w:val="false"/>
                <w:bCs w:val="false"/>
                <w:color w:val="23366F"/>
                <w:sz w:val="20"/>
                <w:szCs w:val="20"/>
              </w:rPr>
              <w:t xml:space="preserve">El coral sólo va sobre neutro, blanco o verde.</w:t>
            </w:r>
            <w:r>
              <w:rPr>
                <w:rFonts w:ascii="Arial" w:cs="Arial" w:eastAsia="Arial" w:hAnsi="Arial"/>
                <w:b w:val="false"/>
                <w:bCs w:val="false"/>
                <w:color w:val="23366F"/>
                <w:sz w:val="20"/>
                <w:szCs w:val="20"/>
              </w:rPr>
              <w:t xml:space="default"/>
            </w:r>
          </w:p>
          <w:p>
            <w:pPr>
              <w:spacing w:after="0" w:line="288"/>
            </w:pPr>
            <w:r>
              <w:rPr>
                <w:rFonts w:ascii="Arial" w:cs="Arial" w:eastAsia="Arial" w:hAnsi="Arial"/>
                <w:color w:val="23366F"/>
                <w:sz w:val="20"/>
                <w:szCs w:val="20"/>
              </w:rPr>
              <w:t xml:space="preserve">Sobre ámbar, rosa o arenisca sería rojo sobre naranja.</w:t>
            </w:r>
          </w:p>
        </w:tc>
      </w:tr>
    </w:tbl>
    <w:p>
      <w:pPr>
        <w:pStyle w:val="Heading2"/>
        <w:spacing w:after="150" w:before="340"/>
      </w:pPr>
      <w:r>
        <w:rPr>
          <w:rFonts w:ascii="Arial" w:cs="Arial" w:eastAsia="Arial" w:hAnsi="Arial"/>
          <w:b/>
          <w:bCs/>
          <w:color w:val="23366F"/>
          <w:sz w:val="26"/>
          <w:szCs w:val="26"/>
        </w:rPr>
        <w:t xml:space="preserve">4.2 Tipografía</w:t>
      </w:r>
    </w:p>
    <w:p>
      <w:pPr>
        <w:spacing w:after="140" w:before="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Zurich Sans como principal; Arial cuando no esté disponible, que es lo que autoriza el propio brandbook. Pesos 400, 500 y 600, nunca superiores. Cuerpo a 16 píxeles. Los titulares son grandes y de peso normal, no compactos y pesados.</w:t>
      </w:r>
    </w:p>
    <w:p>
      <w:pPr>
        <w:pStyle w:val="Heading2"/>
        <w:spacing w:after="150" w:before="340"/>
      </w:pPr>
      <w:r>
        <w:rPr>
          <w:rFonts w:ascii="Arial" w:cs="Arial" w:eastAsia="Arial" w:hAnsi="Arial"/>
          <w:b/>
          <w:bCs/>
          <w:color w:val="23366F"/>
          <w:sz w:val="26"/>
          <w:szCs w:val="26"/>
        </w:rPr>
        <w:t xml:space="preserve">4.3 Forma y espacio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Radio de 8 píxeles en cajas, campos, tarjetas y contenedores. Los botones van en píldora: es la firma reconocible de Zurich y entra en la excepción funcional que permite Gamonal.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Escala de espaciado en múltiplos de ocho. Cuadrícula de doce columnas en escritorio.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Área táctil mínima de 44 píxeles en todo control.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Las superficies se separan con fondos sólidos. Prohibidos los filetes decorativos, los degradados, los brillos, los difuminados y las sombras con color.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El lenguaje de formas son círculos: fotografía enmascarada con burbujas azules superpuestas.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Arial" w:cs="Arial" w:eastAsia="Arial" w:hAnsi="Arial"/>
          <w:b w:val="false"/>
          <w:bCs w:val="false"/>
          <w:color w:val="23366F"/>
          <w:sz w:val="34"/>
          <w:szCs w:val="34"/>
        </w:rPr>
        <w:t xml:space="preserve">5. Arquitectura de la interfaz</w:t>
      </w:r>
    </w:p>
    <w:p>
      <w:pPr>
        <w:pStyle w:val="Heading2"/>
        <w:spacing w:after="150" w:before="340"/>
      </w:pPr>
      <w:r>
        <w:rPr>
          <w:rFonts w:ascii="Arial" w:cs="Arial" w:eastAsia="Arial" w:hAnsi="Arial"/>
          <w:b/>
          <w:bCs/>
          <w:color w:val="23366F"/>
          <w:sz w:val="26"/>
          <w:szCs w:val="26"/>
        </w:rPr>
        <w:t xml:space="preserve">5.1 Rutas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3" w:sz="4"/>
          <w:insideV w:val="none" w:color="FFFFFF" w:sz="0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EE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68717F"/>
                <w:spacing w:val="20"/>
                <w:sz w:val="16"/>
                <w:szCs w:val="16"/>
              </w:rPr>
              <w:t xml:space="preserve">RUTA</w:t>
            </w:r>
          </w:p>
        </w:tc>
        <w:tc>
          <w:tcPr>
            <w:tcW w:type="dxa" w:w="66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EE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68717F"/>
                <w:spacing w:val="20"/>
                <w:sz w:val="16"/>
                <w:szCs w:val="16"/>
              </w:rPr>
              <w:t xml:space="preserve">QUÉ ES</w:t>
            </w:r>
          </w:p>
        </w:tc>
      </w:tr>
      <w:tr>
        <w:tc>
          <w:tcPr>
            <w:tcW w:type="dxa" w:w="2347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/login</w:t>
            </w:r>
          </w:p>
        </w:tc>
        <w:tc>
          <w:tcPr>
            <w:tcW w:type="dxa" w:w="667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Acceso con correo y contraseña. Página completa, fotografía real, panel de formulario y área visual diferenciados.</w:t>
            </w:r>
          </w:p>
        </w:tc>
      </w:tr>
      <w:tr>
        <w:tc>
          <w:tcPr>
            <w:tcW w:type="dxa" w:w="2347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/invitacion/:token</w:t>
            </w:r>
          </w:p>
        </w:tc>
        <w:tc>
          <w:tcPr>
            <w:tcW w:type="dxa" w:w="667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La persona invitada define su contraseña. Enlace de un solo uso, caduca en siete días.</w:t>
            </w:r>
          </w:p>
        </w:tc>
      </w:tr>
      <w:tr>
        <w:tc>
          <w:tcPr>
            <w:tcW w:type="dxa" w:w="2347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/recuperar</w:t>
            </w:r>
          </w:p>
        </w:tc>
        <w:tc>
          <w:tcPr>
            <w:tcW w:type="dxa" w:w="667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Solicitud de enlace de recuperación. Respuesta idéntica exista o no la cuenta.</w:t>
            </w:r>
          </w:p>
        </w:tc>
      </w:tr>
      <w:tr>
        <w:tc>
          <w:tcPr>
            <w:tcW w:type="dxa" w:w="2347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/home</w:t>
            </w:r>
          </w:p>
        </w:tc>
        <w:tc>
          <w:tcPr>
            <w:tcW w:type="dxa" w:w="667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Accesos directos, recientes y pendientes. Composición distinta de las pantallas interiores, con fotografía real.</w:t>
            </w:r>
          </w:p>
        </w:tc>
      </w:tr>
      <w:tr>
        <w:tc>
          <w:tcPr>
            <w:tcW w:type="dxa" w:w="2347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/crear</w:t>
            </w:r>
          </w:p>
        </w:tc>
        <w:tc>
          <w:tcPr>
            <w:tcW w:type="dxa" w:w="667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Selector de modo: web, email o estilo libre.</w:t>
            </w:r>
          </w:p>
        </w:tc>
      </w:tr>
      <w:tr>
        <w:tc>
          <w:tcPr>
            <w:tcW w:type="dxa" w:w="2347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/crear/web/:proyecto</w:t>
            </w:r>
          </w:p>
        </w:tc>
        <w:tc>
          <w:tcPr>
            <w:tcW w:type="dxa" w:w="667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Editor web.</w:t>
            </w:r>
          </w:p>
        </w:tc>
      </w:tr>
      <w:tr>
        <w:tc>
          <w:tcPr>
            <w:tcW w:type="dxa" w:w="2347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/crear/email/:proyecto</w:t>
            </w:r>
          </w:p>
        </w:tc>
        <w:tc>
          <w:tcPr>
            <w:tcW w:type="dxa" w:w="667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Editor de email, 600 píxeles.</w:t>
            </w:r>
          </w:p>
        </w:tc>
      </w:tr>
      <w:tr>
        <w:tc>
          <w:tcPr>
            <w:tcW w:type="dxa" w:w="2347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/crear/libre/:proyecto</w:t>
            </w:r>
          </w:p>
        </w:tc>
        <w:tc>
          <w:tcPr>
            <w:tcW w:type="dxa" w:w="667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Editor de estilo libre, mesa de trabajo.</w:t>
            </w:r>
          </w:p>
        </w:tc>
      </w:tr>
      <w:tr>
        <w:tc>
          <w:tcPr>
            <w:tcW w:type="dxa" w:w="2347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/proyectos</w:t>
            </w:r>
          </w:p>
        </w:tc>
        <w:tc>
          <w:tcPr>
            <w:tcW w:type="dxa" w:w="667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Buscar, filtrar, duplicar, archivar y abrir.</w:t>
            </w:r>
          </w:p>
        </w:tc>
      </w:tr>
      <w:tr>
        <w:tc>
          <w:tcPr>
            <w:tcW w:type="dxa" w:w="2347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/proyectos/:proyecto</w:t>
            </w:r>
          </w:p>
        </w:tc>
        <w:tc>
          <w:tcPr>
            <w:tcW w:type="dxa" w:w="667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Ficha, estado, versiones y exportaciones.</w:t>
            </w:r>
          </w:p>
        </w:tc>
      </w:tr>
      <w:tr>
        <w:tc>
          <w:tcPr>
            <w:tcW w:type="dxa" w:w="2347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/proyectos/papelera</w:t>
            </w:r>
          </w:p>
        </w:tc>
        <w:tc>
          <w:tcPr>
            <w:tcW w:type="dxa" w:w="667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Restaurar o eliminar definitivamente.</w:t>
            </w:r>
          </w:p>
        </w:tc>
      </w:tr>
      <w:tr>
        <w:tc>
          <w:tcPr>
            <w:tcW w:type="dxa" w:w="2347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/biblioteca/logos</w:t>
            </w:r>
          </w:p>
        </w:tc>
        <w:tc>
          <w:tcPr>
            <w:tcW w:type="dxa" w:w="667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Logos subidos.</w:t>
            </w:r>
          </w:p>
        </w:tc>
      </w:tr>
      <w:tr>
        <w:tc>
          <w:tcPr>
            <w:tcW w:type="dxa" w:w="2347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/biblioteca/imagenes</w:t>
            </w:r>
          </w:p>
        </w:tc>
        <w:tc>
          <w:tcPr>
            <w:tcW w:type="dxa" w:w="667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Imágenes subidas.</w:t>
            </w:r>
          </w:p>
        </w:tc>
      </w:tr>
      <w:tr>
        <w:tc>
          <w:tcPr>
            <w:tcW w:type="dxa" w:w="2347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/biblioteca/tipografias</w:t>
            </w:r>
          </w:p>
        </w:tc>
        <w:tc>
          <w:tcPr>
            <w:tcW w:type="dxa" w:w="667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Tipografías propias, incrustadas en los HTML exportados.</w:t>
            </w:r>
          </w:p>
        </w:tc>
      </w:tr>
      <w:tr>
        <w:tc>
          <w:tcPr>
            <w:tcW w:type="dxa" w:w="2347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/configuracion/general</w:t>
            </w:r>
          </w:p>
        </w:tc>
        <w:tc>
          <w:tcPr>
            <w:tcW w:type="dxa" w:w="667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Marca, tokens, formatos y dominios permitidos para insertar.</w:t>
            </w:r>
          </w:p>
        </w:tc>
      </w:tr>
      <w:tr>
        <w:tc>
          <w:tcPr>
            <w:tcW w:type="dxa" w:w="2347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/configuracion/permisos</w:t>
            </w:r>
          </w:p>
        </w:tc>
        <w:tc>
          <w:tcPr>
            <w:tcW w:type="dxa" w:w="6679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Invitar personas y definir su alcance.</w:t>
            </w:r>
          </w:p>
        </w:tc>
      </w:tr>
      <w:tr>
        <w:tc>
          <w:tcPr>
            <w:tcW w:type="dxa" w:w="23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/configuracion/usuarios</w:t>
            </w:r>
          </w:p>
        </w:tc>
        <w:tc>
          <w:tcPr>
            <w:tcW w:type="dxa" w:w="66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Usuarios creados, su estado y sus permisos.</w:t>
            </w:r>
          </w:p>
        </w:tc>
      </w:tr>
    </w:tbl>
    <w:p>
      <w:pPr>
        <w:pStyle w:val="Heading2"/>
        <w:spacing w:after="150" w:before="340"/>
      </w:pPr>
      <w:r>
        <w:rPr>
          <w:rFonts w:ascii="Arial" w:cs="Arial" w:eastAsia="Arial" w:hAnsi="Arial"/>
          <w:b/>
          <w:bCs/>
          <w:color w:val="23366F"/>
          <w:sz w:val="26"/>
          <w:szCs w:val="26"/>
        </w:rPr>
        <w:t xml:space="preserve">5.2 Permisos</w:t>
      </w:r>
    </w:p>
    <w:p>
      <w:pPr>
        <w:spacing w:after="140" w:before="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Dos roles, verificados en el servidor. El rol que llega al navegador sirve para decidir qué se enseña, nunca para autorizar: ocultar un botón no es un permiso.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Arial" w:cs="Arial" w:eastAsia="Arial" w:hAnsi="Arial"/>
          <w:b/>
          <w:bCs/>
          <w:color w:val="4A5570"/>
          <w:sz w:val="21"/>
          <w:szCs w:val="21"/>
        </w:rPr>
        <w:t xml:space="preserve">Administrador</w:t>
      </w:r>
      <w:r>
        <w:rPr>
          <w:rFonts w:ascii="Arial" w:cs="Arial" w:eastAsia="Arial" w:hAnsi="Arial"/>
          <w:b w:val="false"/>
          <w:bCs w:val="false"/>
          <w:color w:val="4A5570"/>
          <w:sz w:val="21"/>
          <w:szCs w:val="21"/>
        </w:rPr>
        <w:t xml:space="preserve"> — ve y administra todo, aprueba, exporta, invita, otorga y quita accesos.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Arial" w:cs="Arial" w:eastAsia="Arial" w:hAnsi="Arial"/>
          <w:b/>
          <w:bCs/>
          <w:color w:val="4A5570"/>
          <w:sz w:val="21"/>
          <w:szCs w:val="21"/>
        </w:rPr>
        <w:t xml:space="preserve">Usuario</w:t>
      </w:r>
      <w:r>
        <w:rPr>
          <w:rFonts w:ascii="Arial" w:cs="Arial" w:eastAsia="Arial" w:hAnsi="Arial"/>
          <w:b w:val="false"/>
          <w:bCs w:val="false"/>
          <w:color w:val="4A5570"/>
          <w:sz w:val="21"/>
          <w:szCs w:val="21"/>
        </w:rPr>
        <w:t xml:space="preserve"> — ve, edita, guarda y exporta sólo sus proyectos. Usa sólo los materiales que él subió.</w:t>
      </w:r>
    </w:p>
    <w:p>
      <w:pPr>
        <w:pStyle w:val="Heading2"/>
        <w:spacing w:after="150" w:before="340"/>
      </w:pPr>
      <w:r>
        <w:rPr>
          <w:rFonts w:ascii="Arial" w:cs="Arial" w:eastAsia="Arial" w:hAnsi="Arial"/>
          <w:b/>
          <w:bCs/>
          <w:color w:val="23366F"/>
          <w:sz w:val="26"/>
          <w:szCs w:val="26"/>
        </w:rPr>
        <w:t xml:space="preserve">5.3 Cinco niveles de selección</w:t>
      </w:r>
    </w:p>
    <w:p>
      <w:pPr>
        <w:spacing w:after="140" w:before="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El inspector muestra siempre la ruta completa, por ejemplo «Carrusel › Slide 2 › Contenedor de texto › Botón», y permite subir de nivel sin perder la selección.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Arial" w:cs="Arial" w:eastAsia="Arial" w:hAnsi="Arial"/>
          <w:b/>
          <w:bCs/>
          <w:color w:val="4A5570"/>
          <w:sz w:val="21"/>
          <w:szCs w:val="21"/>
        </w:rPr>
        <w:t xml:space="preserve">Lienzo o página</w:t>
      </w:r>
      <w:r>
        <w:rPr>
          <w:rFonts w:ascii="Arial" w:cs="Arial" w:eastAsia="Arial" w:hAnsi="Arial"/>
          <w:b w:val="false"/>
          <w:bCs w:val="false"/>
          <w:color w:val="4A5570"/>
          <w:sz w:val="21"/>
          <w:szCs w:val="21"/>
        </w:rPr>
        <w:t xml:space="preserve"> — fondo exterior, ancho, alto, guías y estilos globales. No modifica componentes existentes.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Arial" w:cs="Arial" w:eastAsia="Arial" w:hAnsi="Arial"/>
          <w:b/>
          <w:bCs/>
          <w:color w:val="4A5570"/>
          <w:sz w:val="21"/>
          <w:szCs w:val="21"/>
        </w:rPr>
        <w:t xml:space="preserve">Componente</w:t>
      </w:r>
      <w:r>
        <w:rPr>
          <w:rFonts w:ascii="Arial" w:cs="Arial" w:eastAsia="Arial" w:hAnsi="Arial"/>
          <w:b w:val="false"/>
          <w:bCs w:val="false"/>
          <w:color w:val="4A5570"/>
          <w:sz w:val="21"/>
          <w:szCs w:val="21"/>
        </w:rPr>
        <w:t xml:space="preserve"> — caja exterior, ubicación, tamaño, margen, borde, fondo y visibilidad.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Arial" w:cs="Arial" w:eastAsia="Arial" w:hAnsi="Arial"/>
          <w:b/>
          <w:bCs/>
          <w:color w:val="4A5570"/>
          <w:sz w:val="21"/>
          <w:szCs w:val="21"/>
        </w:rPr>
        <w:t xml:space="preserve">Contenedor interno</w:t>
      </w:r>
      <w:r>
        <w:rPr>
          <w:rFonts w:ascii="Arial" w:cs="Arial" w:eastAsia="Arial" w:hAnsi="Arial"/>
          <w:b w:val="false"/>
          <w:bCs w:val="false"/>
          <w:color w:val="4A5570"/>
          <w:sz w:val="21"/>
          <w:szCs w:val="21"/>
        </w:rPr>
        <w:t xml:space="preserve"> — dirección, rejilla, alineación, relleno, separación y desbordamiento de sus hijos.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Arial" w:cs="Arial" w:eastAsia="Arial" w:hAnsi="Arial"/>
          <w:b/>
          <w:bCs/>
          <w:color w:val="4A5570"/>
          <w:sz w:val="21"/>
          <w:szCs w:val="21"/>
        </w:rPr>
        <w:t xml:space="preserve">Elemento</w:t>
      </w:r>
      <w:r>
        <w:rPr>
          <w:rFonts w:ascii="Arial" w:cs="Arial" w:eastAsia="Arial" w:hAnsi="Arial"/>
          <w:b w:val="false"/>
          <w:bCs w:val="false"/>
          <w:color w:val="4A5570"/>
          <w:sz w:val="21"/>
          <w:szCs w:val="21"/>
        </w:rPr>
        <w:t xml:space="preserve"> — contenido, tamaño, estilo y posición de un hijo. No toca al padre ni a los hermanos.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Arial" w:cs="Arial" w:eastAsia="Arial" w:hAnsi="Arial"/>
          <w:b/>
          <w:bCs/>
          <w:color w:val="4A5570"/>
          <w:sz w:val="21"/>
          <w:szCs w:val="21"/>
        </w:rPr>
        <w:t xml:space="preserve">Capa superpuesta</w:t>
      </w:r>
      <w:r>
        <w:rPr>
          <w:rFonts w:ascii="Arial" w:cs="Arial" w:eastAsia="Arial" w:hAnsi="Arial"/>
          <w:b w:val="false"/>
          <w:bCs w:val="false"/>
          <w:color w:val="4A5570"/>
          <w:sz w:val="21"/>
          <w:szCs w:val="21"/>
        </w:rPr>
        <w:t xml:space="preserve"> — X, Y, anclas, tamaño, transformación y z-index. Fuera del flujo.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Arial" w:cs="Arial" w:eastAsia="Arial" w:hAnsi="Arial"/>
          <w:b w:val="false"/>
          <w:bCs w:val="false"/>
          <w:color w:val="23366F"/>
          <w:sz w:val="34"/>
          <w:szCs w:val="34"/>
        </w:rPr>
        <w:t xml:space="preserve">6. Catálogo de componentes</w:t>
      </w:r>
    </w:p>
    <w:p>
      <w:pPr>
        <w:spacing w:after="140" w:before="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Sesenta y cinco componentes, cada uno con sus cantidades y variantes obligatorias. Un componente no está terminado si sólo existe su tarjeta en el panel: deben funcionar su anatomía, todas sus variantes, sus controles, su responsive, su guardado y sus tres exportaciones.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3" w:sz="4"/>
          <w:insideV w:val="none" w:color="FFFFFF" w:sz="0"/>
        </w:tblBorders>
      </w:tblPr>
      <w:tblGrid>
        <w:gridCol w:w="2166"/>
        <w:gridCol w:w="632"/>
        <w:gridCol w:w="6228"/>
      </w:tblGrid>
      <w:tr>
        <w:trPr>
          <w:tblHeader/>
        </w:trPr>
        <w:tc>
          <w:tcPr>
            <w:tcW w:type="dxa" w:w="2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EE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68717F"/>
                <w:spacing w:val="20"/>
                <w:sz w:val="16"/>
                <w:szCs w:val="16"/>
              </w:rPr>
              <w:t xml:space="preserve">CATEGORÍA</w:t>
            </w:r>
          </w:p>
        </w:tc>
        <w:tc>
          <w:tcPr>
            <w:tcW w:type="dxa" w:w="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EE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68717F"/>
                <w:spacing w:val="20"/>
                <w:sz w:val="16"/>
                <w:szCs w:val="16"/>
              </w:rPr>
              <w:t xml:space="preserve">N.º</w:t>
            </w:r>
          </w:p>
        </w:tc>
        <w:tc>
          <w:tcPr>
            <w:tcW w:type="dxa" w:w="62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EE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68717F"/>
                <w:spacing w:val="20"/>
                <w:sz w:val="16"/>
                <w:szCs w:val="16"/>
              </w:rPr>
              <w:t xml:space="preserve">COMPONENTES</w:t>
            </w:r>
          </w:p>
        </w:tc>
      </w:tr>
      <w:tr>
        <w:tc>
          <w:tcPr>
            <w:tcW w:type="dxa" w:w="216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Estructura y distribución</w:t>
            </w:r>
          </w:p>
        </w:tc>
        <w:tc>
          <w:tcPr>
            <w:tcW w:type="dxa" w:w="632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10</w:t>
            </w:r>
          </w:p>
        </w:tc>
        <w:tc>
          <w:tcPr>
            <w:tcW w:type="dxa" w:w="6228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Sección · Contenedor interno · Columnas · Cuadrícula · Pila · Grupo · Lista repetidora · Espaciador · Separador · Forma y fondo</w:t>
            </w:r>
          </w:p>
        </w:tc>
      </w:tr>
      <w:tr>
        <w:tc>
          <w:tcPr>
            <w:tcW w:type="dxa" w:w="216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Texto, imagen y acciones</w:t>
            </w:r>
          </w:p>
        </w:tc>
        <w:tc>
          <w:tcPr>
            <w:tcW w:type="dxa" w:w="632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18</w:t>
            </w:r>
          </w:p>
        </w:tc>
        <w:tc>
          <w:tcPr>
            <w:tcW w:type="dxa" w:w="6228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Título · Texto enriquecido · Texto en trayectoria · Imagen · Logo · Imagen y texto · Botón · Icono · Bloque de iconos · Lista de iconos · Tarjeta · Tabla · Video · Playlist · Audio y pódcast · Inserción · Código QR · Redes sociales</w:t>
            </w:r>
          </w:p>
        </w:tc>
      </w:tr>
      <w:tr>
        <w:tc>
          <w:tcPr>
            <w:tcW w:type="dxa" w:w="216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Marketing y presentación</w:t>
            </w:r>
          </w:p>
        </w:tc>
        <w:tc>
          <w:tcPr>
            <w:tcW w:type="dxa" w:w="632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21</w:t>
            </w:r>
          </w:p>
        </w:tc>
        <w:tc>
          <w:tcPr>
            <w:tcW w:type="dxa" w:w="6228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Portada · Carrusel de portada · Banner · Galería · Portfolio · Antes y después · Imagen con puntos activos · Beneficios · Testimonios · Valoración · Precios · Comparador · Métricas · Pasos y línea de tiempo · Progreso · Gráfico · Llamado final · Nube de logos · Preguntas frecuentes · Pestañas · Cuenta regresiva</w:t>
            </w:r>
          </w:p>
        </w:tc>
      </w:tr>
      <w:tr>
        <w:tc>
          <w:tcPr>
            <w:tcW w:type="dxa" w:w="2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Navegación, datos y correo</w:t>
            </w:r>
          </w:p>
        </w:tc>
        <w:tc>
          <w:tcPr>
            <w:tcW w:type="dxa" w:w="6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16</w:t>
            </w:r>
          </w:p>
        </w:tc>
        <w:tc>
          <w:tcPr>
            <w:tcW w:type="dxa" w:w="62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Menú · Breadcrumb · Ancla · Formulario · Campo de formulario · Acceso · Búsqueda · Ventana emergente · Mapa · Panel de datos · HTML propio · Contenido externo · Cabecera de correo · Preheader · Layout de correo · Pie legal</w:t>
            </w:r>
          </w:p>
        </w:tc>
      </w:tr>
    </w:tbl>
    <w:p>
      <w:pPr>
        <w:pStyle w:val="Heading3"/>
        <w:spacing w:after="110" w:before="260"/>
      </w:pPr>
      <w:r>
        <w:rPr>
          <w:rFonts w:ascii="Arial" w:cs="Arial" w:eastAsia="Arial" w:hAnsi="Arial"/>
          <w:b/>
          <w:bCs/>
          <w:color w:val="2167AE"/>
          <w:sz w:val="22"/>
          <w:szCs w:val="22"/>
        </w:rPr>
        <w:t xml:space="preserve">Contrato de cada componente</w:t>
      </w:r>
    </w:p>
    <w:p>
      <w:pPr>
        <w:spacing w:after="140" w:before="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Cada componente se declara como un manifiesto de datos, no como código. De ahí se generan solos la tarjeta del panel, el inspector, la validación, la serialización, el respaldo y las tres exportaciones.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Identidad: tipo, nombre, icono y categoría.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Anatomía: ranuras con su tipo y sus reglas de anidación. Cada ranura se puede seleccionar sin afectar a sus hermanas.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Campos: esquema tipado con límites, valor inicial y texto alternativo cuando corresponda.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Variantes: todas las cantidades y composiciones, con una predeterminada y cambio sin perder contenido.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Modos: comportamiento y respaldo en web, correo y libre.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Estado de captura: qué diapositiva, pestaña, panel o estado aparece en JPG, PNG y en el respaldo de correo.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Render: una función para web y otra para correo, ambas puras.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Arial" w:cs="Arial" w:eastAsia="Arial" w:hAnsi="Arial"/>
          <w:b w:val="false"/>
          <w:bCs w:val="false"/>
          <w:color w:val="23366F"/>
          <w:sz w:val="34"/>
          <w:szCs w:val="34"/>
        </w:rPr>
        <w:t xml:space="preserve">7. Salidas y exportación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3" w:sz="4"/>
          <w:insideV w:val="none" w:color="FFFFFF" w:sz="0"/>
        </w:tblBorders>
      </w:tblPr>
      <w:tblGrid>
        <w:gridCol w:w="1986"/>
        <w:gridCol w:w="7040"/>
      </w:tblGrid>
      <w:tr>
        <w:trPr>
          <w:tblHeader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EE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68717F"/>
                <w:spacing w:val="20"/>
                <w:sz w:val="16"/>
                <w:szCs w:val="16"/>
              </w:rPr>
              <w:t xml:space="preserve">FORMATO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EE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68717F"/>
                <w:spacing w:val="20"/>
                <w:sz w:val="16"/>
                <w:szCs w:val="16"/>
              </w:rPr>
              <w:t xml:space="preserve">QUÉ ENTREGA</w:t>
            </w:r>
          </w:p>
        </w:tc>
      </w:tr>
      <w:t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HTML completo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Documento autocontenido, o ZIP con index.html y una carpeta de recursos, rutas relativas y nombres seguros.</w:t>
            </w:r>
          </w:p>
        </w:tc>
      </w:tr>
      <w:t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Fragmento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Marcado sin envoltorio, CSS encapsulado bajo un contenedor raíz con clases prefijadas, JavaScript sin variables globales y tolerante a varias instancias. Rutas de recursos configurables y marcado opcional de campos editables.</w:t>
            </w:r>
          </w:p>
        </w:tc>
      </w:tr>
      <w:t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HTML de correo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CSS en línea, estructuras de tabla, allowlist de propiedades, sin JavaScript. Texto plano adicional.</w:t>
            </w:r>
          </w:p>
        </w:tc>
      </w:tr>
      <w:tr>
        <w:tc>
          <w:tcPr>
            <w:tcW w:type="dxa" w:w="1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JPG y PNG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De la mesa o del breakpoint activo, o en lote. Antes de rasterizar se elige el estado que se congela.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DAD2BD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3366F"/>
                <w:sz w:val="22"/>
                <w:szCs w:val="22"/>
              </w:rPr>
              <w:t xml:space="preserve">Expectativa honesta sobre JPG y PNG</w:t>
            </w:r>
          </w:p>
          <w:p>
            <w:pPr>
              <w:spacing w:after="100" w:line="288"/>
            </w:pPr>
            <w:r>
              <w:rPr>
                <w:rFonts w:ascii="Arial" w:cs="Arial" w:eastAsia="Arial" w:hAnsi="Arial"/>
                <w:color w:val="23366F"/>
                <w:sz w:val="20"/>
                <w:szCs w:val="20"/>
              </w:rPr>
              <w:t xml:space="preserve">Descartada la rasterización de pago, la captura se hace en el navegador. Funciona bien con tipografía, color, imágenes, bordes, radios, degradados lineales, flex y rejilla. Aproxima o falla en filtros CSS, modos de mezcla, sombras internas y máscaras complejas.</w:t>
            </w:r>
          </w:p>
          <w:p>
            <w:pPr>
              <w:spacing w:after="100" w:line="288"/>
            </w:pPr>
            <w:r>
              <w:rPr>
                <w:rFonts w:ascii="Arial" w:cs="Arial" w:eastAsia="Arial" w:hAnsi="Arial"/>
                <w:color w:val="23366F"/>
                <w:sz w:val="20"/>
                <w:szCs w:val="20"/>
              </w:rPr>
              <w:t xml:space="preserve">Tres mitigaciones: el motor sólo genera CSS que sabemos capturar; el aplicativo muestra la captura junto a la vista previa antes de descargar; y el criterio de aceptación queda en «HTML idéntico a la vista previa, JPG y PNG fieles salvo aviso explícito del propio aplicativo».</w:t>
            </w:r>
          </w:p>
          <w:p>
            <w:pPr>
              <w:spacing w:after="0" w:line="288"/>
            </w:pPr>
            <w:r>
              <w:rPr>
                <w:rFonts w:ascii="Arial" w:cs="Arial" w:eastAsia="Arial" w:hAnsi="Arial"/>
                <w:color w:val="23366F"/>
                <w:sz w:val="20"/>
                <w:szCs w:val="20"/>
              </w:rPr>
              <w:t xml:space="preserve">Si en algún momento se quiere fidelidad total, se cambia el rasterizador sin tocar nada más: el motor de render ya está separado.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rPr>
          <w:rFonts w:ascii="Arial" w:cs="Arial" w:eastAsia="Arial" w:hAnsi="Arial"/>
          <w:b w:val="false"/>
          <w:bCs w:val="false"/>
          <w:color w:val="23366F"/>
          <w:sz w:val="34"/>
          <w:szCs w:val="34"/>
        </w:rPr>
        <w:t xml:space="preserve">8. Fases</w:t>
      </w:r>
    </w:p>
    <w:p>
      <w:pPr>
        <w:spacing w:after="140" w:before="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Cada fase termina en algo que el usuario puede abrir y romper. El orden pone el producto antes que la infraestructura: en la primera versión del brief el editor estaba en tercer lugar y el usuario abrió el aplicativo y no había nada.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3" w:sz="4"/>
          <w:insideV w:val="none" w:color="FFFFFF" w:sz="0"/>
        </w:tblBorders>
      </w:tblPr>
      <w:tblGrid>
        <w:gridCol w:w="1534"/>
        <w:gridCol w:w="4062"/>
        <w:gridCol w:w="3430"/>
      </w:tblGrid>
      <w:tr>
        <w:trPr>
          <w:tblHeader/>
        </w:trPr>
        <w:tc>
          <w:tcPr>
            <w:tcW w:type="dxa" w:w="15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EE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68717F"/>
                <w:spacing w:val="20"/>
                <w:sz w:val="16"/>
                <w:szCs w:val="16"/>
              </w:rPr>
              <w:t xml:space="preserve">FASE</w:t>
            </w:r>
          </w:p>
        </w:tc>
        <w:tc>
          <w:tcPr>
            <w:tcW w:type="dxa" w:w="40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EE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68717F"/>
                <w:spacing w:val="20"/>
                <w:sz w:val="16"/>
                <w:szCs w:val="16"/>
              </w:rPr>
              <w:t xml:space="preserve">RESULTADO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EE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68717F"/>
                <w:spacing w:val="20"/>
                <w:sz w:val="16"/>
                <w:szCs w:val="16"/>
              </w:rPr>
              <w:t xml:space="preserve">CÓMO SE COMPRUEBA</w:t>
            </w:r>
          </w:p>
        </w:tc>
      </w:tr>
      <w:tr>
        <w:tc>
          <w:tcPr>
            <w:tcW w:type="dxa" w:w="1534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0 · Acceso</w:t>
            </w:r>
          </w:p>
        </w:tc>
        <w:tc>
          <w:tcPr>
            <w:tcW w:type="dxa" w:w="4062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Repositorio, sesión, invitación por correo, roles en servidor.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Invitas una cuenta, entra y no ve nada tuyo.</w:t>
            </w:r>
          </w:p>
        </w:tc>
      </w:tr>
      <w:tr>
        <w:tc>
          <w:tcPr>
            <w:tcW w:type="dxa" w:w="1534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1 · Interfaz</w:t>
            </w:r>
          </w:p>
        </w:tc>
        <w:tc>
          <w:tcPr>
            <w:tcW w:type="dxa" w:w="4062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Tres propuestas, elección e implementación de la elegida, con identidad, favicon y todas las rutas navegables.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Recorres el aplicativo entero y nada parece de mentira.</w:t>
            </w:r>
          </w:p>
        </w:tc>
      </w:tr>
      <w:tr>
        <w:tc>
          <w:tcPr>
            <w:tcW w:type="dxa" w:w="1534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2 · Base espacial</w:t>
            </w:r>
          </w:p>
        </w:tc>
        <w:tc>
          <w:tcPr>
            <w:tcW w:type="dxa" w:w="4062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Árbol de nodos, cinco niveles de selección, cero espaciado automático, flujo y superposición, arrastre, historial.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50 movimientos seguidos sin pérdidas ni espacios ocultos.</w:t>
            </w:r>
          </w:p>
        </w:tc>
      </w:tr>
      <w:tr>
        <w:tc>
          <w:tcPr>
            <w:tcW w:type="dxa" w:w="1534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3 · Estilos</w:t>
            </w:r>
          </w:p>
        </w:tc>
        <w:tc>
          <w:tcPr>
            <w:tcW w:type="dxa" w:w="4062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Inspector completo, reglas en píxeles, tokens, tipografías subidas, estados y breakpoints.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Un cambio en tableta no altera escritorio.</w:t>
            </w:r>
          </w:p>
        </w:tc>
      </w:tr>
      <w:tr>
        <w:tc>
          <w:tcPr>
            <w:tcW w:type="dxa" w:w="1534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4 · Componentes</w:t>
            </w:r>
          </w:p>
        </w:tc>
        <w:tc>
          <w:tcPr>
            <w:tcW w:type="dxa" w:w="4062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El catálogo por categoría, con cantidades, variantes y respaldos.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Cada componente pasa su lista de aceptación.</w:t>
            </w:r>
          </w:p>
        </w:tc>
      </w:tr>
      <w:tr>
        <w:tc>
          <w:tcPr>
            <w:tcW w:type="dxa" w:w="1534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5 · Modos y biblioteca</w:t>
            </w:r>
          </w:p>
        </w:tc>
        <w:tc>
          <w:tcPr>
            <w:tcW w:type="dxa" w:w="4062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Reglas web, email y libre; biblioteca, proyectos y papelera.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La misma pieza se comporta bien en los tres modos.</w:t>
            </w:r>
          </w:p>
        </w:tc>
      </w:tr>
      <w:tr>
        <w:tc>
          <w:tcPr>
            <w:tcW w:type="dxa" w:w="15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6 · Exportación</w:t>
            </w:r>
          </w:p>
        </w:tc>
        <w:tc>
          <w:tcPr>
            <w:tcW w:type="dxa" w:w="40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HTML, fragmento, JPG y PNG, con validación y comparación visual.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Los archivos abiertos coinciden con la vista previa.</w:t>
            </w:r>
          </w:p>
        </w:tc>
      </w:tr>
    </w:tbl>
    <w:p>
      <w:pPr>
        <w:spacing w:after="140" w:before="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La fase 4 es el grueso del trabajo. Se valida una categoría a la vez.</w:t>
      </w:r>
    </w:p>
    <w:p>
      <w:pPr>
        <w:pStyle w:val="Heading2"/>
        <w:spacing w:after="150" w:before="340"/>
      </w:pPr>
      <w:r>
        <w:rPr>
          <w:rFonts w:ascii="Arial" w:cs="Arial" w:eastAsia="Arial" w:hAnsi="Arial"/>
          <w:b/>
          <w:bCs/>
          <w:color w:val="23366F"/>
          <w:sz w:val="26"/>
          <w:szCs w:val="26"/>
        </w:rPr>
        <w:t xml:space="preserve">8.1 Entregables de producto</w:t>
      </w:r>
    </w:p>
    <w:p>
      <w:pPr>
        <w:spacing w:after="140" w:before="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Obligatorios según reglas-creacion-aplicativos, y ausentes de las primeras versiones del brief.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Logo en SVG y PNG con fondo transparente; icono ICO multirresolución; PNG de 1000 × 1000 para audiovisual; favicon integrado y comprobado.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Tres capturas reales del producto funcionando, en 1920 × 1080, y portada de presentación del mismo tamaño.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Documentación general y técnica, descripción publicitaria y, tras la aprobación, descripción de archivos.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Nomenclatura tema_nombre_proyecto.extension, en minúsculas, sin espacios, acentos ni eñes.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Arial" w:cs="Arial" w:eastAsia="Arial" w:hAnsi="Arial"/>
          <w:b w:val="false"/>
          <w:bCs w:val="false"/>
          <w:color w:val="23366F"/>
          <w:sz w:val="34"/>
          <w:szCs w:val="34"/>
        </w:rPr>
        <w:t xml:space="preserve">9. Criterios de aceptación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3" w:sz="4"/>
          <w:insideV w:val="none" w:color="FFFFFF" w:sz="0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EE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68717F"/>
                <w:spacing w:val="20"/>
                <w:sz w:val="16"/>
                <w:szCs w:val="16"/>
              </w:rPr>
              <w:t xml:space="preserve">ÁREA</w:t>
            </w:r>
          </w:p>
        </w:tc>
        <w:tc>
          <w:tcPr>
            <w:tcW w:type="dxa" w:w="72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EE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68717F"/>
                <w:spacing w:val="20"/>
                <w:sz w:val="16"/>
                <w:szCs w:val="16"/>
              </w:rPr>
              <w:t xml:space="preserve">TERMINADO CUANDO…</w:t>
            </w:r>
          </w:p>
        </w:tc>
      </w:tr>
      <w:tr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Componentes</w:t>
            </w:r>
          </w:p>
        </w:tc>
        <w:tc>
          <w:tcPr>
            <w:tcW w:type="dxa" w:w="722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Cada fila del catálogo cumple anatomía, cantidades, variantes, controles, responsive, respaldo y exportación.</w:t>
            </w:r>
          </w:p>
        </w:tc>
      </w:tr>
      <w:tr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Separación</w:t>
            </w:r>
          </w:p>
        </w:tc>
        <w:tc>
          <w:tcPr>
            <w:tcW w:type="dxa" w:w="722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Un nodo nuevo tiene margen, relleno y separación en cero, y no aparece ningún espacio que el usuario no pueda identificar y editar.</w:t>
            </w:r>
          </w:p>
        </w:tc>
      </w:tr>
      <w:tr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Superposición</w:t>
            </w:r>
          </w:p>
        </w:tc>
        <w:tc>
          <w:tcPr>
            <w:tcW w:type="dxa" w:w="722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Un texto o un botón sobre una imagen no crea fila, no empuja hermanos y conserva sus coordenadas al recargar.</w:t>
            </w:r>
          </w:p>
        </w:tc>
      </w:tr>
      <w:tr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Selección</w:t>
            </w:r>
          </w:p>
        </w:tc>
        <w:tc>
          <w:tcPr>
            <w:tcW w:type="dxa" w:w="722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La ruta del inspector identifica lienzo, componente, contenedor, elemento y capa sin ambigüedad.</w:t>
            </w:r>
          </w:p>
        </w:tc>
      </w:tr>
      <w:tr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Responsive</w:t>
            </w:r>
          </w:p>
        </w:tc>
        <w:tc>
          <w:tcPr>
            <w:tcW w:type="dxa" w:w="722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Los cambios heredados y locales funcionan sin duplicar nodos ni alterar otros breakpoints.</w:t>
            </w:r>
          </w:p>
        </w:tc>
      </w:tr>
      <w:tr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Arrastre</w:t>
            </w:r>
          </w:p>
        </w:tc>
        <w:tc>
          <w:tcPr>
            <w:tcW w:type="dxa" w:w="722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Cincuenta movimientos consecutivos sin pérdidas, duplicados, cambios de estilo ni espacios ocultos.</w:t>
            </w:r>
          </w:p>
        </w:tc>
      </w:tr>
      <w:tr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Reglas</w:t>
            </w:r>
          </w:p>
        </w:tc>
        <w:tc>
          <w:tcPr>
            <w:tcW w:type="dxa" w:w="722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La cifra de la regla corresponde al píxel real de la pieza a cualquier escala de visualización.</w:t>
            </w:r>
          </w:p>
        </w:tc>
      </w:tr>
      <w:tr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Permisos</w:t>
            </w:r>
          </w:p>
        </w:tc>
        <w:tc>
          <w:tcPr>
            <w:tcW w:type="dxa" w:w="722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Un usuario no ve trabajos ajenos ni accede por URL a funciones de administrador.</w:t>
            </w:r>
          </w:p>
        </w:tc>
      </w:tr>
      <w:tr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Color</w:t>
            </w:r>
          </w:p>
        </w:tc>
        <w:tc>
          <w:tcPr>
            <w:tcW w:type="dxa" w:w="722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Todo par de texto y fondo cumple AA. Ningún botón queda sobre su misma familia ni por debajo de 3:1. Verificado con medición, no a ojo.</w:t>
            </w:r>
          </w:p>
        </w:tc>
      </w:tr>
      <w:tr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Móvil</w:t>
            </w:r>
          </w:p>
        </w:tc>
        <w:tc>
          <w:tcPr>
            <w:tcW w:type="dxa" w:w="722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Cero desbordes horizontales, medidos recorriendo el DOM en todas las pantallas.</w:t>
            </w:r>
          </w:p>
        </w:tc>
      </w:tr>
      <w:tr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Exportación</w:t>
            </w:r>
          </w:p>
        </w:tc>
        <w:tc>
          <w:tcPr>
            <w:tcW w:type="dxa" w:w="722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HTML idéntico a la vista previa en los tres modos. JPG y PNG fieles salvo aviso explícito del aplicativo.</w:t>
            </w:r>
          </w:p>
        </w:tc>
      </w:tr>
      <w:tr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Interfaz</w:t>
            </w:r>
          </w:p>
        </w:tc>
        <w:tc>
          <w:tcPr>
            <w:tcW w:type="dxa" w:w="7221"/>
            <w:tcBorders>
              <w:top w:val="none" w:color="FFFFFF" w:sz="0"/>
              <w:left w:val="none" w:color="FFFFFF" w:sz="0"/>
              <w:bottom w:val="single" w:color="DDE4E3" w:sz="4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No hay botones simulados, valores invisibles ni tecnicismos sin ayuda breve.</w:t>
            </w:r>
          </w:p>
        </w:tc>
      </w:tr>
      <w:tr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Publicación</w:t>
            </w:r>
          </w:p>
        </w:tc>
        <w:tc>
          <w:tcPr>
            <w:tcW w:type="dxa" w:w="72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570"/>
                <w:sz w:val="19"/>
                <w:szCs w:val="19"/>
              </w:rPr>
              <w:t xml:space="preserve">El aplicativo no modifica GitHub ni Cloudflare automáticamente.</w:t>
            </w:r>
          </w:p>
        </w:tc>
      </w:tr>
    </w:tbl>
    <w:p>
      <w:pPr>
        <w:pStyle w:val="Heading2"/>
        <w:spacing w:after="150" w:before="340"/>
      </w:pPr>
      <w:r>
        <w:rPr>
          <w:rFonts w:ascii="Arial" w:cs="Arial" w:eastAsia="Arial" w:hAnsi="Arial"/>
          <w:b/>
          <w:bCs/>
          <w:color w:val="23366F"/>
          <w:sz w:val="26"/>
          <w:szCs w:val="26"/>
        </w:rPr>
        <w:t xml:space="preserve">9.1 Fuera de alcance</w:t>
      </w:r>
    </w:p>
    <w:p>
      <w:pPr>
        <w:spacing w:after="140" w:before="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Envío de campañas, journeys, comercio electrónico, gestor de noticias, publicación automática, contenido dinámico, pruebas A/B y plantillas.</w:t>
      </w:r>
    </w:p>
    <w:p>
      <w:pPr>
        <w:pStyle w:val="Heading2"/>
        <w:spacing w:after="150" w:before="340"/>
      </w:pPr>
      <w:r>
        <w:rPr>
          <w:rFonts w:ascii="Arial" w:cs="Arial" w:eastAsia="Arial" w:hAnsi="Arial"/>
          <w:b/>
          <w:bCs/>
          <w:color w:val="23366F"/>
          <w:sz w:val="26"/>
          <w:szCs w:val="26"/>
        </w:rPr>
        <w:t xml:space="preserve">9.2 Pendiente de resolver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Qué propuesta de interfaz se implementa. Las tres están entregadas y esperan elección.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Dónde se guardan los archivos: R2 pide una tarjeta registrada aunque no cobre; la alternativa obliga a limitar las subidas a un mega.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Los archivos de Zurich Sans, para cargarlos como tipografía base.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Qué versión de Sitecore usa la empresa. No bloquea: el formato Fragmento sirve para todas.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Arial" w:cs="Arial" w:eastAsia="Arial" w:hAnsi="Arial"/>
          <w:color w:val="4A5570"/>
          <w:sz w:val="21"/>
          <w:szCs w:val="21"/>
        </w:rPr>
        <w:t xml:space="preserve">El set de iconos del sistema, con sus tres acabados.</w:t>
      </w:r>
    </w:p>
    <w:sectPr>
      <w:headerReference w:type="default" r:id="rId7"/>
      <w:footerReference w:type="default" r:id="rId8"/>
      <w:pgSz w:w="11906" w:h="16838" w:orient="portrait"/>
      <w:pgMar w:top="156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871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700"/>
      <w:gridCol w:w="8326"/>
    </w:tblGrid>
    <w:tr>
      <w:tc>
        <w:tcPr>
          <w:tcW w:type="dxa" w:w="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40"/>
          </w:tcMar>
        </w:tcPr>
        <w:p>
          <w:pPr>
            <w:spacing w:after="0"/>
          </w:pPr>
          <w:r>
            <w:drawing>
              <wp:inline distT="0" distB="0" distL="0" distR="0">
                <wp:extent cx="247650" cy="2476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3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</w:pPr>
          <w:r>
            <w:rPr>
              <w:rFonts w:ascii="Arial" w:cs="Arial" w:eastAsia="Arial" w:hAnsi="Arial"/>
              <w:b/>
              <w:bCs/>
              <w:color w:val="23366F"/>
              <w:sz w:val="17"/>
              <w:szCs w:val="17"/>
            </w:rPr>
            <w:t xml:space="preserve">Fast Creative Builder</w:t>
          </w:r>
          <w:r>
            <w:rPr>
              <w:rFonts w:ascii="Arial" w:cs="Arial" w:eastAsia="Arial" w:hAnsi="Arial"/>
              <w:color w:val="68717F"/>
              <w:sz w:val="17"/>
              <w:szCs w:val="17"/>
            </w:rPr>
            <w:t xml:space="preserve">  ·  Brief final</w:t>
          </w:r>
        </w:p>
      </w:tc>
    </w:tr>
  </w:tbl>
  <w:p>
    <w:pPr>
      <w:pBdr>
        <w:bottom w:val="single" w:color="DDE4E3" w:sz="6"/>
      </w:pBdr>
      <w:spacing w:after="0" w:before="60"/>
    </w:pPr>
    <w:r>
      <w:rPr>
        <w:rFonts w:ascii="Arial" w:cs="Arial" w:eastAsia="Arial" w:hAnsi="Arial"/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557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5da7dc43dd5bebcee1644ff205aee94093adeb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5da7dc43dd5bebcee1644ff205aee94093adeb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 Creative Builder · Brief final</dc:title>
  <dc:creator>Andrés Gamonal</dc:creator>
  <dc:description>Contrato funcional del aplicativo. Versión 7.</dc:description>
  <cp:lastModifiedBy>Un-named</cp:lastModifiedBy>
  <cp:revision>1</cp:revision>
  <dcterms:created xsi:type="dcterms:W3CDTF">2026-09-06T06:17:46.478Z</dcterms:created>
  <dcterms:modified xsi:type="dcterms:W3CDTF">2026-09-06T06:17:46.479Z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