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7965" w14:textId="77777777" w:rsidR="00F73B99" w:rsidRDefault="002F2F39">
      <w:pPr>
        <w:pStyle w:val="Ttulo"/>
      </w:pPr>
      <w:r>
        <w:t>Protocolo para el cálculo de la CEN de plantas solares fotovoltaicas que no han entrado en operación</w:t>
      </w:r>
    </w:p>
    <w:p w14:paraId="145E02D8" w14:textId="77777777" w:rsidR="00F73B99" w:rsidRDefault="002F2F39">
      <w:pPr>
        <w:pStyle w:val="Subttulo"/>
      </w:pPr>
      <w:r>
        <w:t>autores: Andrés González Mancera, Ph.D., Nelson Salazar Peña, M.Sc.</w:t>
      </w:r>
    </w:p>
    <w:p w14:paraId="759FC233" w14:textId="77777777" w:rsidR="00F73B99" w:rsidRDefault="002F2F39">
      <w:pPr>
        <w:pStyle w:val="Author"/>
      </w:pPr>
      <w:r>
        <w:t>Universidad de los Andes - Consejo Nacional de Operación</w:t>
      </w:r>
    </w:p>
    <w:p w14:paraId="0CEA2567" w14:textId="77777777" w:rsidR="00F73B99" w:rsidRDefault="002F2F39">
      <w:pPr>
        <w:pStyle w:val="Fecha"/>
      </w:pPr>
      <w:r>
        <w:t>Febrero de 2022</w:t>
      </w:r>
    </w:p>
    <w:p w14:paraId="0DA99219" w14:textId="77777777" w:rsidR="00F73B99" w:rsidRDefault="002F2F39">
      <w:pPr>
        <w:pStyle w:val="Ttulo1"/>
      </w:pPr>
      <w:bookmarkStart w:id="0" w:name="introducción"/>
      <w:r>
        <w:t>Introducción</w:t>
      </w:r>
    </w:p>
    <w:p w14:paraId="3D568CF8" w14:textId="77777777" w:rsidR="00F73B99" w:rsidRDefault="002F2F39">
      <w:pPr>
        <w:pStyle w:val="FirstParagraph"/>
      </w:pPr>
      <w:r>
        <w:t>De acuerdo con la resolución CREG 116 de 1996 [1], la adición realizada a la misma en la resolución CREG 074 de 1999 [2] y las modificaciones subsecuentes CREG 059 de 1999 [3], CREG 081 del 2000 [4] y CREG 074 de 2002 [5], la Capacidad Efectiv</w:t>
      </w:r>
      <w:r>
        <w:t xml:space="preserve">a Neta - CEN está definida como la: </w:t>
      </w:r>
      <w:r>
        <w:rPr>
          <w:i/>
          <w:iCs/>
        </w:rPr>
        <w:t>“Máxima capacidad de potencia neta (expresada en valor entero en MW) que puede suministrar una planta y/o unidad de generación en condiciones normales de operación</w:t>
      </w:r>
      <w:r>
        <w:rPr>
          <w:rStyle w:val="Refdenotaalpie"/>
        </w:rPr>
        <w:footnoteReference w:id="1"/>
      </w:r>
      <w:r>
        <w:rPr>
          <w:i/>
          <w:iCs/>
        </w:rPr>
        <w:t xml:space="preserve"> medida </w:t>
      </w:r>
      <w:r>
        <w:rPr>
          <w:b/>
          <w:bCs/>
          <w:i/>
          <w:iCs/>
        </w:rPr>
        <w:t>en la frontera comercial</w:t>
      </w:r>
      <w:r>
        <w:rPr>
          <w:i/>
          <w:iCs/>
        </w:rPr>
        <w:t>. Se calcula como la Ca</w:t>
      </w:r>
      <w:r>
        <w:rPr>
          <w:i/>
          <w:iCs/>
        </w:rPr>
        <w:t>pacidad Nominal menos el Consumo Propio de la planta y/o unidad de generación.”</w:t>
      </w:r>
    </w:p>
    <w:p w14:paraId="3C6ACF4D" w14:textId="77777777" w:rsidR="00F73B99" w:rsidRDefault="002F2F39">
      <w:pPr>
        <w:pStyle w:val="Textoindependiente"/>
      </w:pPr>
      <w:r>
        <w:t>En el caso de plantas solares fotovoltaicas, la potencia máxima que ésta puede suministrar depende no solo de su ubicación y configuración, sino del recurso disponible en la zo</w:t>
      </w:r>
      <w:r>
        <w:t>na. Para una planta que no ha entrado en operación, la predicción de la producción de la planta se hace a partir de un modelo detallado e información histórica del recurso, lo que permite estimar la producción de la planta y, de manera estadística, calcula</w:t>
      </w:r>
      <w:r>
        <w:t>r su capacidad máxima.</w:t>
      </w:r>
    </w:p>
    <w:p w14:paraId="689F8234" w14:textId="77777777" w:rsidR="00F73B99" w:rsidRDefault="002F2F39">
      <w:pPr>
        <w:pStyle w:val="Textoindependiente"/>
      </w:pPr>
      <w:r>
        <w:t>El presente documento establece el procedimiento para el cálculo de la CEN para plantas solares fotovoltaicas que no han entrado en operación.</w:t>
      </w:r>
    </w:p>
    <w:p w14:paraId="4A52FECC" w14:textId="77777777" w:rsidR="00F73B99" w:rsidRDefault="002F2F39">
      <w:pPr>
        <w:pStyle w:val="Ttulo1"/>
      </w:pPr>
      <w:bookmarkStart w:id="1" w:name="Xf4d714ca1f104f61fad46e5557c535bc569b41b"/>
      <w:bookmarkEnd w:id="0"/>
      <w:r>
        <w:t>Metodología - Modelo y series históricas del recurso</w:t>
      </w:r>
    </w:p>
    <w:p w14:paraId="6D05C640" w14:textId="77777777" w:rsidR="00F73B99" w:rsidRDefault="002F2F39">
      <w:pPr>
        <w:pStyle w:val="FirstParagraph"/>
      </w:pPr>
      <w:r>
        <w:t>Con el fin de estimar la producción d</w:t>
      </w:r>
      <w:r>
        <w:t>e la planta, se debe construir un modelo que caracterice de manera adecuada la operación ante diferentes condiciones de irradiancia y temperatura. Dicho modelo debe caracterizar de manera adecuada los procesos de transformación de la energía solar a potenc</w:t>
      </w:r>
      <w:r>
        <w:t xml:space="preserve">ia DC, las pérdidas de conversión y transmisión, la conversión DC-AC, entre otras. el </w:t>
      </w:r>
      <w:r>
        <w:rPr>
          <w:i/>
          <w:iCs/>
        </w:rPr>
        <w:t xml:space="preserve">Protocolo para la </w:t>
      </w:r>
      <w:r>
        <w:rPr>
          <w:i/>
          <w:iCs/>
        </w:rPr>
        <w:lastRenderedPageBreak/>
        <w:t>construcción del modelo de una planta solar fotovoltaica</w:t>
      </w:r>
      <w:r>
        <w:t xml:space="preserve"> establece los requerimientos mínimos para la construcción de dicho modelo.</w:t>
      </w:r>
    </w:p>
    <w:p w14:paraId="119385E8" w14:textId="77777777" w:rsidR="00F73B99" w:rsidRDefault="002F2F39">
      <w:pPr>
        <w:pStyle w:val="Textoindependiente"/>
      </w:pPr>
      <w:r>
        <w:t>Para el cálculo de l</w:t>
      </w:r>
      <w:r>
        <w:t xml:space="preserve">a </w:t>
      </w:r>
      <w:r>
        <w:rPr>
          <w:i/>
          <w:iCs/>
        </w:rPr>
        <w:t>CEN</w:t>
      </w:r>
      <w:r>
        <w:t xml:space="preserve"> de plantas solares fotovoltaicas que no han entrado en operación se debe contar con una serie histórica de la irradiancia horizontal global </w:t>
      </w:r>
      <w:r>
        <w:rPr>
          <w:i/>
          <w:iCs/>
        </w:rPr>
        <w:t>GHI</w:t>
      </w:r>
      <w:r>
        <w:t xml:space="preserve"> y la temperatura ambiente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amb</m:t>
            </m:r>
          </m:sub>
        </m:sSub>
      </m:oMath>
      <w:r>
        <w:t xml:space="preserve"> en resolución horaria siguiendo el Protocolo establecido en el Acuerdo </w:t>
      </w:r>
      <w:r>
        <w:t>CNO 1042 del 9 de Febrero de 2018.</w:t>
      </w:r>
    </w:p>
    <w:p w14:paraId="6384C41C" w14:textId="77777777" w:rsidR="00F73B99" w:rsidRDefault="002F2F39">
      <w:pPr>
        <w:pStyle w:val="Textoindependiente"/>
      </w:pPr>
      <w:r>
        <w:t>El modelo y la serie con información histórica permite calcular la producción histórica de la planta con resolución horaria con base a lo cual se realiza el cálculo de la CEN.</w:t>
      </w:r>
    </w:p>
    <w:p w14:paraId="7764542A" w14:textId="77777777" w:rsidR="00F73B99" w:rsidRDefault="002F2F39">
      <w:pPr>
        <w:pStyle w:val="Ttulo2"/>
      </w:pPr>
      <w:bookmarkStart w:id="2" w:name="cálculo-de-la-cen"/>
      <w:r>
        <w:t>Cálculo de la CEN</w:t>
      </w:r>
    </w:p>
    <w:p w14:paraId="5EFDC1F9" w14:textId="77777777" w:rsidR="00F73B99" w:rsidRDefault="002F2F39">
      <w:pPr>
        <w:pStyle w:val="FirstParagraph"/>
      </w:pPr>
      <w:r>
        <w:t xml:space="preserve">La </w:t>
      </w:r>
      <w:r>
        <w:rPr>
          <w:i/>
          <w:iCs/>
        </w:rPr>
        <w:t>CEN</w:t>
      </w:r>
      <w:r>
        <w:t xml:space="preserve"> para plantas que no </w:t>
      </w:r>
      <w:r>
        <w:t xml:space="preserve">han entrado en operación se calcula con base a la producción histórica de la planta, calculada a partir de un modelo construido de acuerdo al </w:t>
      </w:r>
      <w:r>
        <w:rPr>
          <w:i/>
          <w:iCs/>
        </w:rPr>
        <w:t>Protocolo para la construcción del modelo de una planta solar fotovoltaica</w:t>
      </w:r>
      <w:r>
        <w:t xml:space="preserve"> y una serie de datos de la irradiancia </w:t>
      </w:r>
      <w:r>
        <w:t xml:space="preserve">horizontal global </w:t>
      </w:r>
      <w:r>
        <w:rPr>
          <w:i/>
          <w:iCs/>
        </w:rPr>
        <w:t>GHI</w:t>
      </w:r>
      <w:r>
        <w:t xml:space="preserve"> y la temperatura ambiente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amb</m:t>
            </m:r>
          </m:sub>
        </m:sSub>
      </m:oMath>
      <w:r>
        <w:t xml:space="preserve"> en resolución horaria contruida siguiendo el Protocolo establecido en el Acuerdo CNO 1042 del 9 de Febrero de 2018. Mediante el modelo se calcula la serie histórica en resolución horaria de la potenc</w:t>
      </w:r>
      <w:r>
        <w:t xml:space="preserve">ia AC producida en la frontera comercial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t xml:space="preserve">. A partir de la serie histórica se establece la curva de excedencia y se calcula el valor correspondiente el cuantil 99,9%, equivalente al 0,1%PSS. La </w:t>
      </w:r>
      <w:r>
        <w:rPr>
          <w:i/>
          <w:iCs/>
        </w:rPr>
        <w:t>CEN</w:t>
      </w:r>
      <w:r>
        <w:t xml:space="preserve"> de la planta se define como este valor.</w:t>
      </w:r>
    </w:p>
    <w:p w14:paraId="48074AE4" w14:textId="77777777" w:rsidR="00F73B99" w:rsidRDefault="002F2F39">
      <w:pPr>
        <w:pStyle w:val="Ttulo1"/>
      </w:pPr>
      <w:bookmarkStart w:id="3" w:name="sec:referencias"/>
      <w:bookmarkEnd w:id="1"/>
      <w:bookmarkEnd w:id="2"/>
      <w:r>
        <w:t>Referenci</w:t>
      </w:r>
      <w:r>
        <w:t>as</w:t>
      </w:r>
    </w:p>
    <w:p w14:paraId="5AD0FA12" w14:textId="77777777" w:rsidR="00F73B99" w:rsidRDefault="002F2F39">
      <w:pPr>
        <w:pStyle w:val="Bibliografa"/>
      </w:pPr>
      <w:bookmarkStart w:id="4" w:name="ref-CREG116_96"/>
      <w:bookmarkStart w:id="5" w:name="refs"/>
      <w:r>
        <w:t xml:space="preserve">[1] </w:t>
      </w:r>
      <w:r>
        <w:tab/>
        <w:t>CREG, «Resolución CREG 116 de 1996». Comisión de Regulación de Energía y Gas, Bogotá, 1996.</w:t>
      </w:r>
    </w:p>
    <w:p w14:paraId="1E167E4D" w14:textId="77777777" w:rsidR="00F73B99" w:rsidRDefault="002F2F39">
      <w:pPr>
        <w:pStyle w:val="Bibliografa"/>
      </w:pPr>
      <w:bookmarkStart w:id="6" w:name="ref-CREG074_99"/>
      <w:bookmarkEnd w:id="4"/>
      <w:r>
        <w:t xml:space="preserve">[2] </w:t>
      </w:r>
      <w:r>
        <w:tab/>
        <w:t>CREG, «Resolución CREG 074 de 1999». Comisión de Regulación de Energía y Gas, Bogotá, 1999.</w:t>
      </w:r>
    </w:p>
    <w:p w14:paraId="5FF809D1" w14:textId="77777777" w:rsidR="00F73B99" w:rsidRDefault="002F2F39">
      <w:pPr>
        <w:pStyle w:val="Bibliografa"/>
      </w:pPr>
      <w:bookmarkStart w:id="7" w:name="ref-CREG059_99"/>
      <w:bookmarkEnd w:id="6"/>
      <w:r>
        <w:t xml:space="preserve">[3] </w:t>
      </w:r>
      <w:r>
        <w:tab/>
        <w:t>CREG, «Resolución CREG 059 de 1995». Comisión de Regul</w:t>
      </w:r>
      <w:r>
        <w:t>ación de Energía y Gas, Bogotá, 1999.</w:t>
      </w:r>
    </w:p>
    <w:p w14:paraId="499D7975" w14:textId="77777777" w:rsidR="00F73B99" w:rsidRDefault="002F2F39">
      <w:pPr>
        <w:pStyle w:val="Bibliografa"/>
      </w:pPr>
      <w:bookmarkStart w:id="8" w:name="ref-CREG081_00"/>
      <w:bookmarkEnd w:id="7"/>
      <w:r>
        <w:t xml:space="preserve">[4] </w:t>
      </w:r>
      <w:r>
        <w:tab/>
        <w:t>CREG, «Resolución CREG 081 de 2000». Comisión de Regulación de Energía y Gas, Bogotá, 2000.</w:t>
      </w:r>
    </w:p>
    <w:p w14:paraId="394951E0" w14:textId="77777777" w:rsidR="00F73B99" w:rsidRDefault="002F2F39">
      <w:pPr>
        <w:pStyle w:val="Bibliografa"/>
      </w:pPr>
      <w:bookmarkStart w:id="9" w:name="ref-CREG074_02"/>
      <w:bookmarkEnd w:id="8"/>
      <w:r>
        <w:t xml:space="preserve">[5] </w:t>
      </w:r>
      <w:r>
        <w:tab/>
        <w:t>CREG, «Resolución CREG 074 de 2002». Comisión de Regulación de Energía y Gas, Bogotá, 2002.</w:t>
      </w:r>
      <w:bookmarkEnd w:id="3"/>
      <w:bookmarkEnd w:id="5"/>
      <w:bookmarkEnd w:id="9"/>
    </w:p>
    <w:sectPr w:rsidR="00F73B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56C8" w14:textId="77777777" w:rsidR="002F2F39" w:rsidRDefault="002F2F39">
      <w:pPr>
        <w:spacing w:after="0"/>
      </w:pPr>
      <w:r>
        <w:separator/>
      </w:r>
    </w:p>
  </w:endnote>
  <w:endnote w:type="continuationSeparator" w:id="0">
    <w:p w14:paraId="451DE6F7" w14:textId="77777777" w:rsidR="002F2F39" w:rsidRDefault="002F2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0858" w14:textId="77777777" w:rsidR="002F2F39" w:rsidRDefault="002F2F39">
      <w:r>
        <w:separator/>
      </w:r>
    </w:p>
  </w:footnote>
  <w:footnote w:type="continuationSeparator" w:id="0">
    <w:p w14:paraId="690C1D67" w14:textId="77777777" w:rsidR="002F2F39" w:rsidRDefault="002F2F39">
      <w:r>
        <w:continuationSeparator/>
      </w:r>
    </w:p>
  </w:footnote>
  <w:footnote w:id="1">
    <w:p w14:paraId="2108CA5F" w14:textId="77777777" w:rsidR="00F73B99" w:rsidRDefault="002F2F3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El término “condiciones normales de operación” hace referencia a la operación sin restricciones de red de transmisión a la que se encuentra conectada la planta o unidad de generación.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122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9"/>
    <w:rsid w:val="000A2586"/>
    <w:rsid w:val="002F2F39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C46E4"/>
  <w15:docId w15:val="{71E4F673-43AD-084E-A70A-9978EF6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586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para el cálculo de la CEN de plantas solares fotovoltaicas que no han entrado en operación</dc:title>
  <dc:creator>Universidad de los Andes - Consejo Nacional de Operación</dc:creator>
  <cp:keywords/>
  <cp:lastModifiedBy>Andres Leonardo Gonzalez Mancera</cp:lastModifiedBy>
  <cp:revision>1</cp:revision>
  <dcterms:created xsi:type="dcterms:W3CDTF">2022-02-11T20:29:00Z</dcterms:created>
  <dcterms:modified xsi:type="dcterms:W3CDTF">2022-02-11T20:29:00Z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2021-cen_solar.bib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ieee.csl</vt:lpwstr>
  </property>
  <property fmtid="{D5CDD505-2E9C-101B-9397-08002B2CF9AE}" pid="15" name="date">
    <vt:lpwstr>Febrero de 2022</vt:lpwstr>
  </property>
  <property fmtid="{D5CDD505-2E9C-101B-9397-08002B2CF9AE}" pid="16" name="documentclass">
    <vt:lpwstr>article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geometry">
    <vt:lpwstr/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go">
    <vt:lpwstr>Uniandes-CNO2.png</vt:lpwstr>
  </property>
  <property fmtid="{D5CDD505-2E9C-101B-9397-08002B2CF9AE}" pid="34" name="logo-width">
    <vt:lpwstr>380pt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nameInLink">
    <vt:lpwstr>False</vt:lpwstr>
  </property>
  <property fmtid="{D5CDD505-2E9C-101B-9397-08002B2CF9AE}" pid="41" name="numberSections">
    <vt:lpwstr>False</vt:lpwstr>
  </property>
  <property fmtid="{D5CDD505-2E9C-101B-9397-08002B2CF9AE}" pid="42" name="pairDelim">
    <vt:lpwstr>, </vt:lpwstr>
  </property>
  <property fmtid="{D5CDD505-2E9C-101B-9397-08002B2CF9AE}" pid="43" name="papersize">
    <vt:lpwstr>letter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subtitle">
    <vt:lpwstr>autores: Andrés González Mancera, Ph.D., Nelson Salazar Peña, M.Sc.</vt:lpwstr>
  </property>
  <property fmtid="{D5CDD505-2E9C-101B-9397-08002B2CF9AE}" pid="59" name="tableEqns">
    <vt:lpwstr>False</vt:lpwstr>
  </property>
  <property fmtid="{D5CDD505-2E9C-101B-9397-08002B2CF9AE}" pid="60" name="tableTemplate">
    <vt:lpwstr>tableTitle ititleDelim t</vt:lpwstr>
  </property>
  <property fmtid="{D5CDD505-2E9C-101B-9397-08002B2CF9AE}" pid="61" name="tableTitle">
    <vt:lpwstr>Table</vt:lpwstr>
  </property>
  <property fmtid="{D5CDD505-2E9C-101B-9397-08002B2CF9AE}" pid="62" name="tblLabels">
    <vt:lpwstr>arabic</vt:lpwstr>
  </property>
  <property fmtid="{D5CDD505-2E9C-101B-9397-08002B2CF9AE}" pid="63" name="tblPrefix">
    <vt:lpwstr/>
  </property>
  <property fmtid="{D5CDD505-2E9C-101B-9397-08002B2CF9AE}" pid="64" name="tblPrefixTemplate">
    <vt:lpwstr>p i</vt:lpwstr>
  </property>
  <property fmtid="{D5CDD505-2E9C-101B-9397-08002B2CF9AE}" pid="65" name="titleDelim">
    <vt:lpwstr>:</vt:lpwstr>
  </property>
  <property fmtid="{D5CDD505-2E9C-101B-9397-08002B2CF9AE}" pid="66" name="titlepage">
    <vt:lpwstr>True</vt:lpwstr>
  </property>
  <property fmtid="{D5CDD505-2E9C-101B-9397-08002B2CF9AE}" pid="67" name="titlepage-rule-color">
    <vt:lpwstr>FF9f00</vt:lpwstr>
  </property>
  <property fmtid="{D5CDD505-2E9C-101B-9397-08002B2CF9AE}" pid="68" name="titlepage-rule-height">
    <vt:lpwstr>4</vt:lpwstr>
  </property>
  <property fmtid="{D5CDD505-2E9C-101B-9397-08002B2CF9AE}" pid="69" name="titlepage-text-color">
    <vt:lpwstr>002d62</vt:lpwstr>
  </property>
</Properties>
</file>