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37B86563" w:rsidR="004622F6" w:rsidRPr="003A30B1" w:rsidRDefault="00501752" w:rsidP="003A30B1">
      <w:pPr>
        <w:pStyle w:val="Heading1"/>
      </w:pPr>
      <w:r>
        <w:t>Taller 1</w:t>
      </w:r>
      <w:r w:rsidR="00F210F5" w:rsidRPr="003A30B1">
        <w:t xml:space="preserve">: </w:t>
      </w:r>
      <w:r w:rsidR="00BD5E0C">
        <w:t>Introducción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Jupyter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14FA890C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Taller1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7C0F6A9D" w14:textId="4801ECF6" w:rsidR="00F03047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</w:t>
      </w:r>
      <w:r w:rsidR="00BD5E0C">
        <w:rPr>
          <w:rFonts w:ascii="Arial" w:hAnsi="Arial" w:cs="Arial"/>
          <w:sz w:val="22"/>
          <w:szCs w:val="22"/>
          <w:lang w:val="es-CO"/>
        </w:rPr>
        <w:t xml:space="preserve"> de los temas del curso</w:t>
      </w:r>
      <w:r>
        <w:rPr>
          <w:rFonts w:ascii="Arial" w:hAnsi="Arial" w:cs="Arial"/>
          <w:sz w:val="22"/>
          <w:szCs w:val="22"/>
          <w:lang w:val="es-CO"/>
        </w:rPr>
        <w:t>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 w:rsidR="00501752">
        <w:rPr>
          <w:rFonts w:ascii="Arial" w:hAnsi="Arial" w:cs="Arial"/>
          <w:sz w:val="22"/>
          <w:szCs w:val="22"/>
          <w:lang w:val="es-CO"/>
        </w:rPr>
        <w:t>Si no es posible solucionar el ejercicio escriba qué fuentes buscó para intentarlo y qué limitaciones tuvo para implementar la solución.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Heading2"/>
      </w:pPr>
      <w:r>
        <w:t>EJERCICIOS</w:t>
      </w:r>
    </w:p>
    <w:p w14:paraId="62F1F2D6" w14:textId="77777777" w:rsidR="003407CE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505A02C" w14:textId="77777777" w:rsidR="00985A6A" w:rsidRPr="00D51438" w:rsidRDefault="00985A6A" w:rsidP="00985A6A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85A6A" w:rsidRPr="00D51438" w14:paraId="690685EE" w14:textId="77777777" w:rsidTr="002F13DC">
        <w:tc>
          <w:tcPr>
            <w:tcW w:w="8828" w:type="dxa"/>
            <w:shd w:val="clear" w:color="auto" w:fill="D9D9D9" w:themeFill="background1" w:themeFillShade="D9"/>
          </w:tcPr>
          <w:p w14:paraId="63DE7A4B" w14:textId="4B4E1B6B" w:rsidR="00985A6A" w:rsidRPr="00D51438" w:rsidRDefault="00985A6A" w:rsidP="002F13DC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1: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Funciones</w:t>
            </w:r>
          </w:p>
        </w:tc>
      </w:tr>
      <w:tr w:rsidR="00985A6A" w:rsidRPr="00D51438" w14:paraId="6EE86E6E" w14:textId="77777777" w:rsidTr="002F13DC">
        <w:tc>
          <w:tcPr>
            <w:tcW w:w="8828" w:type="dxa"/>
          </w:tcPr>
          <w:p w14:paraId="3A4CF0E0" w14:textId="77777777" w:rsidR="00985A6A" w:rsidRDefault="00985A6A" w:rsidP="002F13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4C18D0E" w14:textId="77777777" w:rsidR="00985A6A" w:rsidRPr="003407CE" w:rsidRDefault="00985A6A" w:rsidP="002F13DC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48F72DB" w14:textId="77777777" w:rsidR="00985A6A" w:rsidRDefault="00985A6A" w:rsidP="00985A6A">
            <w:pPr>
              <w:pStyle w:val="NormalWeb"/>
            </w:pPr>
            <w:r w:rsidRPr="00985A6A">
              <w:rPr>
                <w:lang w:val="es-US"/>
              </w:rPr>
              <w:t>Se busca preparar la nómina de una pequeña empresa. Los datos suministrados son el número de horas trabajadas (</w:t>
            </w:r>
            <w:r w:rsidRPr="00985A6A">
              <w:rPr>
                <w:rStyle w:val="HTMLCode"/>
                <w:lang w:val="es-US"/>
              </w:rPr>
              <w:t>num_horas</w:t>
            </w:r>
            <w:r w:rsidRPr="00985A6A">
              <w:rPr>
                <w:lang w:val="es-US"/>
              </w:rPr>
              <w:t>) y la tasa de pago (</w:t>
            </w:r>
            <w:r w:rsidRPr="00985A6A">
              <w:rPr>
                <w:rStyle w:val="HTMLCode"/>
                <w:lang w:val="es-US"/>
              </w:rPr>
              <w:t>tasa_pago</w:t>
            </w:r>
            <w:r w:rsidRPr="00985A6A">
              <w:rPr>
                <w:lang w:val="es-US"/>
              </w:rPr>
              <w:t xml:space="preserve">). </w:t>
            </w:r>
            <w:r>
              <w:t>Para esto, se tienen las siguientes condiciones:</w:t>
            </w:r>
          </w:p>
          <w:p w14:paraId="1E3627FB" w14:textId="77777777" w:rsidR="00985A6A" w:rsidRPr="00985A6A" w:rsidRDefault="00985A6A" w:rsidP="00985A6A">
            <w:pPr>
              <w:pStyle w:val="NormalWeb"/>
              <w:numPr>
                <w:ilvl w:val="0"/>
                <w:numId w:val="19"/>
              </w:numPr>
              <w:rPr>
                <w:lang w:val="es-US"/>
              </w:rPr>
            </w:pPr>
            <w:r w:rsidRPr="00985A6A">
              <w:rPr>
                <w:lang w:val="es-US"/>
              </w:rPr>
              <w:t xml:space="preserve">Si </w:t>
            </w:r>
            <w:r w:rsidRPr="00985A6A">
              <w:rPr>
                <w:rStyle w:val="HTMLCode"/>
                <w:lang w:val="es-US"/>
              </w:rPr>
              <w:t>num_horas</w:t>
            </w:r>
            <w:r w:rsidRPr="00985A6A">
              <w:rPr>
                <w:lang w:val="es-US"/>
              </w:rPr>
              <w:t xml:space="preserve"> es menor o igual a 40, calculamos el pago regular (</w:t>
            </w:r>
            <w:r w:rsidRPr="00985A6A">
              <w:rPr>
                <w:rStyle w:val="HTMLCode"/>
                <w:lang w:val="es-US"/>
              </w:rPr>
              <w:t>pago_regular</w:t>
            </w:r>
            <w:r w:rsidRPr="00985A6A">
              <w:rPr>
                <w:lang w:val="es-US"/>
              </w:rPr>
              <w:t xml:space="preserve">) multiplicando </w:t>
            </w:r>
            <w:r w:rsidRPr="00985A6A">
              <w:rPr>
                <w:rStyle w:val="HTMLCode"/>
                <w:lang w:val="es-US"/>
              </w:rPr>
              <w:t>num_horas</w:t>
            </w:r>
            <w:r w:rsidRPr="00985A6A">
              <w:rPr>
                <w:lang w:val="es-US"/>
              </w:rPr>
              <w:t xml:space="preserve"> por </w:t>
            </w:r>
            <w:r w:rsidRPr="00985A6A">
              <w:rPr>
                <w:rStyle w:val="HTMLCode"/>
                <w:lang w:val="es-US"/>
              </w:rPr>
              <w:t>tasa_pago</w:t>
            </w:r>
            <w:r w:rsidRPr="00985A6A">
              <w:rPr>
                <w:lang w:val="es-US"/>
              </w:rPr>
              <w:t>, y el pago de horas extras (</w:t>
            </w:r>
            <w:r w:rsidRPr="00985A6A">
              <w:rPr>
                <w:rStyle w:val="HTMLCode"/>
                <w:lang w:val="es-US"/>
              </w:rPr>
              <w:t>pago_extras</w:t>
            </w:r>
            <w:r w:rsidRPr="00985A6A">
              <w:rPr>
                <w:lang w:val="es-US"/>
              </w:rPr>
              <w:t>) es igual a 0.</w:t>
            </w:r>
          </w:p>
          <w:p w14:paraId="1138CC70" w14:textId="2705BE2C" w:rsidR="00985A6A" w:rsidRDefault="00985A6A" w:rsidP="00627BBC">
            <w:pPr>
              <w:pStyle w:val="NormalWeb"/>
              <w:numPr>
                <w:ilvl w:val="0"/>
                <w:numId w:val="19"/>
              </w:numPr>
              <w:rPr>
                <w:lang w:val="es-US"/>
              </w:rPr>
            </w:pPr>
            <w:r w:rsidRPr="00985A6A">
              <w:rPr>
                <w:lang w:val="es-US"/>
              </w:rPr>
              <w:t xml:space="preserve">Si </w:t>
            </w:r>
            <w:r w:rsidRPr="00985A6A">
              <w:rPr>
                <w:rStyle w:val="HTMLCode"/>
                <w:lang w:val="es-US"/>
              </w:rPr>
              <w:t>num_horas</w:t>
            </w:r>
            <w:r w:rsidRPr="00985A6A">
              <w:rPr>
                <w:lang w:val="es-US"/>
              </w:rPr>
              <w:t xml:space="preserve"> es mayor a 40, calculamos el pago regular </w:t>
            </w:r>
            <w:r>
              <w:rPr>
                <w:lang w:val="es-US"/>
              </w:rPr>
              <w:t xml:space="preserve">y adicionamos el pago </w:t>
            </w:r>
            <w:r w:rsidRPr="00985A6A">
              <w:rPr>
                <w:lang w:val="es-US"/>
              </w:rPr>
              <w:t>pago de horas extras (</w:t>
            </w:r>
            <w:r w:rsidRPr="00985A6A">
              <w:rPr>
                <w:rStyle w:val="HTMLCode"/>
                <w:lang w:val="es-US"/>
              </w:rPr>
              <w:t>pago_extras</w:t>
            </w:r>
            <w:r w:rsidRPr="00985A6A">
              <w:rPr>
                <w:lang w:val="es-US"/>
              </w:rPr>
              <w:t>)</w:t>
            </w:r>
            <w:r>
              <w:rPr>
                <w:lang w:val="es-US"/>
              </w:rPr>
              <w:t xml:space="preserve"> con </w:t>
            </w:r>
            <w:r w:rsidR="00E34786">
              <w:rPr>
                <w:lang w:val="es-US"/>
              </w:rPr>
              <w:t>un incremento</w:t>
            </w:r>
            <w:r>
              <w:rPr>
                <w:lang w:val="es-US"/>
              </w:rPr>
              <w:t xml:space="preserve"> del 50% sobre la </w:t>
            </w:r>
            <w:r w:rsidRPr="00985A6A">
              <w:rPr>
                <w:rStyle w:val="HTMLCode"/>
                <w:lang w:val="es-US"/>
              </w:rPr>
              <w:t>tasa_pago</w:t>
            </w:r>
            <w:r>
              <w:rPr>
                <w:rStyle w:val="HTMLCode"/>
                <w:lang w:val="es-US"/>
              </w:rPr>
              <w:t>.</w:t>
            </w:r>
          </w:p>
          <w:p w14:paraId="4AF308E1" w14:textId="53D1FA17" w:rsidR="00985A6A" w:rsidRDefault="00985A6A" w:rsidP="00985A6A">
            <w:pPr>
              <w:pStyle w:val="NormalWeb"/>
              <w:rPr>
                <w:lang w:val="es-US"/>
              </w:rPr>
            </w:pPr>
            <w:r>
              <w:rPr>
                <w:lang w:val="es-US"/>
              </w:rPr>
              <w:t>E</w:t>
            </w:r>
            <w:r w:rsidRPr="00985A6A">
              <w:rPr>
                <w:lang w:val="es-US"/>
              </w:rPr>
              <w:t>l salario neto (</w:t>
            </w:r>
            <w:r w:rsidRPr="00985A6A">
              <w:rPr>
                <w:rStyle w:val="HTMLCode"/>
                <w:lang w:val="es-US"/>
              </w:rPr>
              <w:t>neto</w:t>
            </w:r>
            <w:r w:rsidRPr="00985A6A">
              <w:rPr>
                <w:lang w:val="es-US"/>
              </w:rPr>
              <w:t>) se calcula sumando el pago regular (</w:t>
            </w:r>
            <w:r w:rsidRPr="00985A6A">
              <w:rPr>
                <w:rStyle w:val="HTMLCode"/>
                <w:lang w:val="es-US"/>
              </w:rPr>
              <w:t>pago_regular</w:t>
            </w:r>
            <w:r w:rsidRPr="00985A6A">
              <w:rPr>
                <w:lang w:val="es-US"/>
              </w:rPr>
              <w:t>) y el pago de horas extras (</w:t>
            </w:r>
            <w:r w:rsidRPr="00985A6A">
              <w:rPr>
                <w:rStyle w:val="HTMLCode"/>
                <w:lang w:val="es-US"/>
              </w:rPr>
              <w:t>pago_extras</w:t>
            </w:r>
            <w:r w:rsidRPr="00985A6A">
              <w:rPr>
                <w:lang w:val="es-US"/>
              </w:rPr>
              <w:t>).</w:t>
            </w:r>
          </w:p>
          <w:p w14:paraId="39F31097" w14:textId="5B356CEB" w:rsidR="00985A6A" w:rsidRDefault="00985A6A" w:rsidP="00985A6A">
            <w:pPr>
              <w:pStyle w:val="NormalWeb"/>
              <w:rPr>
                <w:lang w:val="es-US"/>
              </w:rPr>
            </w:pPr>
            <w:r>
              <w:rPr>
                <w:lang w:val="es-US"/>
              </w:rPr>
              <w:t>E</w:t>
            </w:r>
            <w:r w:rsidRPr="00985A6A">
              <w:rPr>
                <w:lang w:val="es-US"/>
              </w:rPr>
              <w:t>scriba un</w:t>
            </w:r>
            <w:r w:rsidR="00D96E10">
              <w:rPr>
                <w:lang w:val="es-US"/>
              </w:rPr>
              <w:t xml:space="preserve">a función </w:t>
            </w:r>
            <w:r w:rsidRPr="00985A6A">
              <w:rPr>
                <w:lang w:val="es-US"/>
              </w:rPr>
              <w:t>que permita calcular el pago de nómina de la pequeña empresa.</w:t>
            </w:r>
          </w:p>
          <w:p w14:paraId="75203160" w14:textId="77777777" w:rsidR="00985A6A" w:rsidRPr="00985A6A" w:rsidRDefault="00985A6A" w:rsidP="00985A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US"/>
              </w:rPr>
            </w:pPr>
            <w:r w:rsidRPr="00985A6A">
              <w:rPr>
                <w:rFonts w:ascii="Times New Roman" w:eastAsia="Times New Roman" w:hAnsi="Times New Roman" w:cs="Times New Roman"/>
                <w:b/>
                <w:bCs/>
                <w:lang w:val="es-US"/>
              </w:rPr>
              <w:t>Ejemplo</w:t>
            </w:r>
            <w:r w:rsidRPr="00985A6A">
              <w:rPr>
                <w:rFonts w:ascii="Times New Roman" w:eastAsia="Times New Roman" w:hAnsi="Times New Roman" w:cs="Times New Roman"/>
                <w:lang w:val="es-US"/>
              </w:rPr>
              <w:t xml:space="preserve"> </w:t>
            </w:r>
            <w:r w:rsidRPr="00985A6A">
              <w:rPr>
                <w:rFonts w:ascii="Times New Roman" w:eastAsia="Times New Roman" w:hAnsi="Times New Roman" w:cs="Times New Roman"/>
                <w:lang w:val="es-US"/>
              </w:rPr>
              <w:br/>
            </w:r>
            <w:r w:rsidRPr="00985A6A">
              <w:rPr>
                <w:rFonts w:ascii="Times New Roman" w:eastAsia="Times New Roman" w:hAnsi="Times New Roman" w:cs="Times New Roman"/>
                <w:color w:val="FF5733"/>
                <w:lang w:val="es-US"/>
              </w:rPr>
              <w:t>Input</w:t>
            </w:r>
          </w:p>
          <w:p w14:paraId="6F131A0C" w14:textId="77777777" w:rsidR="00985A6A" w:rsidRPr="00985A6A" w:rsidRDefault="00985A6A" w:rsidP="00985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</w:pPr>
            <w:r w:rsidRPr="00985A6A"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  <w:t>horas_trabajadas = 30</w:t>
            </w:r>
          </w:p>
          <w:p w14:paraId="4ADB2709" w14:textId="77777777" w:rsidR="00985A6A" w:rsidRPr="00985A6A" w:rsidRDefault="00985A6A" w:rsidP="00985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</w:pPr>
            <w:r w:rsidRPr="00985A6A"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  <w:t>pago_por_hora = 25</w:t>
            </w:r>
          </w:p>
          <w:p w14:paraId="547554AB" w14:textId="77777777" w:rsidR="00985A6A" w:rsidRPr="00985A6A" w:rsidRDefault="00985A6A" w:rsidP="00985A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985A6A">
              <w:rPr>
                <w:rFonts w:ascii="Times New Roman" w:eastAsia="Times New Roman" w:hAnsi="Times New Roman" w:cs="Times New Roman"/>
                <w:color w:val="FF5733"/>
                <w:lang w:val="en-US"/>
              </w:rPr>
              <w:t>Output</w:t>
            </w:r>
          </w:p>
          <w:p w14:paraId="679F8CC6" w14:textId="6313E0DF" w:rsidR="00985A6A" w:rsidRPr="00985A6A" w:rsidRDefault="00985A6A" w:rsidP="00985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2"/>
                <w:lang w:val="es-US"/>
              </w:rPr>
            </w:pPr>
            <w:r w:rsidRPr="00985A6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neto = 750</w:t>
            </w:r>
          </w:p>
        </w:tc>
      </w:tr>
    </w:tbl>
    <w:p w14:paraId="57816A76" w14:textId="77777777" w:rsidR="00985A6A" w:rsidRPr="00985A6A" w:rsidRDefault="00985A6A" w:rsidP="007B0F2B">
      <w:pPr>
        <w:jc w:val="both"/>
        <w:rPr>
          <w:rFonts w:ascii="Arial" w:hAnsi="Arial" w:cs="Arial"/>
          <w:sz w:val="22"/>
          <w:szCs w:val="22"/>
        </w:rPr>
      </w:pPr>
    </w:p>
    <w:p w14:paraId="55615A2A" w14:textId="77777777" w:rsidR="00985A6A" w:rsidRPr="00D51438" w:rsidRDefault="00985A6A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3302A94E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0C762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0F4F7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96F00B1" w14:textId="78658F30" w:rsidR="000F5FDC" w:rsidRPr="00D51438" w:rsidRDefault="000F4F7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r w:rsidRPr="000F4F7B">
              <w:rPr>
                <w:rFonts w:ascii="Consolas" w:hAnsi="Consolas" w:cs="Consolas"/>
                <w:sz w:val="22"/>
                <w:lang w:val="es-CO"/>
              </w:rPr>
              <w:t>Mass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r w:rsidRPr="000F4F7B">
              <w:rPr>
                <w:rFonts w:ascii="Consolas" w:hAnsi="Consolas" w:cs="Consolas"/>
                <w:sz w:val="22"/>
                <w:lang w:val="es-CO"/>
              </w:rPr>
              <w:t>Revolutions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14:paraId="5AEAFB1D" w14:textId="2595F13B" w:rsidR="00F873B6" w:rsidRDefault="00F873B6" w:rsidP="358CDD58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="72A34415" w:rsidRPr="358CDD58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14:paraId="39F5B628" w14:textId="245B9D4A" w:rsidR="00F873B6" w:rsidRPr="00F873B6" w:rsidRDefault="00F873B6" w:rsidP="00F873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14:paraId="42067AD0" w14:textId="35429564" w:rsidR="007E6AF9" w:rsidRPr="00D51438" w:rsidRDefault="00F873B6" w:rsidP="008356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48FF338B" w14:textId="2D2F3974" w:rsidR="003407CE" w:rsidRPr="00D51438" w:rsidRDefault="003407CE" w:rsidP="005017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90A28" w:rsidRPr="00D51438" w14:paraId="19DD2140" w14:textId="77777777" w:rsidTr="5C4A4ACA">
        <w:tc>
          <w:tcPr>
            <w:tcW w:w="8828" w:type="dxa"/>
            <w:shd w:val="clear" w:color="auto" w:fill="D9D9D9" w:themeFill="background1" w:themeFillShade="D9"/>
          </w:tcPr>
          <w:p w14:paraId="77E7FCE0" w14:textId="324703AB" w:rsidR="00590A28" w:rsidRPr="00D51438" w:rsidRDefault="00590A28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0C762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590A28" w:rsidRPr="00D51438" w14:paraId="6E295335" w14:textId="77777777" w:rsidTr="5C4A4ACA">
        <w:tc>
          <w:tcPr>
            <w:tcW w:w="8828" w:type="dxa"/>
          </w:tcPr>
          <w:p w14:paraId="5351621A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D4EB7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1961C7A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14:paraId="1772698A" w14:textId="77DD1C63" w:rsidR="007C5068" w:rsidRPr="00D51438" w:rsidRDefault="007C5068" w:rsidP="007C5068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634242" w:rsidRPr="00D51438" w14:paraId="3CE92A84" w14:textId="0E8CF9A8" w:rsidTr="5C4A4A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1B47888F" w14:textId="135AF02F" w:rsidR="00634242" w:rsidRPr="00D51438" w:rsidRDefault="71CA9BB6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224E9CFC" w14:textId="4DC60941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2C67A22" w14:textId="0F3E75F9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044D0CE2" w14:textId="17B0E0AE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2E771063" w14:textId="76647964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5152634B" w14:textId="09CE37BB" w:rsidR="00634242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="00634242" w:rsidRPr="00D51438" w14:paraId="19D8EEFF" w14:textId="60B8161A" w:rsidTr="5C4A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810E1EB" w14:textId="1FCE0DBD" w:rsidR="00634242" w:rsidRPr="00D51438" w:rsidRDefault="3F22B941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1619" w:type="dxa"/>
                </w:tcPr>
                <w:p w14:paraId="1AB7D7A7" w14:textId="218BE78B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tcW w:w="1403" w:type="dxa"/>
                </w:tcPr>
                <w:p w14:paraId="39441CC1" w14:textId="7143E3C1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tcW w:w="1403" w:type="dxa"/>
                </w:tcPr>
                <w:p w14:paraId="180879CE" w14:textId="7706BB4A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tcW w:w="1403" w:type="dxa"/>
                </w:tcPr>
                <w:p w14:paraId="61212349" w14:textId="793E2B0F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tcW w:w="1326" w:type="dxa"/>
                </w:tcPr>
                <w:p w14:paraId="1134C5D4" w14:textId="745898EB" w:rsidR="00634242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14:paraId="0B2C0C53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480AFFC" w14:textId="12BA7963" w:rsidR="00590A28" w:rsidRDefault="007C5068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toma los valores de 650, 580 y 461.</w:t>
            </w:r>
          </w:p>
          <w:p w14:paraId="3330B1FF" w14:textId="77777777" w:rsidR="00590A28" w:rsidRPr="00D51438" w:rsidRDefault="00590A28" w:rsidP="005017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29F05FE" w14:textId="79B5A5C1" w:rsidR="00590A28" w:rsidRPr="0083565E" w:rsidRDefault="00590A28" w:rsidP="0098242F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02AF" w:rsidRPr="0083565E" w14:paraId="064C263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4B6895EB" w14:textId="4F5F7E77" w:rsidR="003F02AF" w:rsidRPr="0083565E" w:rsidRDefault="003F02AF" w:rsidP="0083565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0C762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E7C41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3F02AF" w:rsidRPr="00D51438" w14:paraId="6C9AD398" w14:textId="77777777" w:rsidTr="0083565E">
        <w:tc>
          <w:tcPr>
            <w:tcW w:w="8828" w:type="dxa"/>
          </w:tcPr>
          <w:p w14:paraId="326327FB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101A8C5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7B44636" w14:textId="500BDCD2" w:rsidR="003F02AF" w:rsidRDefault="00CB271D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223356F" w14:textId="4BC5D8A9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015B69F" w14:textId="5271B61C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7E4326B" w14:textId="6F6421C4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F7054FC" w14:textId="6F6D7F71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14:paraId="63D48FBB" w14:textId="77777777" w:rsidR="003F02AF" w:rsidRPr="00D51438" w:rsidRDefault="003F02AF" w:rsidP="005017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F544C17" w14:textId="2BBCA068" w:rsidR="0085136C" w:rsidRDefault="0085136C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2803" w:rsidRPr="00D51438" w14:paraId="61B9F19F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40793B1" w14:textId="57B61F22" w:rsidR="00372803" w:rsidRPr="00D51438" w:rsidRDefault="0037280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0C762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B57A03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="00372803" w:rsidRPr="00D51438" w14:paraId="5B4DFFE2" w14:textId="77777777" w:rsidTr="0083565E">
        <w:tc>
          <w:tcPr>
            <w:tcW w:w="8828" w:type="dxa"/>
          </w:tcPr>
          <w:p w14:paraId="35775893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8DC3E3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FA0B60D" w14:textId="4A504691" w:rsidR="00372803" w:rsidRDefault="005B388D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 xml:space="preserve">en estado estático </w:t>
            </w:r>
            <w:r w:rsidR="003A30B1">
              <w:rPr>
                <w:rFonts w:ascii="Arial" w:hAnsi="Arial" w:cs="Arial"/>
                <w:sz w:val="22"/>
                <w:lang w:val="es-CO"/>
              </w:rPr>
              <w:t>son</w:t>
            </w:r>
            <w:r w:rsidR="000D6A44"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A25D74E" w14:textId="68C1850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63195880" w14:textId="3E27A997" w:rsidR="000D6A44" w:rsidRDefault="00000000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14:paraId="6435367E" w14:textId="7777777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3E831F11" w14:textId="2D4C128E" w:rsidR="00372803" w:rsidRDefault="000C26E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B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1C21E4AA" w14:textId="77777777" w:rsidR="00372803" w:rsidRPr="00D51438" w:rsidRDefault="00372803" w:rsidP="005017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5DAB29F" w14:textId="77777777" w:rsidR="00372803" w:rsidRDefault="00372803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2D45" w:rsidRPr="00D51438" w14:paraId="77BBA031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566B918D" w14:textId="0E0D4E7C" w:rsidR="00542D45" w:rsidRPr="00D51438" w:rsidRDefault="00542D45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0C762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44BD4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="00542D45" w:rsidRPr="00D51438" w14:paraId="6D8D2AE5" w14:textId="77777777" w:rsidTr="0083565E">
        <w:tc>
          <w:tcPr>
            <w:tcW w:w="8828" w:type="dxa"/>
          </w:tcPr>
          <w:p w14:paraId="73FD6D10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C4DE2FD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3309FE92" w14:textId="77777777" w:rsidR="00542D45" w:rsidRDefault="00542D45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177E7C8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00394BD" w14:textId="092DE17C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46DC929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2CB1412" w14:textId="57A47C73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456B5E6" w14:textId="77777777" w:rsidR="00542D45" w:rsidRPr="00D51438" w:rsidRDefault="00542D45" w:rsidP="000630B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BDBB2EB" w14:textId="5D4D7DAB" w:rsidR="00542D45" w:rsidRDefault="00542D45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3427" w:rsidRPr="00D51438" w14:paraId="0534420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6B21A7EE" w14:textId="290AE2C6" w:rsidR="003F3427" w:rsidRPr="00D51438" w:rsidRDefault="003F3427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0C762C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="003F3427" w:rsidRPr="00D51438" w14:paraId="70415B3F" w14:textId="77777777" w:rsidTr="0083565E">
        <w:tc>
          <w:tcPr>
            <w:tcW w:w="8828" w:type="dxa"/>
          </w:tcPr>
          <w:p w14:paraId="40D619ED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0AD7DF3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B084D4" w14:textId="3BA8DEA6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eastAsiaTheme="minorEastAsia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5E49901" w14:textId="77777777" w:rsidR="00C11B16" w:rsidRPr="00D51438" w:rsidRDefault="00C11B16" w:rsidP="00C11B1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C11B16" w:rsidRPr="00D51438" w14:paraId="6A873210" w14:textId="77777777" w:rsidTr="008356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2DCE62A1" w14:textId="27467499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61AA74DB" w14:textId="48CBF5BA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351E281" w14:textId="43257302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576B4CBF" w14:textId="4BF9DD23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4A6C2C14" w14:textId="1051E308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32E3DC4D" w14:textId="307F7177" w:rsidR="00C11B16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="00C11B16" w:rsidRPr="00D51438" w14:paraId="2CA80F33" w14:textId="77777777" w:rsidTr="008356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F988393" w14:textId="3BCF3F0F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14:paraId="78FC9097" w14:textId="7386038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14:paraId="0C43EA2B" w14:textId="5679798B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14:paraId="247B2A19" w14:textId="374958D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14:paraId="240AB695" w14:textId="5E1C7CA4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14:paraId="4A0B4021" w14:textId="6402A62B" w:rsidR="00C11B16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14:paraId="465BEFDE" w14:textId="77777777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D7CAAB1" w14:textId="17C9CFD4" w:rsidR="00FA0DEC" w:rsidRDefault="00FA0DEC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14:paraId="552C965F" w14:textId="737BDDE5" w:rsidR="00FA0DEC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14:paraId="500DF768" w14:textId="06BFD63C" w:rsidR="00C11B16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14:paraId="2F91323F" w14:textId="77777777" w:rsidR="003F3427" w:rsidRPr="00D51438" w:rsidRDefault="003F3427" w:rsidP="00D2454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00DAF625" w14:textId="76062CB7" w:rsidR="003F3427" w:rsidRDefault="003F3427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949BE" w:rsidRPr="00D51438" w14:paraId="74ECBC3C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04A6252C" w14:textId="78AC28DE" w:rsidR="00D949BE" w:rsidRPr="00D51438" w:rsidRDefault="00D949BE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406680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8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="00D949BE" w:rsidRPr="00D51438" w14:paraId="17A4991C" w14:textId="77777777" w:rsidTr="6C09B24C">
        <w:tc>
          <w:tcPr>
            <w:tcW w:w="8828" w:type="dxa"/>
          </w:tcPr>
          <w:p w14:paraId="38FE2CE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A0E65EE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6E1BABB" w14:textId="1D8BFC84" w:rsidR="004378DB" w:rsidRDefault="00A21153" w:rsidP="00A21153">
            <w:pPr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k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c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>) que incita el movimiento.</w:t>
            </w:r>
          </w:p>
          <w:p w14:paraId="682CE9D7" w14:textId="77777777" w:rsidR="004378DB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169E6E97" w14:textId="1367C0EE" w:rsidR="00D949BE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14:paraId="5705477C" w14:textId="5BA4790D" w:rsidR="00D949BE" w:rsidRDefault="00BF1E3E" w:rsidP="6C09B24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=10:</m:t>
              </m:r>
            </m:oMath>
          </w:p>
          <w:p w14:paraId="00943578" w14:textId="68558719" w:rsidR="00D949BE" w:rsidRPr="00FA0DEC" w:rsidRDefault="00D949BE" w:rsidP="00D949B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37C1DCC" w14:textId="77777777" w:rsidR="00D949BE" w:rsidRPr="004D579C" w:rsidRDefault="00BF1E3E" w:rsidP="004D579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74EBDDB0" w14:textId="25285894" w:rsidR="004D579C" w:rsidRPr="007A726C" w:rsidRDefault="004D579C" w:rsidP="007A726C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</w:tc>
      </w:tr>
    </w:tbl>
    <w:p w14:paraId="65EE5E57" w14:textId="77777777" w:rsidR="00D949BE" w:rsidRDefault="00D949BE" w:rsidP="0098242F">
      <w:pPr>
        <w:jc w:val="both"/>
        <w:rPr>
          <w:rFonts w:ascii="Raleway" w:hAnsi="Raleway"/>
          <w:sz w:val="22"/>
        </w:rPr>
      </w:pPr>
    </w:p>
    <w:p w14:paraId="66152989" w14:textId="77777777" w:rsidR="00BD5E0C" w:rsidRPr="0085136C" w:rsidRDefault="00BD5E0C" w:rsidP="0098242F">
      <w:pPr>
        <w:jc w:val="both"/>
        <w:rPr>
          <w:rFonts w:ascii="Raleway" w:hAnsi="Raleway"/>
          <w:sz w:val="22"/>
        </w:rPr>
      </w:pPr>
    </w:p>
    <w:sectPr w:rsidR="00BD5E0C" w:rsidRPr="0085136C" w:rsidSect="00313893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99CB" w14:textId="77777777" w:rsidR="00313893" w:rsidRDefault="00313893" w:rsidP="008F72CB">
      <w:r>
        <w:separator/>
      </w:r>
    </w:p>
  </w:endnote>
  <w:endnote w:type="continuationSeparator" w:id="0">
    <w:p w14:paraId="1C10C08D" w14:textId="77777777" w:rsidR="00313893" w:rsidRDefault="00313893" w:rsidP="008F72CB">
      <w:r>
        <w:continuationSeparator/>
      </w:r>
    </w:p>
  </w:endnote>
  <w:endnote w:type="continuationNotice" w:id="1">
    <w:p w14:paraId="250C6EF7" w14:textId="77777777" w:rsidR="00313893" w:rsidRDefault="00313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87C8" w14:textId="77777777" w:rsidR="00313893" w:rsidRDefault="00313893" w:rsidP="008F72CB">
      <w:r>
        <w:separator/>
      </w:r>
    </w:p>
  </w:footnote>
  <w:footnote w:type="continuationSeparator" w:id="0">
    <w:p w14:paraId="703AC460" w14:textId="77777777" w:rsidR="00313893" w:rsidRDefault="00313893" w:rsidP="008F72CB">
      <w:r>
        <w:continuationSeparator/>
      </w:r>
    </w:p>
  </w:footnote>
  <w:footnote w:type="continuationNotice" w:id="1">
    <w:p w14:paraId="3E64F06E" w14:textId="77777777" w:rsidR="00313893" w:rsidRDefault="00313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4198"/>
    <w:multiLevelType w:val="multilevel"/>
    <w:tmpl w:val="409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C28E8"/>
    <w:multiLevelType w:val="multilevel"/>
    <w:tmpl w:val="2F36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8"/>
  </w:num>
  <w:num w:numId="2" w16cid:durableId="1278829359">
    <w:abstractNumId w:val="4"/>
  </w:num>
  <w:num w:numId="3" w16cid:durableId="721634015">
    <w:abstractNumId w:val="17"/>
  </w:num>
  <w:num w:numId="4" w16cid:durableId="551423747">
    <w:abstractNumId w:val="2"/>
  </w:num>
  <w:num w:numId="5" w16cid:durableId="1314216567">
    <w:abstractNumId w:val="12"/>
  </w:num>
  <w:num w:numId="6" w16cid:durableId="564223915">
    <w:abstractNumId w:val="7"/>
  </w:num>
  <w:num w:numId="7" w16cid:durableId="1374623356">
    <w:abstractNumId w:val="11"/>
  </w:num>
  <w:num w:numId="8" w16cid:durableId="1364985993">
    <w:abstractNumId w:val="10"/>
  </w:num>
  <w:num w:numId="9" w16cid:durableId="701438556">
    <w:abstractNumId w:val="13"/>
  </w:num>
  <w:num w:numId="10" w16cid:durableId="1501581194">
    <w:abstractNumId w:val="9"/>
  </w:num>
  <w:num w:numId="11" w16cid:durableId="1132677942">
    <w:abstractNumId w:val="6"/>
  </w:num>
  <w:num w:numId="12" w16cid:durableId="1498886173">
    <w:abstractNumId w:val="19"/>
  </w:num>
  <w:num w:numId="13" w16cid:durableId="1119102103">
    <w:abstractNumId w:val="3"/>
  </w:num>
  <w:num w:numId="14" w16cid:durableId="335158703">
    <w:abstractNumId w:val="15"/>
  </w:num>
  <w:num w:numId="15" w16cid:durableId="102576260">
    <w:abstractNumId w:val="0"/>
  </w:num>
  <w:num w:numId="16" w16cid:durableId="2100252660">
    <w:abstractNumId w:val="14"/>
  </w:num>
  <w:num w:numId="17" w16cid:durableId="1869830270">
    <w:abstractNumId w:val="1"/>
  </w:num>
  <w:num w:numId="18" w16cid:durableId="417409903">
    <w:abstractNumId w:val="5"/>
  </w:num>
  <w:num w:numId="19" w16cid:durableId="1540820297">
    <w:abstractNumId w:val="18"/>
  </w:num>
  <w:num w:numId="20" w16cid:durableId="81430148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C762C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3893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06680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85A6A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5E0C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6E10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34786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94BF1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paragraph" w:styleId="NormalWeb">
    <w:name w:val="Normal (Web)"/>
    <w:basedOn w:val="Normal"/>
    <w:uiPriority w:val="99"/>
    <w:semiHidden/>
    <w:unhideWhenUsed/>
    <w:rsid w:val="00985A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5A6A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985A6A"/>
  </w:style>
  <w:style w:type="character" w:customStyle="1" w:styleId="mi">
    <w:name w:val="mi"/>
    <w:basedOn w:val="DefaultParagraphFont"/>
    <w:rsid w:val="00985A6A"/>
  </w:style>
  <w:style w:type="character" w:customStyle="1" w:styleId="mn">
    <w:name w:val="mn"/>
    <w:basedOn w:val="DefaultParagraphFont"/>
    <w:rsid w:val="00985A6A"/>
  </w:style>
  <w:style w:type="character" w:styleId="Strong">
    <w:name w:val="Strong"/>
    <w:basedOn w:val="DefaultParagraphFont"/>
    <w:uiPriority w:val="22"/>
    <w:qFormat/>
    <w:rsid w:val="00985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A6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variable">
    <w:name w:val="cm-variable"/>
    <w:basedOn w:val="DefaultParagraphFont"/>
    <w:rsid w:val="00985A6A"/>
  </w:style>
  <w:style w:type="character" w:customStyle="1" w:styleId="cm-operator">
    <w:name w:val="cm-operator"/>
    <w:basedOn w:val="DefaultParagraphFont"/>
    <w:rsid w:val="00985A6A"/>
  </w:style>
  <w:style w:type="character" w:customStyle="1" w:styleId="cm-number">
    <w:name w:val="cm-number"/>
    <w:basedOn w:val="DefaultParagraphFont"/>
    <w:rsid w:val="0098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278</cp:revision>
  <cp:lastPrinted>2022-03-15T19:53:00Z</cp:lastPrinted>
  <dcterms:created xsi:type="dcterms:W3CDTF">2022-03-15T19:55:00Z</dcterms:created>
  <dcterms:modified xsi:type="dcterms:W3CDTF">2024-01-22T04:56:00Z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