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74AF" w14:textId="77777777" w:rsidR="009D4CDD" w:rsidRPr="009E07B7" w:rsidRDefault="009D4CDD" w:rsidP="009D4CDD">
      <w:pPr>
        <w:rPr>
          <w:rFonts w:ascii="Arial" w:hAnsi="Arial" w:cs="Arial"/>
          <w:b/>
          <w:bCs/>
          <w:kern w:val="0"/>
          <w:sz w:val="28"/>
          <w:szCs w:val="28"/>
          <w:lang w:eastAsia="es-CO"/>
        </w:rPr>
      </w:pPr>
      <w:r w:rsidRPr="009E07B7">
        <w:rPr>
          <w:rFonts w:ascii="Arial" w:hAnsi="Arial" w:cs="Arial"/>
          <w:b/>
          <w:bCs/>
          <w:kern w:val="0"/>
          <w:sz w:val="28"/>
          <w:szCs w:val="28"/>
          <w:lang w:eastAsia="es-CO"/>
        </w:rPr>
        <w:t>Aplicación de criterios WCAG 2.2 y principios DUA en el arte y el audio de Río Limpio Adventure</w:t>
      </w:r>
    </w:p>
    <w:p w14:paraId="5E0157B5"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1. Introducción</w:t>
      </w:r>
    </w:p>
    <w:p w14:paraId="748E9796"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 xml:space="preserve">El presente reporte documenta las características de accesibilidad previstas en los recursos gráficos, la interfaz y las interacciones del minijuego educativo </w:t>
      </w:r>
      <w:r w:rsidRPr="009D4CDD">
        <w:rPr>
          <w:rFonts w:ascii="Arial" w:hAnsi="Arial" w:cs="Arial"/>
          <w:i/>
          <w:iCs/>
          <w:kern w:val="0"/>
          <w:sz w:val="22"/>
          <w:szCs w:val="22"/>
          <w:lang w:eastAsia="es-CO"/>
        </w:rPr>
        <w:t>Río Limpio Adventure</w:t>
      </w:r>
      <w:r w:rsidRPr="009D4CDD">
        <w:rPr>
          <w:rFonts w:ascii="Arial" w:hAnsi="Arial" w:cs="Arial"/>
          <w:kern w:val="0"/>
          <w:sz w:val="22"/>
          <w:szCs w:val="22"/>
          <w:lang w:eastAsia="es-CO"/>
        </w:rPr>
        <w:t>. Su propósito es facilitar el aprendizaje sobre la clasificación de residuos y la recuperación de los ecosistemas mediante una experiencia interactiva.</w:t>
      </w:r>
    </w:p>
    <w:p w14:paraId="1D5A57B8"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La evaluación toma como referencia las pautas WCAG 2.2 y los principios del Diseño Universal para el Aprendizaje (DUA), considerando la percepción de la información, la identificación de elementos, la comprensión de las instrucciones y las alternativas de interacción.</w:t>
      </w:r>
    </w:p>
    <w:p w14:paraId="2DE3FBFF" w14:textId="25EEB754"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El reporte distingue entre las características descritas en el diseño, las recomendaciones de accesibilidad y los aspectos cuyo cumplimiento requiere pruebas funcionales</w:t>
      </w:r>
      <w:r w:rsidR="00010F1A">
        <w:rPr>
          <w:rFonts w:ascii="Arial" w:hAnsi="Arial" w:cs="Arial"/>
          <w:kern w:val="0"/>
          <w:sz w:val="22"/>
          <w:szCs w:val="22"/>
          <w:lang w:eastAsia="es-CO"/>
        </w:rPr>
        <w:t>.</w:t>
      </w:r>
    </w:p>
    <w:p w14:paraId="1E472A6C"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2. Recursos gráficos y accesibilidad visual</w:t>
      </w:r>
    </w:p>
    <w:p w14:paraId="2B334156"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2.1. Fondo del salón y estados del río</w:t>
      </w:r>
    </w:p>
    <w:p w14:paraId="685E3A6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El fondo del juego está compuesto por tres imágenes que representan diferentes estados del ecosistema:</w:t>
      </w:r>
    </w:p>
    <w:p w14:paraId="01F2C00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0 % de recuperación: río de color marrón, con agua contaminada y basura flotante.</w:t>
      </w:r>
    </w:p>
    <w:p w14:paraId="58BCD09C"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50 % de recuperación: agua de tonalidades verde azuladas que representa el proceso de limpieza.</w:t>
      </w:r>
    </w:p>
    <w:p w14:paraId="5E9BE03E"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100 % de recuperación: río de agua azul cristalina con peces rojos saltando.</w:t>
      </w:r>
    </w:p>
    <w:p w14:paraId="1CF686C3"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Estas imágenes representan visualmente el progreso ambiental y permiten reconocer los cambios en el ecosistema a medida que avanza la partida.</w:t>
      </w:r>
    </w:p>
    <w:p w14:paraId="389CB15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WCAG 2.2: el criterio 1.4.1, Uso del color, establece que el color no debe ser el único medio visual para transmitir información. Por ello, se recomienda complementar los cambios cromáticos con indicadores adicionales, como porcentajes, mensajes de progreso o símbolos diferenciados.</w:t>
      </w:r>
    </w:p>
    <w:p w14:paraId="6E4B5F64"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DUA: las imágenes proporcionan una representación visual del estado del río y de las consecuencias de las acciones del jugador.</w:t>
      </w:r>
    </w:p>
    <w:p w14:paraId="3D3A1E8C" w14:textId="77777777" w:rsidR="0003062C" w:rsidRPr="009D4CDD" w:rsidRDefault="0003062C" w:rsidP="0003062C">
      <w:pPr>
        <w:rPr>
          <w:rFonts w:ascii="Arial" w:hAnsi="Arial" w:cs="Arial"/>
          <w:kern w:val="0"/>
          <w:sz w:val="22"/>
          <w:szCs w:val="22"/>
          <w:lang w:eastAsia="es-CO"/>
        </w:rPr>
      </w:pPr>
      <w:r w:rsidRPr="009D4CDD">
        <w:rPr>
          <w:rFonts w:ascii="Arial" w:hAnsi="Arial" w:cs="Arial"/>
          <w:kern w:val="0"/>
          <w:sz w:val="22"/>
          <w:szCs w:val="22"/>
          <w:lang w:eastAsia="es-CO"/>
        </w:rPr>
        <w:t xml:space="preserve">Evidencia: </w:t>
      </w:r>
      <w:r>
        <w:rPr>
          <w:rFonts w:ascii="Arial" w:hAnsi="Arial" w:cs="Arial"/>
          <w:kern w:val="0"/>
          <w:sz w:val="22"/>
          <w:szCs w:val="22"/>
          <w:lang w:eastAsia="es-CO"/>
        </w:rPr>
        <w:t>grabación</w:t>
      </w:r>
    </w:p>
    <w:p w14:paraId="3B12B56F"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2.2. Niña guardiana ambiental</w:t>
      </w:r>
    </w:p>
    <w:p w14:paraId="57C7281B"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La niña guardiana ambiental es un personaje ilustrado que acompaña la experiencia educativa y representa la temática de protección del medioambiente.</w:t>
      </w:r>
    </w:p>
    <w:p w14:paraId="0E5A8A46"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lastRenderedPageBreak/>
        <w:t>Su función visual contribuye a contextualizar la actividad y puede servir como apoyo para presentar instrucciones o reforzar los objetivos del juego.</w:t>
      </w:r>
    </w:p>
    <w:p w14:paraId="42775993"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DUA: el personaje constituye un recurso visual que puede apoyar la comprensión y el interés por la actividad.</w:t>
      </w:r>
    </w:p>
    <w:p w14:paraId="77B43471"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Recomendación de accesibilidad: si el personaje transmite instrucciones mediante gestos, expresiones o animaciones, la información importante debe complementarse con texto u otras señales comprensibles.</w:t>
      </w:r>
    </w:p>
    <w:p w14:paraId="574CBD4C" w14:textId="60E151A8" w:rsidR="009D4CDD" w:rsidRPr="009D4CDD" w:rsidRDefault="0003062C" w:rsidP="009D4CDD">
      <w:pPr>
        <w:rPr>
          <w:rFonts w:ascii="Arial" w:hAnsi="Arial" w:cs="Arial"/>
          <w:kern w:val="0"/>
          <w:sz w:val="22"/>
          <w:szCs w:val="22"/>
          <w:lang w:eastAsia="es-CO"/>
        </w:rPr>
      </w:pPr>
      <w:r w:rsidRPr="009D4CDD">
        <w:rPr>
          <w:rFonts w:ascii="Arial" w:hAnsi="Arial" w:cs="Arial"/>
          <w:kern w:val="0"/>
          <w:sz w:val="22"/>
          <w:szCs w:val="22"/>
          <w:lang w:eastAsia="es-CO"/>
        </w:rPr>
        <w:t xml:space="preserve">Evidencia: </w:t>
      </w:r>
      <w:r>
        <w:rPr>
          <w:rFonts w:ascii="Arial" w:hAnsi="Arial" w:cs="Arial"/>
          <w:kern w:val="0"/>
          <w:sz w:val="22"/>
          <w:szCs w:val="22"/>
          <w:lang w:eastAsia="es-CO"/>
        </w:rPr>
        <w:t>grabación</w:t>
      </w:r>
    </w:p>
    <w:p w14:paraId="3606FC54"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2.3. Canecas con patrones, iconos y números</w:t>
      </w:r>
    </w:p>
    <w:p w14:paraId="450AF5B0"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El juego utiliza cuatro canecas de colores diferentes. Cada una incorpora un patrón gráfico, un símbolo y un número para facilitar la identificación de su categoría.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648"/>
        <w:gridCol w:w="1768"/>
        <w:gridCol w:w="1640"/>
        <w:gridCol w:w="843"/>
        <w:gridCol w:w="3105"/>
      </w:tblGrid>
      <w:tr w:rsidR="009D4CDD" w:rsidRPr="009D4CDD" w14:paraId="0FC3D7B8" w14:textId="77777777">
        <w:trPr>
          <w:tblHeader/>
          <w:tblCellSpacing w:w="15" w:type="dxa"/>
        </w:trPr>
        <w:tc>
          <w:tcPr>
            <w:tcW w:w="0" w:type="auto"/>
            <w:vAlign w:val="center"/>
            <w:hideMark/>
          </w:tcPr>
          <w:p w14:paraId="50802C3D"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Caneca</w:t>
            </w:r>
          </w:p>
        </w:tc>
        <w:tc>
          <w:tcPr>
            <w:tcW w:w="0" w:type="auto"/>
            <w:vAlign w:val="center"/>
            <w:hideMark/>
          </w:tcPr>
          <w:p w14:paraId="602E0F0D"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Color</w:t>
            </w:r>
          </w:p>
        </w:tc>
        <w:tc>
          <w:tcPr>
            <w:tcW w:w="0" w:type="auto"/>
            <w:vAlign w:val="center"/>
            <w:hideMark/>
          </w:tcPr>
          <w:p w14:paraId="62045F54"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Patrón</w:t>
            </w:r>
          </w:p>
        </w:tc>
        <w:tc>
          <w:tcPr>
            <w:tcW w:w="0" w:type="auto"/>
            <w:vAlign w:val="center"/>
            <w:hideMark/>
          </w:tcPr>
          <w:p w14:paraId="5CCA1226"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Símbolo</w:t>
            </w:r>
          </w:p>
        </w:tc>
        <w:tc>
          <w:tcPr>
            <w:tcW w:w="0" w:type="auto"/>
            <w:vAlign w:val="center"/>
            <w:hideMark/>
          </w:tcPr>
          <w:p w14:paraId="4F272694"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Número</w:t>
            </w:r>
          </w:p>
        </w:tc>
        <w:tc>
          <w:tcPr>
            <w:tcW w:w="0" w:type="auto"/>
            <w:vAlign w:val="center"/>
            <w:hideMark/>
          </w:tcPr>
          <w:p w14:paraId="2BFFCF63"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Categoría</w:t>
            </w:r>
          </w:p>
        </w:tc>
      </w:tr>
      <w:tr w:rsidR="009D4CDD" w:rsidRPr="009D4CDD" w14:paraId="17EF61C3" w14:textId="77777777">
        <w:trPr>
          <w:tblCellSpacing w:w="15" w:type="dxa"/>
        </w:trPr>
        <w:tc>
          <w:tcPr>
            <w:tcW w:w="0" w:type="auto"/>
            <w:vAlign w:val="center"/>
            <w:hideMark/>
          </w:tcPr>
          <w:p w14:paraId="67375DA5"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1</w:t>
            </w:r>
          </w:p>
        </w:tc>
        <w:tc>
          <w:tcPr>
            <w:tcW w:w="0" w:type="auto"/>
            <w:vAlign w:val="center"/>
            <w:hideMark/>
          </w:tcPr>
          <w:p w14:paraId="52107ECC"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Azul</w:t>
            </w:r>
          </w:p>
        </w:tc>
        <w:tc>
          <w:tcPr>
            <w:tcW w:w="0" w:type="auto"/>
            <w:vAlign w:val="center"/>
            <w:hideMark/>
          </w:tcPr>
          <w:p w14:paraId="5DDD3B9D"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Rayas diagonales</w:t>
            </w:r>
          </w:p>
        </w:tc>
        <w:tc>
          <w:tcPr>
            <w:tcW w:w="0" w:type="auto"/>
            <w:vAlign w:val="center"/>
            <w:hideMark/>
          </w:tcPr>
          <w:p w14:paraId="0B44D845"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Botella</w:t>
            </w:r>
          </w:p>
        </w:tc>
        <w:tc>
          <w:tcPr>
            <w:tcW w:w="0" w:type="auto"/>
            <w:vAlign w:val="center"/>
            <w:hideMark/>
          </w:tcPr>
          <w:p w14:paraId="6B29878F"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1</w:t>
            </w:r>
          </w:p>
        </w:tc>
        <w:tc>
          <w:tcPr>
            <w:tcW w:w="0" w:type="auto"/>
            <w:vAlign w:val="center"/>
            <w:hideMark/>
          </w:tcPr>
          <w:p w14:paraId="33427781"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Residuos aprovechables</w:t>
            </w:r>
          </w:p>
        </w:tc>
      </w:tr>
      <w:tr w:rsidR="009D4CDD" w:rsidRPr="009D4CDD" w14:paraId="4BB4CB52" w14:textId="77777777">
        <w:trPr>
          <w:tblCellSpacing w:w="15" w:type="dxa"/>
        </w:trPr>
        <w:tc>
          <w:tcPr>
            <w:tcW w:w="0" w:type="auto"/>
            <w:vAlign w:val="center"/>
            <w:hideMark/>
          </w:tcPr>
          <w:p w14:paraId="55863DC5"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2</w:t>
            </w:r>
          </w:p>
        </w:tc>
        <w:tc>
          <w:tcPr>
            <w:tcW w:w="0" w:type="auto"/>
            <w:vAlign w:val="center"/>
            <w:hideMark/>
          </w:tcPr>
          <w:p w14:paraId="19FC96CB"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Roja</w:t>
            </w:r>
          </w:p>
        </w:tc>
        <w:tc>
          <w:tcPr>
            <w:tcW w:w="0" w:type="auto"/>
            <w:vAlign w:val="center"/>
            <w:hideMark/>
          </w:tcPr>
          <w:p w14:paraId="0A31B6A0"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Rombos</w:t>
            </w:r>
          </w:p>
        </w:tc>
        <w:tc>
          <w:tcPr>
            <w:tcW w:w="0" w:type="auto"/>
            <w:vAlign w:val="center"/>
            <w:hideMark/>
          </w:tcPr>
          <w:p w14:paraId="3037D98A"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Triángulo de alerta</w:t>
            </w:r>
          </w:p>
        </w:tc>
        <w:tc>
          <w:tcPr>
            <w:tcW w:w="0" w:type="auto"/>
            <w:vAlign w:val="center"/>
            <w:hideMark/>
          </w:tcPr>
          <w:p w14:paraId="69A14C8F"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2</w:t>
            </w:r>
          </w:p>
        </w:tc>
        <w:tc>
          <w:tcPr>
            <w:tcW w:w="0" w:type="auto"/>
            <w:vAlign w:val="center"/>
            <w:hideMark/>
          </w:tcPr>
          <w:p w14:paraId="6C030A73"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Residuos especiales</w:t>
            </w:r>
          </w:p>
        </w:tc>
      </w:tr>
      <w:tr w:rsidR="009D4CDD" w:rsidRPr="009D4CDD" w14:paraId="6E7FA8F8" w14:textId="77777777">
        <w:trPr>
          <w:tblCellSpacing w:w="15" w:type="dxa"/>
        </w:trPr>
        <w:tc>
          <w:tcPr>
            <w:tcW w:w="0" w:type="auto"/>
            <w:vAlign w:val="center"/>
            <w:hideMark/>
          </w:tcPr>
          <w:p w14:paraId="71E8F834"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3</w:t>
            </w:r>
          </w:p>
        </w:tc>
        <w:tc>
          <w:tcPr>
            <w:tcW w:w="0" w:type="auto"/>
            <w:vAlign w:val="center"/>
            <w:hideMark/>
          </w:tcPr>
          <w:p w14:paraId="1186E6EB"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Verde</w:t>
            </w:r>
          </w:p>
        </w:tc>
        <w:tc>
          <w:tcPr>
            <w:tcW w:w="0" w:type="auto"/>
            <w:vAlign w:val="center"/>
            <w:hideMark/>
          </w:tcPr>
          <w:p w14:paraId="7F557AF1"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Puntos</w:t>
            </w:r>
          </w:p>
        </w:tc>
        <w:tc>
          <w:tcPr>
            <w:tcW w:w="0" w:type="auto"/>
            <w:vAlign w:val="center"/>
            <w:hideMark/>
          </w:tcPr>
          <w:p w14:paraId="0D5A6AE3"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Hoja</w:t>
            </w:r>
          </w:p>
        </w:tc>
        <w:tc>
          <w:tcPr>
            <w:tcW w:w="0" w:type="auto"/>
            <w:vAlign w:val="center"/>
            <w:hideMark/>
          </w:tcPr>
          <w:p w14:paraId="60C33957"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3</w:t>
            </w:r>
          </w:p>
        </w:tc>
        <w:tc>
          <w:tcPr>
            <w:tcW w:w="0" w:type="auto"/>
            <w:vAlign w:val="center"/>
            <w:hideMark/>
          </w:tcPr>
          <w:p w14:paraId="3C7BA54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Residuos orgánicos</w:t>
            </w:r>
          </w:p>
        </w:tc>
      </w:tr>
      <w:tr w:rsidR="009D4CDD" w:rsidRPr="009D4CDD" w14:paraId="5415538C" w14:textId="77777777">
        <w:trPr>
          <w:tblCellSpacing w:w="15" w:type="dxa"/>
        </w:trPr>
        <w:tc>
          <w:tcPr>
            <w:tcW w:w="0" w:type="auto"/>
            <w:vAlign w:val="center"/>
            <w:hideMark/>
          </w:tcPr>
          <w:p w14:paraId="328223B0"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4</w:t>
            </w:r>
          </w:p>
        </w:tc>
        <w:tc>
          <w:tcPr>
            <w:tcW w:w="0" w:type="auto"/>
            <w:vAlign w:val="center"/>
            <w:hideMark/>
          </w:tcPr>
          <w:p w14:paraId="459FD880"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Gris</w:t>
            </w:r>
          </w:p>
        </w:tc>
        <w:tc>
          <w:tcPr>
            <w:tcW w:w="0" w:type="auto"/>
            <w:vAlign w:val="center"/>
            <w:hideMark/>
          </w:tcPr>
          <w:p w14:paraId="20417DDE"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Líneas horizontales</w:t>
            </w:r>
          </w:p>
        </w:tc>
        <w:tc>
          <w:tcPr>
            <w:tcW w:w="0" w:type="auto"/>
            <w:vAlign w:val="center"/>
            <w:hideMark/>
          </w:tcPr>
          <w:p w14:paraId="0B867F8C"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X</w:t>
            </w:r>
          </w:p>
        </w:tc>
        <w:tc>
          <w:tcPr>
            <w:tcW w:w="0" w:type="auto"/>
            <w:vAlign w:val="center"/>
            <w:hideMark/>
          </w:tcPr>
          <w:p w14:paraId="41D7E5CA"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4</w:t>
            </w:r>
          </w:p>
        </w:tc>
        <w:tc>
          <w:tcPr>
            <w:tcW w:w="0" w:type="auto"/>
            <w:vAlign w:val="center"/>
            <w:hideMark/>
          </w:tcPr>
          <w:p w14:paraId="12975E9C"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Residuos no aprovechables o trampa</w:t>
            </w:r>
          </w:p>
        </w:tc>
      </w:tr>
    </w:tbl>
    <w:p w14:paraId="513309A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La combinación de colores, patrones, símbolos y números constituye una medida de accesibilidad visual, ya que permite identificar las categorías mediante diferentes señales y reduce la dependencia exclusiva del color.</w:t>
      </w:r>
    </w:p>
    <w:p w14:paraId="2E057BA5"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WCAG 2.2: el criterio 1.4.1, Uso del color, respalda la necesidad de utilizar señales adicionales cuando el color transmite información.</w:t>
      </w:r>
    </w:p>
    <w:p w14:paraId="23654315"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DUA: las categorías se presentan mediante diferentes recursos visuales que pueden facilitar su reconocimiento y comprensión.</w:t>
      </w:r>
    </w:p>
    <w:p w14:paraId="360BA759" w14:textId="29DA0B10" w:rsidR="00010F1A" w:rsidRPr="009D4CDD" w:rsidRDefault="00010F1A" w:rsidP="00010F1A">
      <w:pPr>
        <w:rPr>
          <w:rFonts w:ascii="Arial" w:hAnsi="Arial" w:cs="Arial"/>
          <w:kern w:val="0"/>
          <w:sz w:val="22"/>
          <w:szCs w:val="22"/>
          <w:lang w:eastAsia="es-CO"/>
        </w:rPr>
      </w:pPr>
      <w:r>
        <w:rPr>
          <w:rFonts w:ascii="Arial" w:hAnsi="Arial" w:cs="Arial"/>
          <w:kern w:val="0"/>
          <w:sz w:val="22"/>
          <w:szCs w:val="22"/>
          <w:lang w:eastAsia="es-CO"/>
        </w:rPr>
        <w:t>Las ilustraciones de las canecas g</w:t>
      </w:r>
      <w:r w:rsidRPr="009D4CDD">
        <w:rPr>
          <w:rFonts w:ascii="Arial" w:hAnsi="Arial" w:cs="Arial"/>
          <w:kern w:val="0"/>
          <w:sz w:val="22"/>
          <w:szCs w:val="22"/>
          <w:lang w:eastAsia="es-CO"/>
        </w:rPr>
        <w:t>arantiza</w:t>
      </w:r>
      <w:r>
        <w:rPr>
          <w:rFonts w:ascii="Arial" w:hAnsi="Arial" w:cs="Arial"/>
          <w:kern w:val="0"/>
          <w:sz w:val="22"/>
          <w:szCs w:val="22"/>
          <w:lang w:eastAsia="es-CO"/>
        </w:rPr>
        <w:t>n</w:t>
      </w:r>
      <w:r w:rsidRPr="009D4CDD">
        <w:rPr>
          <w:rFonts w:ascii="Arial" w:hAnsi="Arial" w:cs="Arial"/>
          <w:kern w:val="0"/>
          <w:sz w:val="22"/>
          <w:szCs w:val="22"/>
          <w:lang w:eastAsia="es-CO"/>
        </w:rPr>
        <w:t xml:space="preserve"> que los patrones y símbolos sean claramente visibles</w:t>
      </w:r>
      <w:r>
        <w:rPr>
          <w:rFonts w:ascii="Arial" w:hAnsi="Arial" w:cs="Arial"/>
          <w:kern w:val="0"/>
          <w:sz w:val="22"/>
          <w:szCs w:val="22"/>
          <w:lang w:eastAsia="es-CO"/>
        </w:rPr>
        <w:t>, m</w:t>
      </w:r>
      <w:r w:rsidRPr="009D4CDD">
        <w:rPr>
          <w:rFonts w:ascii="Arial" w:hAnsi="Arial" w:cs="Arial"/>
          <w:kern w:val="0"/>
          <w:sz w:val="22"/>
          <w:szCs w:val="22"/>
          <w:lang w:eastAsia="es-CO"/>
        </w:rPr>
        <w:t>ant</w:t>
      </w:r>
      <w:r>
        <w:rPr>
          <w:rFonts w:ascii="Arial" w:hAnsi="Arial" w:cs="Arial"/>
          <w:kern w:val="0"/>
          <w:sz w:val="22"/>
          <w:szCs w:val="22"/>
          <w:lang w:eastAsia="es-CO"/>
        </w:rPr>
        <w:t>i</w:t>
      </w:r>
      <w:r w:rsidRPr="009D4CDD">
        <w:rPr>
          <w:rFonts w:ascii="Arial" w:hAnsi="Arial" w:cs="Arial"/>
          <w:kern w:val="0"/>
          <w:sz w:val="22"/>
          <w:szCs w:val="22"/>
          <w:lang w:eastAsia="es-CO"/>
        </w:rPr>
        <w:t>en</w:t>
      </w:r>
      <w:r>
        <w:rPr>
          <w:rFonts w:ascii="Arial" w:hAnsi="Arial" w:cs="Arial"/>
          <w:kern w:val="0"/>
          <w:sz w:val="22"/>
          <w:szCs w:val="22"/>
          <w:lang w:eastAsia="es-CO"/>
        </w:rPr>
        <w:t>en</w:t>
      </w:r>
      <w:r w:rsidRPr="009D4CDD">
        <w:rPr>
          <w:rFonts w:ascii="Arial" w:hAnsi="Arial" w:cs="Arial"/>
          <w:kern w:val="0"/>
          <w:sz w:val="22"/>
          <w:szCs w:val="22"/>
          <w:lang w:eastAsia="es-CO"/>
        </w:rPr>
        <w:t xml:space="preserve"> un contraste adecuado entre los iconos y las superficies donde aparecen</w:t>
      </w:r>
      <w:r>
        <w:rPr>
          <w:rFonts w:ascii="Arial" w:hAnsi="Arial" w:cs="Arial"/>
          <w:kern w:val="0"/>
          <w:sz w:val="22"/>
          <w:szCs w:val="22"/>
          <w:lang w:eastAsia="es-CO"/>
        </w:rPr>
        <w:t>, e</w:t>
      </w:r>
      <w:r w:rsidRPr="009D4CDD">
        <w:rPr>
          <w:rFonts w:ascii="Arial" w:hAnsi="Arial" w:cs="Arial"/>
          <w:kern w:val="0"/>
          <w:sz w:val="22"/>
          <w:szCs w:val="22"/>
          <w:lang w:eastAsia="es-CO"/>
        </w:rPr>
        <w:t>vita</w:t>
      </w:r>
      <w:r>
        <w:rPr>
          <w:rFonts w:ascii="Arial" w:hAnsi="Arial" w:cs="Arial"/>
          <w:kern w:val="0"/>
          <w:sz w:val="22"/>
          <w:szCs w:val="22"/>
          <w:lang w:eastAsia="es-CO"/>
        </w:rPr>
        <w:t>n</w:t>
      </w:r>
      <w:r w:rsidRPr="009D4CDD">
        <w:rPr>
          <w:rFonts w:ascii="Arial" w:hAnsi="Arial" w:cs="Arial"/>
          <w:kern w:val="0"/>
          <w:sz w:val="22"/>
          <w:szCs w:val="22"/>
          <w:lang w:eastAsia="es-CO"/>
        </w:rPr>
        <w:t xml:space="preserve"> que la textura decorativa interfiera con la identificación de los símbolos</w:t>
      </w:r>
      <w:r>
        <w:rPr>
          <w:rFonts w:ascii="Arial" w:hAnsi="Arial" w:cs="Arial"/>
          <w:kern w:val="0"/>
          <w:sz w:val="22"/>
          <w:szCs w:val="22"/>
          <w:lang w:eastAsia="es-CO"/>
        </w:rPr>
        <w:t xml:space="preserve"> y </w:t>
      </w:r>
      <w:r w:rsidRPr="009D4CDD">
        <w:rPr>
          <w:rFonts w:ascii="Arial" w:hAnsi="Arial" w:cs="Arial"/>
          <w:kern w:val="0"/>
          <w:sz w:val="22"/>
          <w:szCs w:val="22"/>
          <w:lang w:eastAsia="es-CO"/>
        </w:rPr>
        <w:t>las categorías puedan reconocerse sin depender de sus colores.</w:t>
      </w:r>
    </w:p>
    <w:p w14:paraId="7ECB43CF" w14:textId="6BB966D3"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 xml:space="preserve">Evidencia: </w:t>
      </w:r>
      <w:r w:rsidR="0003062C">
        <w:rPr>
          <w:rFonts w:ascii="Arial" w:hAnsi="Arial" w:cs="Arial"/>
          <w:kern w:val="0"/>
          <w:sz w:val="22"/>
          <w:szCs w:val="22"/>
          <w:lang w:eastAsia="es-CO"/>
        </w:rPr>
        <w:t>grabación</w:t>
      </w:r>
    </w:p>
    <w:p w14:paraId="1FB9EAE0"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2.4. Brillo dorado de respuesta correcta</w:t>
      </w:r>
    </w:p>
    <w:p w14:paraId="3A745E4E"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lastRenderedPageBreak/>
        <w:t>El efecto de respuesta correcta consiste en una imagen PNG transparente con un resplandor amarillo difuminado, colocada detrás de la caneca correspondiente cuando el jugador acierta.</w:t>
      </w:r>
    </w:p>
    <w:p w14:paraId="1D52A264"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El resplandor destaca visualmente la caneca seleccionada y refuerza la retroalimentación de la interacción.</w:t>
      </w:r>
    </w:p>
    <w:p w14:paraId="062C97D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DUA: proporciona una señal visual inmediata que puede ayudar al jugador a interpretar el resultado de su acción.</w:t>
      </w:r>
    </w:p>
    <w:p w14:paraId="77C8FD5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WCAG 2.2: el efecto puede complementar otras señales visuales, pero no garantiza por sí solo el cumplimiento de ningún criterio. Para mejorar la accesibilidad, debe acompañarse de información comprensible, como el mensaje «¡Clasificación correcta!».</w:t>
      </w:r>
    </w:p>
    <w:p w14:paraId="74AB2F2B" w14:textId="388AA379" w:rsidR="009D4CDD" w:rsidRPr="009D4CDD" w:rsidRDefault="0003062C" w:rsidP="009D4CDD">
      <w:pPr>
        <w:rPr>
          <w:rFonts w:ascii="Arial" w:hAnsi="Arial" w:cs="Arial"/>
          <w:kern w:val="0"/>
          <w:sz w:val="22"/>
          <w:szCs w:val="22"/>
          <w:lang w:eastAsia="es-CO"/>
        </w:rPr>
      </w:pPr>
      <w:r w:rsidRPr="0003062C">
        <w:rPr>
          <w:rFonts w:ascii="Arial" w:hAnsi="Arial" w:cs="Arial"/>
          <w:kern w:val="0"/>
          <w:sz w:val="22"/>
          <w:szCs w:val="22"/>
          <w:lang w:eastAsia="es-CO"/>
        </w:rPr>
        <w:t>Evidencia: grabación</w:t>
      </w:r>
      <w:r w:rsidR="009D4CDD" w:rsidRPr="009D4CDD">
        <w:rPr>
          <w:rFonts w:ascii="Arial" w:hAnsi="Arial" w:cs="Arial"/>
          <w:kern w:val="0"/>
          <w:sz w:val="22"/>
          <w:szCs w:val="22"/>
          <w:lang w:eastAsia="es-CO"/>
        </w:rPr>
        <w:t>.</w:t>
      </w:r>
    </w:p>
    <w:p w14:paraId="663D728A"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2.5. Elementos gráficos del HUD</w:t>
      </w:r>
    </w:p>
    <w:p w14:paraId="5E6003F4"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La barra superior contiene tres elementos gráficos:</w:t>
      </w:r>
    </w:p>
    <w:p w14:paraId="24849018"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Logo de Río Limpio Adventure: identifica el videojuego.</w:t>
      </w:r>
    </w:p>
    <w:p w14:paraId="0C98A424" w14:textId="60C1C399"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 xml:space="preserve">Pez </w:t>
      </w:r>
      <w:r w:rsidR="0003062C">
        <w:rPr>
          <w:rFonts w:ascii="Arial" w:hAnsi="Arial" w:cs="Arial"/>
          <w:kern w:val="0"/>
          <w:sz w:val="22"/>
          <w:szCs w:val="22"/>
          <w:lang w:eastAsia="es-CO"/>
        </w:rPr>
        <w:t>cafe</w:t>
      </w:r>
      <w:r w:rsidRPr="009D4CDD">
        <w:rPr>
          <w:rFonts w:ascii="Arial" w:hAnsi="Arial" w:cs="Arial"/>
          <w:kern w:val="0"/>
          <w:sz w:val="22"/>
          <w:szCs w:val="22"/>
          <w:lang w:eastAsia="es-CO"/>
        </w:rPr>
        <w:t>: representa las tres vidas del jugador.</w:t>
      </w:r>
    </w:p>
    <w:p w14:paraId="56DDAE20"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Globo de texto «¡Clasificación correcta!»: comunica la confirmación de una respuesta acertada.</w:t>
      </w:r>
    </w:p>
    <w:p w14:paraId="116DF28C"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Estos recursos contribuyen a la identificación de la aplicación, la comprensión del estado de la partida y la interpretación de los resultados de las acciones.</w:t>
      </w:r>
    </w:p>
    <w:p w14:paraId="41FE8E1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DUA: la interfaz combina imágenes y texto para comunicar información relevante durante la actividad.</w:t>
      </w:r>
    </w:p>
    <w:p w14:paraId="5D9D1EA1"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WCAG 2.2: los criterios 1.4.1, Uso del color, y 1.4.3, Contraste mínimo, pueden utilizarse para evaluar si los elementos comunican la información sin depender exclusivamente del color y si el texto presenta suficiente contraste.</w:t>
      </w:r>
    </w:p>
    <w:p w14:paraId="2A26056F" w14:textId="6428D88A" w:rsidR="009D4CDD" w:rsidRPr="009D4CDD" w:rsidRDefault="0003062C" w:rsidP="009D4CDD">
      <w:pPr>
        <w:rPr>
          <w:rFonts w:ascii="Arial" w:hAnsi="Arial" w:cs="Arial"/>
          <w:kern w:val="0"/>
          <w:sz w:val="22"/>
          <w:szCs w:val="22"/>
          <w:lang w:eastAsia="es-CO"/>
        </w:rPr>
      </w:pPr>
      <w:r>
        <w:rPr>
          <w:rFonts w:ascii="Arial" w:hAnsi="Arial" w:cs="Arial"/>
          <w:kern w:val="0"/>
          <w:sz w:val="22"/>
          <w:szCs w:val="22"/>
          <w:lang w:eastAsia="es-CO"/>
        </w:rPr>
        <w:t>El</w:t>
      </w:r>
      <w:r w:rsidR="009D4CDD" w:rsidRPr="009D4CDD">
        <w:rPr>
          <w:rFonts w:ascii="Arial" w:hAnsi="Arial" w:cs="Arial"/>
          <w:kern w:val="0"/>
          <w:sz w:val="22"/>
          <w:szCs w:val="22"/>
          <w:lang w:eastAsia="es-CO"/>
        </w:rPr>
        <w:t xml:space="preserve"> texto </w:t>
      </w:r>
      <w:r>
        <w:rPr>
          <w:rFonts w:ascii="Arial" w:hAnsi="Arial" w:cs="Arial"/>
          <w:kern w:val="0"/>
          <w:sz w:val="22"/>
          <w:szCs w:val="22"/>
          <w:lang w:eastAsia="es-CO"/>
        </w:rPr>
        <w:t>es</w:t>
      </w:r>
      <w:r w:rsidR="009D4CDD" w:rsidRPr="009D4CDD">
        <w:rPr>
          <w:rFonts w:ascii="Arial" w:hAnsi="Arial" w:cs="Arial"/>
          <w:kern w:val="0"/>
          <w:sz w:val="22"/>
          <w:szCs w:val="22"/>
          <w:lang w:eastAsia="es-CO"/>
        </w:rPr>
        <w:t xml:space="preserve"> legible sobre el fondo.</w:t>
      </w:r>
    </w:p>
    <w:p w14:paraId="364F5D60" w14:textId="29D6C02E" w:rsidR="009D4CDD" w:rsidRDefault="0003062C" w:rsidP="009D4CDD">
      <w:pPr>
        <w:rPr>
          <w:rFonts w:ascii="Arial" w:hAnsi="Arial" w:cs="Arial"/>
          <w:kern w:val="0"/>
          <w:sz w:val="22"/>
          <w:szCs w:val="22"/>
          <w:lang w:eastAsia="es-CO"/>
        </w:rPr>
      </w:pPr>
      <w:r>
        <w:rPr>
          <w:rFonts w:ascii="Arial" w:hAnsi="Arial" w:cs="Arial"/>
          <w:kern w:val="0"/>
          <w:sz w:val="22"/>
          <w:szCs w:val="22"/>
          <w:lang w:eastAsia="es-CO"/>
        </w:rPr>
        <w:t>Los</w:t>
      </w:r>
      <w:r w:rsidR="009D4CDD" w:rsidRPr="009D4CDD">
        <w:rPr>
          <w:rFonts w:ascii="Arial" w:hAnsi="Arial" w:cs="Arial"/>
          <w:kern w:val="0"/>
          <w:sz w:val="22"/>
          <w:szCs w:val="22"/>
          <w:lang w:eastAsia="es-CO"/>
        </w:rPr>
        <w:t xml:space="preserve"> mensajes importantes pued</w:t>
      </w:r>
      <w:r>
        <w:rPr>
          <w:rFonts w:ascii="Arial" w:hAnsi="Arial" w:cs="Arial"/>
          <w:kern w:val="0"/>
          <w:sz w:val="22"/>
          <w:szCs w:val="22"/>
          <w:lang w:eastAsia="es-CO"/>
        </w:rPr>
        <w:t>e</w:t>
      </w:r>
      <w:r w:rsidR="009D4CDD" w:rsidRPr="009D4CDD">
        <w:rPr>
          <w:rFonts w:ascii="Arial" w:hAnsi="Arial" w:cs="Arial"/>
          <w:kern w:val="0"/>
          <w:sz w:val="22"/>
          <w:szCs w:val="22"/>
          <w:lang w:eastAsia="es-CO"/>
        </w:rPr>
        <w:t>n leerse durante la partida.</w:t>
      </w:r>
    </w:p>
    <w:p w14:paraId="6B72272F" w14:textId="5A12F2B2" w:rsidR="0003062C" w:rsidRPr="009D4CDD" w:rsidRDefault="0003062C" w:rsidP="009D4CDD">
      <w:pPr>
        <w:rPr>
          <w:rFonts w:ascii="Arial" w:hAnsi="Arial" w:cs="Arial"/>
          <w:kern w:val="0"/>
          <w:sz w:val="22"/>
          <w:szCs w:val="22"/>
          <w:lang w:eastAsia="es-CO"/>
        </w:rPr>
      </w:pPr>
      <w:r w:rsidRPr="0003062C">
        <w:rPr>
          <w:rFonts w:ascii="Arial" w:hAnsi="Arial" w:cs="Arial"/>
          <w:kern w:val="0"/>
          <w:sz w:val="22"/>
          <w:szCs w:val="22"/>
          <w:lang w:eastAsia="es-CO"/>
        </w:rPr>
        <w:t>Evidencia: grabación</w:t>
      </w:r>
    </w:p>
    <w:p w14:paraId="1DBDFC33"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3. Accesibilidad de las interacciones</w:t>
      </w:r>
    </w:p>
    <w:p w14:paraId="1C80FF94"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El minijuego contempla tres modalidades de interacción para clasificar los residuos.</w:t>
      </w:r>
    </w:p>
    <w:p w14:paraId="1BD99C72"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3.1. Arrastrar y soltar (Drag &amp; Drop)</w:t>
      </w:r>
    </w:p>
    <w:p w14:paraId="0653866D"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El jugador arrastra el residuo activo hasta la caneca correspondiente.</w:t>
      </w:r>
    </w:p>
    <w:p w14:paraId="4D58C23D"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lastRenderedPageBreak/>
        <w:t>Esta modalidad permite manipular directamente los elementos gráficos y establecer una relación visual entre el residuo y su categoría.</w:t>
      </w:r>
    </w:p>
    <w:p w14:paraId="6120724E"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WCAG 2.2: el criterio 2.5.7, Movimientos de arrastre, establece requisitos para ofrecer alternativas a las funcionalidades que requieren arrastrar elementos.</w:t>
      </w:r>
    </w:p>
    <w:p w14:paraId="34CDF380"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DUA: permite interactuar directamente con los objetos de la actividad.</w:t>
      </w:r>
    </w:p>
    <w:p w14:paraId="5C03552F" w14:textId="03520ABF"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Evidencia: grabación que muestre el arrastre de un residuo hasta una caneca.</w:t>
      </w:r>
    </w:p>
    <w:p w14:paraId="06E7C432"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3.2. Selección mediante clic (Click-to-Click)</w:t>
      </w:r>
    </w:p>
    <w:p w14:paraId="045E56A8"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El jugador hace clic sobre el residuo para seleccionarlo y, posteriormente, hace clic sobre la caneca de destino.</w:t>
      </w:r>
    </w:p>
    <w:p w14:paraId="322F301E"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Esta modalidad evita tener que mantener presionado el botón del ratón mientras se desplaza el elemento.</w:t>
      </w:r>
    </w:p>
    <w:p w14:paraId="5755B481"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WCAG 2.2: puede proporcionar una alternativa a los movimientos de arrastre si permite completar las mismas tareas mediante acciones que no requieren arrastrar.</w:t>
      </w:r>
    </w:p>
    <w:p w14:paraId="0DFAAF41"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DUA: ofrece una forma alternativa de interacción.</w:t>
      </w:r>
    </w:p>
    <w:p w14:paraId="219E165F"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3.3. Controles mediante teclado</w:t>
      </w:r>
    </w:p>
    <w:p w14:paraId="48CD073D"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El juego incorpora los siguientes controles: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4930"/>
      </w:tblGrid>
      <w:tr w:rsidR="009D4CDD" w:rsidRPr="009D4CDD" w14:paraId="37181E06" w14:textId="77777777">
        <w:trPr>
          <w:tblHeader/>
          <w:tblCellSpacing w:w="15" w:type="dxa"/>
        </w:trPr>
        <w:tc>
          <w:tcPr>
            <w:tcW w:w="0" w:type="auto"/>
            <w:vAlign w:val="center"/>
            <w:hideMark/>
          </w:tcPr>
          <w:p w14:paraId="7C9B88FF"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Tecla</w:t>
            </w:r>
          </w:p>
        </w:tc>
        <w:tc>
          <w:tcPr>
            <w:tcW w:w="0" w:type="auto"/>
            <w:vAlign w:val="center"/>
            <w:hideMark/>
          </w:tcPr>
          <w:p w14:paraId="75E396AB"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Función prevista</w:t>
            </w:r>
          </w:p>
        </w:tc>
      </w:tr>
      <w:tr w:rsidR="009D4CDD" w:rsidRPr="009D4CDD" w14:paraId="04D4D44E" w14:textId="77777777">
        <w:trPr>
          <w:tblCellSpacing w:w="15" w:type="dxa"/>
        </w:trPr>
        <w:tc>
          <w:tcPr>
            <w:tcW w:w="0" w:type="auto"/>
            <w:vAlign w:val="center"/>
            <w:hideMark/>
          </w:tcPr>
          <w:p w14:paraId="3344A86B"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1</w:t>
            </w:r>
          </w:p>
        </w:tc>
        <w:tc>
          <w:tcPr>
            <w:tcW w:w="0" w:type="auto"/>
            <w:vAlign w:val="center"/>
            <w:hideMark/>
          </w:tcPr>
          <w:p w14:paraId="6BFDDB59"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Caneca azul: residuos aprovechables</w:t>
            </w:r>
          </w:p>
        </w:tc>
      </w:tr>
      <w:tr w:rsidR="009D4CDD" w:rsidRPr="009D4CDD" w14:paraId="554A1A88" w14:textId="77777777">
        <w:trPr>
          <w:tblCellSpacing w:w="15" w:type="dxa"/>
        </w:trPr>
        <w:tc>
          <w:tcPr>
            <w:tcW w:w="0" w:type="auto"/>
            <w:vAlign w:val="center"/>
            <w:hideMark/>
          </w:tcPr>
          <w:p w14:paraId="73E1684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2</w:t>
            </w:r>
          </w:p>
        </w:tc>
        <w:tc>
          <w:tcPr>
            <w:tcW w:w="0" w:type="auto"/>
            <w:vAlign w:val="center"/>
            <w:hideMark/>
          </w:tcPr>
          <w:p w14:paraId="2969A776"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Caneca roja: residuos especiales</w:t>
            </w:r>
          </w:p>
        </w:tc>
      </w:tr>
      <w:tr w:rsidR="009D4CDD" w:rsidRPr="009D4CDD" w14:paraId="3F0B6202" w14:textId="77777777">
        <w:trPr>
          <w:tblCellSpacing w:w="15" w:type="dxa"/>
        </w:trPr>
        <w:tc>
          <w:tcPr>
            <w:tcW w:w="0" w:type="auto"/>
            <w:vAlign w:val="center"/>
            <w:hideMark/>
          </w:tcPr>
          <w:p w14:paraId="16E8A3E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3</w:t>
            </w:r>
          </w:p>
        </w:tc>
        <w:tc>
          <w:tcPr>
            <w:tcW w:w="0" w:type="auto"/>
            <w:vAlign w:val="center"/>
            <w:hideMark/>
          </w:tcPr>
          <w:p w14:paraId="75E3CBB9"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Caneca verde: residuos orgánicos</w:t>
            </w:r>
          </w:p>
        </w:tc>
      </w:tr>
      <w:tr w:rsidR="009D4CDD" w:rsidRPr="009D4CDD" w14:paraId="57E1F106" w14:textId="77777777">
        <w:trPr>
          <w:tblCellSpacing w:w="15" w:type="dxa"/>
        </w:trPr>
        <w:tc>
          <w:tcPr>
            <w:tcW w:w="0" w:type="auto"/>
            <w:vAlign w:val="center"/>
            <w:hideMark/>
          </w:tcPr>
          <w:p w14:paraId="32BBAC7C"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4</w:t>
            </w:r>
          </w:p>
        </w:tc>
        <w:tc>
          <w:tcPr>
            <w:tcW w:w="0" w:type="auto"/>
            <w:vAlign w:val="center"/>
            <w:hideMark/>
          </w:tcPr>
          <w:p w14:paraId="64D4EF01"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Caneca gris: residuos no aprovechables o trampa</w:t>
            </w:r>
          </w:p>
        </w:tc>
      </w:tr>
      <w:tr w:rsidR="009D4CDD" w:rsidRPr="009D4CDD" w14:paraId="1F17AC52" w14:textId="77777777">
        <w:trPr>
          <w:tblCellSpacing w:w="15" w:type="dxa"/>
        </w:trPr>
        <w:tc>
          <w:tcPr>
            <w:tcW w:w="0" w:type="auto"/>
            <w:vAlign w:val="center"/>
            <w:hideMark/>
          </w:tcPr>
          <w:p w14:paraId="11E85018"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w:t>
            </w:r>
          </w:p>
        </w:tc>
        <w:tc>
          <w:tcPr>
            <w:tcW w:w="0" w:type="auto"/>
            <w:vAlign w:val="center"/>
            <w:hideMark/>
          </w:tcPr>
          <w:p w14:paraId="18556530"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Reiniciar la partida</w:t>
            </w:r>
          </w:p>
        </w:tc>
      </w:tr>
    </w:tbl>
    <w:p w14:paraId="6A3A7D02"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Los controles de teclado pueden reducir la dependencia del ratón y facilitar la participación de personas con dificultades para realizar movimientos precisos.</w:t>
      </w:r>
    </w:p>
    <w:p w14:paraId="60DAB0E8"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WCAG 2.2: el criterio 2.1.1, Teclado, establece que la funcionalidad debe poder operarse mediante teclado, salvo las excepciones previstas por la pauta.</w:t>
      </w:r>
    </w:p>
    <w:p w14:paraId="40C1A5CC"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Relación con DUA: ofrece una modalidad alternativa de interacción.</w:t>
      </w:r>
    </w:p>
    <w:p w14:paraId="60026411"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Evidencia: grabación que demuestre el funcionamiento de las teclas durante la partida.</w:t>
      </w:r>
    </w:p>
    <w:p w14:paraId="56C5BBAA"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lastRenderedPageBreak/>
        <w:t>Verificación necesaria: comprobar que los controles permitan completar las acciones necesarias del juego, que la selección sea perceptible y que la clasificación no dependa de utilizar el ratón.</w:t>
      </w:r>
    </w:p>
    <w:p w14:paraId="7ABD3A47" w14:textId="77777777" w:rsidR="009D4CDD" w:rsidRPr="009E07B7" w:rsidRDefault="009D4CDD" w:rsidP="009D4CDD">
      <w:pPr>
        <w:rPr>
          <w:rFonts w:ascii="Arial" w:hAnsi="Arial" w:cs="Arial"/>
          <w:b/>
          <w:bCs/>
          <w:kern w:val="0"/>
          <w:sz w:val="22"/>
          <w:szCs w:val="22"/>
          <w:lang w:eastAsia="es-CO"/>
        </w:rPr>
      </w:pPr>
      <w:r w:rsidRPr="009E07B7">
        <w:rPr>
          <w:rFonts w:ascii="Arial" w:hAnsi="Arial" w:cs="Arial"/>
          <w:b/>
          <w:bCs/>
          <w:kern w:val="0"/>
          <w:sz w:val="22"/>
          <w:szCs w:val="22"/>
          <w:lang w:eastAsia="es-CO"/>
        </w:rPr>
        <w:t>4. Accesibilidad del audio</w:t>
      </w:r>
    </w:p>
    <w:p w14:paraId="69DB26CE" w14:textId="77777777" w:rsidR="00AB298C" w:rsidRPr="00AB298C" w:rsidRDefault="00AB298C" w:rsidP="00AB298C">
      <w:pPr>
        <w:rPr>
          <w:rFonts w:ascii="Arial" w:hAnsi="Arial" w:cs="Arial"/>
          <w:kern w:val="0"/>
          <w:sz w:val="22"/>
          <w:szCs w:val="22"/>
          <w:lang w:eastAsia="es-CO"/>
        </w:rPr>
      </w:pPr>
      <w:r w:rsidRPr="00AB298C">
        <w:rPr>
          <w:rFonts w:ascii="Arial" w:hAnsi="Arial" w:cs="Arial"/>
          <w:kern w:val="0"/>
          <w:sz w:val="22"/>
          <w:szCs w:val="22"/>
          <w:lang w:eastAsia="es-CO"/>
        </w:rPr>
        <w:t xml:space="preserve">El minijuego </w:t>
      </w:r>
      <w:r w:rsidRPr="00AB298C">
        <w:rPr>
          <w:rFonts w:ascii="Arial" w:hAnsi="Arial" w:cs="Arial"/>
          <w:i/>
          <w:iCs/>
          <w:kern w:val="0"/>
          <w:sz w:val="22"/>
          <w:szCs w:val="22"/>
          <w:lang w:eastAsia="es-CO"/>
        </w:rPr>
        <w:t>Río Limpio Adventure</w:t>
      </w:r>
      <w:r w:rsidRPr="00AB298C">
        <w:rPr>
          <w:rFonts w:ascii="Arial" w:hAnsi="Arial" w:cs="Arial"/>
          <w:kern w:val="0"/>
          <w:sz w:val="22"/>
          <w:szCs w:val="22"/>
          <w:lang w:eastAsia="es-CO"/>
        </w:rPr>
        <w:t xml:space="preserve"> incorpora cuatro recursos sonoros que complementan la experiencia de juego: un efecto sonoro de acierto, un sonido de error, música ambiental y un sonido de clic para la selección de elementos. Estos recursos proporcionan retroalimentación auditiva, acompañan la interacción y contribuyen a la ambientación de la experiencia educativa.</w:t>
      </w:r>
    </w:p>
    <w:p w14:paraId="176C8F12" w14:textId="77777777" w:rsidR="00AB298C" w:rsidRPr="00AB298C" w:rsidRDefault="00AB298C" w:rsidP="00AB298C">
      <w:pPr>
        <w:rPr>
          <w:rFonts w:ascii="Arial" w:hAnsi="Arial" w:cs="Arial"/>
          <w:b/>
          <w:bCs/>
          <w:kern w:val="0"/>
          <w:sz w:val="22"/>
          <w:szCs w:val="22"/>
          <w:lang w:eastAsia="es-CO"/>
        </w:rPr>
      </w:pPr>
      <w:r w:rsidRPr="00AB298C">
        <w:rPr>
          <w:rFonts w:ascii="Arial" w:hAnsi="Arial" w:cs="Arial"/>
          <w:b/>
          <w:bCs/>
          <w:kern w:val="0"/>
          <w:sz w:val="22"/>
          <w:szCs w:val="22"/>
          <w:lang w:eastAsia="es-CO"/>
        </w:rPr>
        <w:t>4.1. Efecto sonoro de acierto</w:t>
      </w:r>
    </w:p>
    <w:p w14:paraId="3AB95E09" w14:textId="77777777" w:rsidR="00AB298C" w:rsidRPr="00AB298C" w:rsidRDefault="00AB298C" w:rsidP="00AB298C">
      <w:pPr>
        <w:rPr>
          <w:rFonts w:ascii="Arial" w:hAnsi="Arial" w:cs="Arial"/>
          <w:kern w:val="0"/>
          <w:sz w:val="22"/>
          <w:szCs w:val="22"/>
          <w:lang w:eastAsia="es-CO"/>
        </w:rPr>
      </w:pPr>
      <w:r w:rsidRPr="00AB298C">
        <w:rPr>
          <w:rFonts w:ascii="Arial" w:hAnsi="Arial" w:cs="Arial"/>
          <w:kern w:val="0"/>
          <w:sz w:val="22"/>
          <w:szCs w:val="22"/>
          <w:lang w:eastAsia="es-CO"/>
        </w:rPr>
        <w:t>Este sonido se reproduce cuando el jugador clasifica correctamente un residuo. Su función es confirmar el resultado de la acción y reforzar el reconocimiento de una respuesta correcta.</w:t>
      </w:r>
    </w:p>
    <w:p w14:paraId="74595775"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Medida de accesibilidad:</w:t>
      </w:r>
      <w:r w:rsidRPr="00AB298C">
        <w:rPr>
          <w:rFonts w:ascii="Arial" w:hAnsi="Arial" w:cs="Arial"/>
          <w:kern w:val="0"/>
          <w:sz w:val="22"/>
          <w:szCs w:val="22"/>
          <w:lang w:eastAsia="es-CO"/>
        </w:rPr>
        <w:t xml:space="preserve"> el efecto sonoro se complementa con señales visuales, como el brillo dorado detrás de la caneca y el mensaje «¡Clasificación correcta!». La combinación de estas señales permite reconocer el acierto sin depender exclusivamente del audio.</w:t>
      </w:r>
    </w:p>
    <w:p w14:paraId="227D1BB1"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Relación con DUA:</w:t>
      </w:r>
      <w:r w:rsidRPr="00AB298C">
        <w:rPr>
          <w:rFonts w:ascii="Arial" w:hAnsi="Arial" w:cs="Arial"/>
          <w:kern w:val="0"/>
          <w:sz w:val="22"/>
          <w:szCs w:val="22"/>
          <w:lang w:eastAsia="es-CO"/>
        </w:rPr>
        <w:t xml:space="preserve"> se utilizan diferentes formas de retroalimentación para comunicar el resultado de la acción.</w:t>
      </w:r>
    </w:p>
    <w:p w14:paraId="349C1644"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Evidencia:</w:t>
      </w:r>
      <w:r w:rsidRPr="00AB298C">
        <w:rPr>
          <w:rFonts w:ascii="Arial" w:hAnsi="Arial" w:cs="Arial"/>
          <w:kern w:val="0"/>
          <w:sz w:val="22"/>
          <w:szCs w:val="22"/>
          <w:lang w:eastAsia="es-CO"/>
        </w:rPr>
        <w:t xml:space="preserve"> grabación del sonido de acierto junto con la activación del brillo dorado y la aparición del mensaje de confirmación.</w:t>
      </w:r>
    </w:p>
    <w:p w14:paraId="630EF4AF" w14:textId="77777777" w:rsidR="00AB298C" w:rsidRPr="00AB298C" w:rsidRDefault="00AB298C" w:rsidP="00AB298C">
      <w:pPr>
        <w:rPr>
          <w:rFonts w:ascii="Arial" w:hAnsi="Arial" w:cs="Arial"/>
          <w:b/>
          <w:bCs/>
          <w:kern w:val="0"/>
          <w:sz w:val="22"/>
          <w:szCs w:val="22"/>
          <w:lang w:eastAsia="es-CO"/>
        </w:rPr>
      </w:pPr>
      <w:r w:rsidRPr="00AB298C">
        <w:rPr>
          <w:rFonts w:ascii="Arial" w:hAnsi="Arial" w:cs="Arial"/>
          <w:b/>
          <w:bCs/>
          <w:kern w:val="0"/>
          <w:sz w:val="22"/>
          <w:szCs w:val="22"/>
          <w:lang w:eastAsia="es-CO"/>
        </w:rPr>
        <w:t>4.2. Sonido de error</w:t>
      </w:r>
    </w:p>
    <w:p w14:paraId="4FCDD070" w14:textId="77777777" w:rsidR="00AB298C" w:rsidRPr="00AB298C" w:rsidRDefault="00AB298C" w:rsidP="00AB298C">
      <w:pPr>
        <w:rPr>
          <w:rFonts w:ascii="Arial" w:hAnsi="Arial" w:cs="Arial"/>
          <w:kern w:val="0"/>
          <w:sz w:val="22"/>
          <w:szCs w:val="22"/>
          <w:lang w:eastAsia="es-CO"/>
        </w:rPr>
      </w:pPr>
      <w:r w:rsidRPr="00AB298C">
        <w:rPr>
          <w:rFonts w:ascii="Arial" w:hAnsi="Arial" w:cs="Arial"/>
          <w:kern w:val="0"/>
          <w:sz w:val="22"/>
          <w:szCs w:val="22"/>
          <w:lang w:eastAsia="es-CO"/>
        </w:rPr>
        <w:t>Este sonido comunica que la clasificación realizada no es correcta. Su función es proporcionar retroalimentación inmediata para que el jugador identifique que debe revisar su elección.</w:t>
      </w:r>
    </w:p>
    <w:p w14:paraId="25C243FD" w14:textId="2A9BC59E"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Medida de accesibilidad:</w:t>
      </w:r>
      <w:r w:rsidRPr="00AB298C">
        <w:rPr>
          <w:rFonts w:ascii="Arial" w:hAnsi="Arial" w:cs="Arial"/>
          <w:kern w:val="0"/>
          <w:sz w:val="22"/>
          <w:szCs w:val="22"/>
          <w:lang w:eastAsia="es-CO"/>
        </w:rPr>
        <w:t xml:space="preserve"> </w:t>
      </w:r>
      <w:r>
        <w:rPr>
          <w:rFonts w:ascii="Arial" w:hAnsi="Arial" w:cs="Arial"/>
          <w:kern w:val="0"/>
          <w:sz w:val="22"/>
          <w:szCs w:val="22"/>
          <w:lang w:eastAsia="es-CO"/>
        </w:rPr>
        <w:t xml:space="preserve">se </w:t>
      </w:r>
      <w:r w:rsidRPr="00AB298C">
        <w:rPr>
          <w:rFonts w:ascii="Arial" w:hAnsi="Arial" w:cs="Arial"/>
          <w:kern w:val="0"/>
          <w:sz w:val="22"/>
          <w:szCs w:val="22"/>
          <w:lang w:eastAsia="es-CO"/>
        </w:rPr>
        <w:t>acompaña el sonido con una señal visual que permita reconocer el error, sin depender únicamente de la información auditiva</w:t>
      </w:r>
      <w:r>
        <w:rPr>
          <w:rFonts w:ascii="Arial" w:hAnsi="Arial" w:cs="Arial"/>
          <w:kern w:val="0"/>
          <w:sz w:val="22"/>
          <w:szCs w:val="22"/>
          <w:lang w:eastAsia="es-CO"/>
        </w:rPr>
        <w:t xml:space="preserve"> el objeto vuelve a su lugar</w:t>
      </w:r>
      <w:r w:rsidRPr="00AB298C">
        <w:rPr>
          <w:rFonts w:ascii="Arial" w:hAnsi="Arial" w:cs="Arial"/>
          <w:kern w:val="0"/>
          <w:sz w:val="22"/>
          <w:szCs w:val="22"/>
          <w:lang w:eastAsia="es-CO"/>
        </w:rPr>
        <w:t>.</w:t>
      </w:r>
    </w:p>
    <w:p w14:paraId="28B6F895"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Relación con DUA:</w:t>
      </w:r>
      <w:r w:rsidRPr="00AB298C">
        <w:rPr>
          <w:rFonts w:ascii="Arial" w:hAnsi="Arial" w:cs="Arial"/>
          <w:kern w:val="0"/>
          <w:sz w:val="22"/>
          <w:szCs w:val="22"/>
          <w:lang w:eastAsia="es-CO"/>
        </w:rPr>
        <w:t xml:space="preserve"> la retroalimentación permite al jugador reconocer el resultado de su acción y orientar sus siguientes decisiones.</w:t>
      </w:r>
    </w:p>
    <w:p w14:paraId="0E6B4466"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Evidencia:</w:t>
      </w:r>
      <w:r w:rsidRPr="00AB298C">
        <w:rPr>
          <w:rFonts w:ascii="Arial" w:hAnsi="Arial" w:cs="Arial"/>
          <w:kern w:val="0"/>
          <w:sz w:val="22"/>
          <w:szCs w:val="22"/>
          <w:lang w:eastAsia="es-CO"/>
        </w:rPr>
        <w:t xml:space="preserve"> grabación de una clasificación incorrecta y de la respuesta visual que presenta el juego.</w:t>
      </w:r>
    </w:p>
    <w:p w14:paraId="442BAF7B" w14:textId="77777777" w:rsidR="00AB298C" w:rsidRPr="00AB298C" w:rsidRDefault="00AB298C" w:rsidP="00AB298C">
      <w:pPr>
        <w:rPr>
          <w:rFonts w:ascii="Arial" w:hAnsi="Arial" w:cs="Arial"/>
          <w:b/>
          <w:bCs/>
          <w:kern w:val="0"/>
          <w:sz w:val="22"/>
          <w:szCs w:val="22"/>
          <w:lang w:eastAsia="es-CO"/>
        </w:rPr>
      </w:pPr>
      <w:r w:rsidRPr="00AB298C">
        <w:rPr>
          <w:rFonts w:ascii="Arial" w:hAnsi="Arial" w:cs="Arial"/>
          <w:b/>
          <w:bCs/>
          <w:kern w:val="0"/>
          <w:sz w:val="22"/>
          <w:szCs w:val="22"/>
          <w:lang w:eastAsia="es-CO"/>
        </w:rPr>
        <w:t>4.3. Música ambiental</w:t>
      </w:r>
    </w:p>
    <w:p w14:paraId="5AF7E4E3" w14:textId="77777777" w:rsidR="00AB298C" w:rsidRPr="00AB298C" w:rsidRDefault="00AB298C" w:rsidP="00AB298C">
      <w:pPr>
        <w:rPr>
          <w:rFonts w:ascii="Arial" w:hAnsi="Arial" w:cs="Arial"/>
          <w:kern w:val="0"/>
          <w:sz w:val="22"/>
          <w:szCs w:val="22"/>
          <w:lang w:eastAsia="es-CO"/>
        </w:rPr>
      </w:pPr>
      <w:r w:rsidRPr="00AB298C">
        <w:rPr>
          <w:rFonts w:ascii="Arial" w:hAnsi="Arial" w:cs="Arial"/>
          <w:kern w:val="0"/>
          <w:sz w:val="22"/>
          <w:szCs w:val="22"/>
          <w:lang w:eastAsia="es-CO"/>
        </w:rPr>
        <w:t>La música ambiental acompaña la actividad y contribuye a crear una atmósfera coherente con la temática educativa y medioambiental del videojuego.</w:t>
      </w:r>
    </w:p>
    <w:p w14:paraId="7314C52F" w14:textId="2BEF7A25"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lastRenderedPageBreak/>
        <w:t>Medida de accesibilidad</w:t>
      </w:r>
      <w:r w:rsidRPr="00AB298C">
        <w:rPr>
          <w:rFonts w:ascii="Arial" w:hAnsi="Arial" w:cs="Arial"/>
          <w:b/>
          <w:bCs/>
          <w:kern w:val="0"/>
          <w:sz w:val="22"/>
          <w:szCs w:val="22"/>
          <w:lang w:eastAsia="es-CO"/>
        </w:rPr>
        <w:t>:</w:t>
      </w:r>
      <w:r w:rsidRPr="00AB298C">
        <w:rPr>
          <w:rFonts w:ascii="Arial" w:hAnsi="Arial" w:cs="Arial"/>
          <w:kern w:val="0"/>
          <w:sz w:val="22"/>
          <w:szCs w:val="22"/>
          <w:lang w:eastAsia="es-CO"/>
        </w:rPr>
        <w:t xml:space="preserve"> la música </w:t>
      </w:r>
      <w:r>
        <w:rPr>
          <w:rFonts w:ascii="Arial" w:hAnsi="Arial" w:cs="Arial"/>
          <w:kern w:val="0"/>
          <w:sz w:val="22"/>
          <w:szCs w:val="22"/>
          <w:lang w:eastAsia="es-CO"/>
        </w:rPr>
        <w:t xml:space="preserve">se mantiene </w:t>
      </w:r>
      <w:r w:rsidRPr="00AB298C">
        <w:rPr>
          <w:rFonts w:ascii="Arial" w:hAnsi="Arial" w:cs="Arial"/>
          <w:kern w:val="0"/>
          <w:sz w:val="22"/>
          <w:szCs w:val="22"/>
          <w:lang w:eastAsia="es-CO"/>
        </w:rPr>
        <w:t>a un volumen que no interfier</w:t>
      </w:r>
      <w:r>
        <w:rPr>
          <w:rFonts w:ascii="Arial" w:hAnsi="Arial" w:cs="Arial"/>
          <w:kern w:val="0"/>
          <w:sz w:val="22"/>
          <w:szCs w:val="22"/>
          <w:lang w:eastAsia="es-CO"/>
        </w:rPr>
        <w:t>e</w:t>
      </w:r>
      <w:r w:rsidRPr="00AB298C">
        <w:rPr>
          <w:rFonts w:ascii="Arial" w:hAnsi="Arial" w:cs="Arial"/>
          <w:kern w:val="0"/>
          <w:sz w:val="22"/>
          <w:szCs w:val="22"/>
          <w:lang w:eastAsia="es-CO"/>
        </w:rPr>
        <w:t xml:space="preserve"> con los efectos sonoros ni dificult</w:t>
      </w:r>
      <w:r>
        <w:rPr>
          <w:rFonts w:ascii="Arial" w:hAnsi="Arial" w:cs="Arial"/>
          <w:kern w:val="0"/>
          <w:sz w:val="22"/>
          <w:szCs w:val="22"/>
          <w:lang w:eastAsia="es-CO"/>
        </w:rPr>
        <w:t>a</w:t>
      </w:r>
      <w:r w:rsidRPr="00AB298C">
        <w:rPr>
          <w:rFonts w:ascii="Arial" w:hAnsi="Arial" w:cs="Arial"/>
          <w:kern w:val="0"/>
          <w:sz w:val="22"/>
          <w:szCs w:val="22"/>
          <w:lang w:eastAsia="es-CO"/>
        </w:rPr>
        <w:t xml:space="preserve"> la comprensión de posibles instrucciones auditivas. </w:t>
      </w:r>
      <w:r>
        <w:rPr>
          <w:rFonts w:ascii="Arial" w:hAnsi="Arial" w:cs="Arial"/>
          <w:kern w:val="0"/>
          <w:sz w:val="22"/>
          <w:szCs w:val="22"/>
          <w:lang w:eastAsia="es-CO"/>
        </w:rPr>
        <w:t xml:space="preserve">Se recomienda </w:t>
      </w:r>
      <w:r w:rsidRPr="00AB298C">
        <w:rPr>
          <w:rFonts w:ascii="Arial" w:hAnsi="Arial" w:cs="Arial"/>
          <w:kern w:val="0"/>
          <w:sz w:val="22"/>
          <w:szCs w:val="22"/>
          <w:lang w:eastAsia="es-CO"/>
        </w:rPr>
        <w:t>ofrecer controles para ajustar o silenciar la música de forma independiente.</w:t>
      </w:r>
    </w:p>
    <w:p w14:paraId="7EDD8B6A" w14:textId="77777777" w:rsidR="00AB298C" w:rsidRPr="00AB298C" w:rsidRDefault="00AB298C" w:rsidP="00AB298C">
      <w:pPr>
        <w:rPr>
          <w:rFonts w:ascii="Arial" w:hAnsi="Arial" w:cs="Arial"/>
          <w:kern w:val="0"/>
          <w:sz w:val="22"/>
          <w:szCs w:val="22"/>
          <w:lang w:eastAsia="es-CO"/>
        </w:rPr>
      </w:pPr>
      <w:r w:rsidRPr="00AB298C">
        <w:rPr>
          <w:rFonts w:ascii="Arial" w:hAnsi="Arial" w:cs="Arial"/>
          <w:b/>
          <w:bCs/>
          <w:kern w:val="0"/>
          <w:sz w:val="22"/>
          <w:szCs w:val="22"/>
          <w:lang w:eastAsia="es-CO"/>
        </w:rPr>
        <w:t>Relación con DUA:</w:t>
      </w:r>
      <w:r w:rsidRPr="00AB298C">
        <w:rPr>
          <w:rFonts w:ascii="Arial" w:hAnsi="Arial" w:cs="Arial"/>
          <w:kern w:val="0"/>
          <w:sz w:val="22"/>
          <w:szCs w:val="22"/>
          <w:lang w:eastAsia="es-CO"/>
        </w:rPr>
        <w:t xml:space="preserve"> la ambientación sonora puede contribuir a la experiencia de participación, siempre que no dificulte la percepción de información relevante.</w:t>
      </w:r>
    </w:p>
    <w:p w14:paraId="143A5EB7"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Evidencia:</w:t>
      </w:r>
      <w:r w:rsidRPr="00AB298C">
        <w:rPr>
          <w:rFonts w:ascii="Arial" w:hAnsi="Arial" w:cs="Arial"/>
          <w:kern w:val="0"/>
          <w:sz w:val="22"/>
          <w:szCs w:val="22"/>
          <w:lang w:eastAsia="es-CO"/>
        </w:rPr>
        <w:t xml:space="preserve"> grabación de una partida en la que se escuche la música ambiental.</w:t>
      </w:r>
    </w:p>
    <w:p w14:paraId="1E505A0A" w14:textId="77777777" w:rsidR="00AB298C" w:rsidRPr="00AB298C" w:rsidRDefault="00AB298C" w:rsidP="00AB298C">
      <w:pPr>
        <w:rPr>
          <w:rFonts w:ascii="Arial" w:hAnsi="Arial" w:cs="Arial"/>
          <w:b/>
          <w:bCs/>
          <w:kern w:val="0"/>
          <w:sz w:val="22"/>
          <w:szCs w:val="22"/>
          <w:lang w:eastAsia="es-CO"/>
        </w:rPr>
      </w:pPr>
      <w:r w:rsidRPr="00AB298C">
        <w:rPr>
          <w:rFonts w:ascii="Arial" w:hAnsi="Arial" w:cs="Arial"/>
          <w:b/>
          <w:bCs/>
          <w:kern w:val="0"/>
          <w:sz w:val="22"/>
          <w:szCs w:val="22"/>
          <w:lang w:eastAsia="es-CO"/>
        </w:rPr>
        <w:t>4.4. Sonido de clic de selección</w:t>
      </w:r>
    </w:p>
    <w:p w14:paraId="0B9AF705" w14:textId="77777777" w:rsidR="00AB298C" w:rsidRPr="00AB298C" w:rsidRDefault="00AB298C" w:rsidP="00AB298C">
      <w:pPr>
        <w:rPr>
          <w:rFonts w:ascii="Arial" w:hAnsi="Arial" w:cs="Arial"/>
          <w:kern w:val="0"/>
          <w:sz w:val="22"/>
          <w:szCs w:val="22"/>
          <w:lang w:eastAsia="es-CO"/>
        </w:rPr>
      </w:pPr>
      <w:r w:rsidRPr="00AB298C">
        <w:rPr>
          <w:rFonts w:ascii="Arial" w:hAnsi="Arial" w:cs="Arial"/>
          <w:kern w:val="0"/>
          <w:sz w:val="22"/>
          <w:szCs w:val="22"/>
          <w:lang w:eastAsia="es-CO"/>
        </w:rPr>
        <w:t>El sonido de clic se reproduce cuando el jugador selecciona un elemento de la interfaz. Su función es proporcionar confirmación auditiva de la interacción.</w:t>
      </w:r>
    </w:p>
    <w:p w14:paraId="530335EF"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Medida de accesibilidad:</w:t>
      </w:r>
      <w:r w:rsidRPr="00AB298C">
        <w:rPr>
          <w:rFonts w:ascii="Arial" w:hAnsi="Arial" w:cs="Arial"/>
          <w:kern w:val="0"/>
          <w:sz w:val="22"/>
          <w:szCs w:val="22"/>
          <w:lang w:eastAsia="es-CO"/>
        </w:rPr>
        <w:t xml:space="preserve"> se recomienda que la selección también tenga una respuesta visual perceptible, como un cambio de apariencia, un contorno destacado o un indicador de selección. Así, la acción puede reconocerse sin necesidad de escuchar el sonido.</w:t>
      </w:r>
    </w:p>
    <w:p w14:paraId="3D38F7BA"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Relación con DUA:</w:t>
      </w:r>
      <w:r w:rsidRPr="00AB298C">
        <w:rPr>
          <w:rFonts w:ascii="Arial" w:hAnsi="Arial" w:cs="Arial"/>
          <w:kern w:val="0"/>
          <w:sz w:val="22"/>
          <w:szCs w:val="22"/>
          <w:lang w:eastAsia="es-CO"/>
        </w:rPr>
        <w:t xml:space="preserve"> se complementa la interacción con señales que pueden facilitar la comprensión de las acciones realizadas.</w:t>
      </w:r>
    </w:p>
    <w:p w14:paraId="4D84759C" w14:textId="77777777" w:rsidR="00AB298C" w:rsidRPr="00AB298C" w:rsidRDefault="00AB298C" w:rsidP="00AB298C">
      <w:pPr>
        <w:rPr>
          <w:rFonts w:ascii="Arial" w:hAnsi="Arial" w:cs="Arial"/>
          <w:kern w:val="0"/>
          <w:sz w:val="22"/>
          <w:szCs w:val="22"/>
          <w:lang w:eastAsia="es-CO"/>
        </w:rPr>
      </w:pPr>
      <w:r w:rsidRPr="000A5504">
        <w:rPr>
          <w:rFonts w:ascii="Arial" w:hAnsi="Arial" w:cs="Arial"/>
          <w:kern w:val="0"/>
          <w:sz w:val="22"/>
          <w:szCs w:val="22"/>
          <w:lang w:eastAsia="es-CO"/>
        </w:rPr>
        <w:t>Evidencia:</w:t>
      </w:r>
      <w:r w:rsidRPr="00AB298C">
        <w:rPr>
          <w:rFonts w:ascii="Arial" w:hAnsi="Arial" w:cs="Arial"/>
          <w:kern w:val="0"/>
          <w:sz w:val="22"/>
          <w:szCs w:val="22"/>
          <w:lang w:eastAsia="es-CO"/>
        </w:rPr>
        <w:t xml:space="preserve"> grabación de la selección de un residuo o una caneca, mostrando el sonido de clic y la respuesta visual correspondiente.</w:t>
      </w:r>
    </w:p>
    <w:p w14:paraId="6DA0AFBF" w14:textId="77777777" w:rsidR="00AB298C" w:rsidRPr="00AB298C" w:rsidRDefault="00AB298C" w:rsidP="00AB298C">
      <w:pPr>
        <w:rPr>
          <w:rFonts w:ascii="Arial" w:hAnsi="Arial" w:cs="Arial"/>
          <w:b/>
          <w:bCs/>
          <w:kern w:val="0"/>
          <w:sz w:val="22"/>
          <w:szCs w:val="22"/>
          <w:lang w:eastAsia="es-CO"/>
        </w:rPr>
      </w:pPr>
      <w:r w:rsidRPr="00AB298C">
        <w:rPr>
          <w:rFonts w:ascii="Arial" w:hAnsi="Arial" w:cs="Arial"/>
          <w:b/>
          <w:bCs/>
          <w:kern w:val="0"/>
          <w:sz w:val="22"/>
          <w:szCs w:val="22"/>
          <w:lang w:eastAsia="es-CO"/>
        </w:rPr>
        <w:t>4.5. Relación con WCAG 2.2</w:t>
      </w:r>
    </w:p>
    <w:p w14:paraId="48831691" w14:textId="77777777" w:rsidR="00AB298C" w:rsidRPr="00AB298C" w:rsidRDefault="00AB298C" w:rsidP="00AB298C">
      <w:pPr>
        <w:rPr>
          <w:rFonts w:ascii="Arial" w:hAnsi="Arial" w:cs="Arial"/>
          <w:kern w:val="0"/>
          <w:sz w:val="22"/>
          <w:szCs w:val="22"/>
          <w:lang w:eastAsia="es-CO"/>
        </w:rPr>
      </w:pPr>
      <w:r w:rsidRPr="00AB298C">
        <w:rPr>
          <w:rFonts w:ascii="Arial" w:hAnsi="Arial" w:cs="Arial"/>
          <w:kern w:val="0"/>
          <w:sz w:val="22"/>
          <w:szCs w:val="22"/>
          <w:lang w:eastAsia="es-CO"/>
        </w:rPr>
        <w:t>La evaluación de los recursos sonoros debe considerar las siguientes pautas:</w:t>
      </w:r>
    </w:p>
    <w:p w14:paraId="68058CF8" w14:textId="77777777" w:rsidR="00AB298C" w:rsidRPr="00AB298C" w:rsidRDefault="00AB298C" w:rsidP="00AB298C">
      <w:pPr>
        <w:numPr>
          <w:ilvl w:val="0"/>
          <w:numId w:val="11"/>
        </w:numPr>
        <w:rPr>
          <w:rFonts w:ascii="Arial" w:hAnsi="Arial" w:cs="Arial"/>
          <w:kern w:val="0"/>
          <w:sz w:val="22"/>
          <w:szCs w:val="22"/>
          <w:lang w:eastAsia="es-CO"/>
        </w:rPr>
      </w:pPr>
      <w:r w:rsidRPr="000A5504">
        <w:rPr>
          <w:rFonts w:ascii="Arial" w:hAnsi="Arial" w:cs="Arial"/>
          <w:kern w:val="0"/>
          <w:sz w:val="22"/>
          <w:szCs w:val="22"/>
          <w:lang w:eastAsia="es-CO"/>
        </w:rPr>
        <w:t>Criterio 1.4.2, Control del audio:</w:t>
      </w:r>
      <w:r w:rsidRPr="00AB298C">
        <w:rPr>
          <w:rFonts w:ascii="Arial" w:hAnsi="Arial" w:cs="Arial"/>
          <w:kern w:val="0"/>
          <w:sz w:val="22"/>
          <w:szCs w:val="22"/>
          <w:lang w:eastAsia="es-CO"/>
        </w:rPr>
        <w:t xml:space="preserve"> debe revisarse si existe audio que se reproduce automáticamente durante más de tres segundos. Cuando se cumplen las condiciones del criterio, debe proporcionarse un mecanismo para pausar o detener el audio o controlar su volumen de forma independiente del volumen general del sistema.</w:t>
      </w:r>
    </w:p>
    <w:p w14:paraId="37FDED32" w14:textId="77777777" w:rsidR="00AB298C" w:rsidRPr="00AB298C" w:rsidRDefault="00AB298C" w:rsidP="00AB298C">
      <w:pPr>
        <w:numPr>
          <w:ilvl w:val="0"/>
          <w:numId w:val="11"/>
        </w:numPr>
        <w:rPr>
          <w:rFonts w:ascii="Arial" w:hAnsi="Arial" w:cs="Arial"/>
          <w:kern w:val="0"/>
          <w:sz w:val="22"/>
          <w:szCs w:val="22"/>
          <w:lang w:eastAsia="es-CO"/>
        </w:rPr>
      </w:pPr>
      <w:r w:rsidRPr="000A5504">
        <w:rPr>
          <w:rFonts w:ascii="Arial" w:hAnsi="Arial" w:cs="Arial"/>
          <w:kern w:val="0"/>
          <w:sz w:val="22"/>
          <w:szCs w:val="22"/>
          <w:lang w:eastAsia="es-CO"/>
        </w:rPr>
        <w:t xml:space="preserve">Criterio 1.2.1, Solo audio y solo vídeo (pregrabado): </w:t>
      </w:r>
      <w:r w:rsidRPr="00AB298C">
        <w:rPr>
          <w:rFonts w:ascii="Arial" w:hAnsi="Arial" w:cs="Arial"/>
          <w:kern w:val="0"/>
          <w:sz w:val="22"/>
          <w:szCs w:val="22"/>
          <w:lang w:eastAsia="es-CO"/>
        </w:rPr>
        <w:t>se refiere a contenidos multimedia pregrabados que presentan información mediante un único medio. No se aplica automáticamente a cada efecto sonoro de la partida.</w:t>
      </w:r>
    </w:p>
    <w:p w14:paraId="23816E9C" w14:textId="77777777" w:rsidR="00AB298C" w:rsidRPr="00AB298C" w:rsidRDefault="00AB298C" w:rsidP="00AB298C">
      <w:pPr>
        <w:numPr>
          <w:ilvl w:val="0"/>
          <w:numId w:val="11"/>
        </w:numPr>
        <w:rPr>
          <w:rFonts w:ascii="Arial" w:hAnsi="Arial" w:cs="Arial"/>
          <w:kern w:val="0"/>
          <w:sz w:val="22"/>
          <w:szCs w:val="22"/>
          <w:lang w:eastAsia="es-CO"/>
        </w:rPr>
      </w:pPr>
      <w:r w:rsidRPr="000A5504">
        <w:rPr>
          <w:rFonts w:ascii="Arial" w:hAnsi="Arial" w:cs="Arial"/>
          <w:kern w:val="0"/>
          <w:sz w:val="22"/>
          <w:szCs w:val="22"/>
          <w:lang w:eastAsia="es-CO"/>
        </w:rPr>
        <w:t>Criterio 1.4.7, Audio de fondo bajo o ausente:</w:t>
      </w:r>
      <w:r w:rsidRPr="00AB298C">
        <w:rPr>
          <w:rFonts w:ascii="Arial" w:hAnsi="Arial" w:cs="Arial"/>
          <w:kern w:val="0"/>
          <w:sz w:val="22"/>
          <w:szCs w:val="22"/>
          <w:lang w:eastAsia="es-CO"/>
        </w:rPr>
        <w:t xml:space="preserve"> es un criterio de nivel AAA que puede ser pertinente si existe audio pregrabado de primer plano con voz y sonidos de fondo simultáneos. No debe considerarse automáticamente aplicable a la música ambiental y los efectos sonoros del juego.</w:t>
      </w:r>
    </w:p>
    <w:p w14:paraId="377D092D" w14:textId="77777777" w:rsidR="00AB298C" w:rsidRPr="00AB298C" w:rsidRDefault="00AB298C" w:rsidP="00AB298C">
      <w:pPr>
        <w:rPr>
          <w:rFonts w:ascii="Arial" w:hAnsi="Arial" w:cs="Arial"/>
          <w:kern w:val="0"/>
          <w:sz w:val="22"/>
          <w:szCs w:val="22"/>
          <w:lang w:eastAsia="es-CO"/>
        </w:rPr>
      </w:pPr>
      <w:r w:rsidRPr="00AB298C">
        <w:rPr>
          <w:rFonts w:ascii="Arial" w:hAnsi="Arial" w:cs="Arial"/>
          <w:kern w:val="0"/>
          <w:sz w:val="22"/>
          <w:szCs w:val="22"/>
          <w:lang w:eastAsia="es-CO"/>
        </w:rPr>
        <w:t>Estos criterios deben evaluarse de acuerdo con el funcionamiento real del minijuego y no deben declararse cumplidos sin las pruebas correspondientes.</w:t>
      </w:r>
    </w:p>
    <w:p w14:paraId="66195781" w14:textId="77777777" w:rsidR="00AB298C" w:rsidRDefault="00AB298C" w:rsidP="009D4CDD">
      <w:pPr>
        <w:rPr>
          <w:rFonts w:ascii="Arial" w:hAnsi="Arial" w:cs="Arial"/>
          <w:kern w:val="0"/>
          <w:sz w:val="22"/>
          <w:szCs w:val="22"/>
          <w:lang w:eastAsia="es-CO"/>
        </w:rPr>
      </w:pPr>
    </w:p>
    <w:p w14:paraId="0839889F" w14:textId="77777777" w:rsidR="00AB298C" w:rsidRPr="009D4CDD" w:rsidRDefault="00AB298C" w:rsidP="009D4CDD">
      <w:pPr>
        <w:rPr>
          <w:rFonts w:ascii="Arial" w:hAnsi="Arial" w:cs="Arial"/>
          <w:kern w:val="0"/>
          <w:sz w:val="22"/>
          <w:szCs w:val="22"/>
          <w:lang w:eastAsia="es-CO"/>
        </w:rPr>
      </w:pPr>
    </w:p>
    <w:p w14:paraId="0D7ACB3A" w14:textId="77777777" w:rsidR="009D4CDD" w:rsidRPr="00291384" w:rsidRDefault="009D4CDD" w:rsidP="009D4CDD">
      <w:pPr>
        <w:rPr>
          <w:rFonts w:ascii="Arial" w:hAnsi="Arial" w:cs="Arial"/>
          <w:b/>
          <w:bCs/>
          <w:kern w:val="0"/>
          <w:sz w:val="22"/>
          <w:szCs w:val="22"/>
          <w:lang w:eastAsia="es-CO"/>
        </w:rPr>
      </w:pPr>
      <w:r w:rsidRPr="00291384">
        <w:rPr>
          <w:rFonts w:ascii="Arial" w:hAnsi="Arial" w:cs="Arial"/>
          <w:b/>
          <w:bCs/>
          <w:kern w:val="0"/>
          <w:sz w:val="22"/>
          <w:szCs w:val="22"/>
          <w:lang w:eastAsia="es-CO"/>
        </w:rPr>
        <w:t>5. Relación entre WCAG 2.2 y DUA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4392"/>
        <w:gridCol w:w="1685"/>
      </w:tblGrid>
      <w:tr w:rsidR="009D4CDD" w:rsidRPr="009D4CDD" w14:paraId="41C5EC28" w14:textId="77777777">
        <w:trPr>
          <w:tblHeader/>
          <w:tblCellSpacing w:w="15" w:type="dxa"/>
        </w:trPr>
        <w:tc>
          <w:tcPr>
            <w:tcW w:w="0" w:type="auto"/>
            <w:vAlign w:val="center"/>
            <w:hideMark/>
          </w:tcPr>
          <w:p w14:paraId="3AD32EF0"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lastRenderedPageBreak/>
              <w:t>Referencia</w:t>
            </w:r>
          </w:p>
        </w:tc>
        <w:tc>
          <w:tcPr>
            <w:tcW w:w="0" w:type="auto"/>
            <w:vAlign w:val="center"/>
            <w:hideMark/>
          </w:tcPr>
          <w:p w14:paraId="52BC6FDF"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Aplicación en el juego</w:t>
            </w:r>
          </w:p>
        </w:tc>
        <w:tc>
          <w:tcPr>
            <w:tcW w:w="0" w:type="auto"/>
            <w:vAlign w:val="center"/>
            <w:hideMark/>
          </w:tcPr>
          <w:p w14:paraId="221CB12E"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Evidencia</w:t>
            </w:r>
          </w:p>
        </w:tc>
      </w:tr>
      <w:tr w:rsidR="009D4CDD" w:rsidRPr="009D4CDD" w14:paraId="1888F834" w14:textId="77777777">
        <w:trPr>
          <w:tblCellSpacing w:w="15" w:type="dxa"/>
        </w:trPr>
        <w:tc>
          <w:tcPr>
            <w:tcW w:w="0" w:type="auto"/>
            <w:vAlign w:val="center"/>
            <w:hideMark/>
          </w:tcPr>
          <w:p w14:paraId="61018815"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WCAG 1.4.1: Uso del color</w:t>
            </w:r>
          </w:p>
        </w:tc>
        <w:tc>
          <w:tcPr>
            <w:tcW w:w="0" w:type="auto"/>
            <w:vAlign w:val="center"/>
            <w:hideMark/>
          </w:tcPr>
          <w:p w14:paraId="12CE6765"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Identificación de las canecas mediante patrones, símbolos y números, además de sus colores.</w:t>
            </w:r>
          </w:p>
        </w:tc>
        <w:tc>
          <w:tcPr>
            <w:tcW w:w="0" w:type="auto"/>
            <w:vAlign w:val="center"/>
            <w:hideMark/>
          </w:tcPr>
          <w:p w14:paraId="13615866" w14:textId="01C8B989" w:rsidR="009D4CDD" w:rsidRPr="009D4CDD" w:rsidRDefault="0097604A" w:rsidP="009D4CDD">
            <w:pPr>
              <w:rPr>
                <w:rFonts w:ascii="Arial" w:hAnsi="Arial" w:cs="Arial"/>
                <w:kern w:val="0"/>
                <w:sz w:val="22"/>
                <w:szCs w:val="22"/>
                <w:lang w:eastAsia="es-CO"/>
              </w:rPr>
            </w:pPr>
            <w:r>
              <w:rPr>
                <w:rFonts w:ascii="Arial" w:hAnsi="Arial" w:cs="Arial"/>
                <w:kern w:val="0"/>
                <w:sz w:val="22"/>
                <w:szCs w:val="22"/>
                <w:lang w:eastAsia="es-CO"/>
              </w:rPr>
              <w:t>Grabación de videojuego.</w:t>
            </w:r>
          </w:p>
        </w:tc>
      </w:tr>
      <w:tr w:rsidR="0097604A" w:rsidRPr="009D4CDD" w14:paraId="1C4FE2E3" w14:textId="77777777" w:rsidTr="004F4B18">
        <w:trPr>
          <w:tblCellSpacing w:w="15" w:type="dxa"/>
        </w:trPr>
        <w:tc>
          <w:tcPr>
            <w:tcW w:w="0" w:type="auto"/>
            <w:vAlign w:val="center"/>
            <w:hideMark/>
          </w:tcPr>
          <w:p w14:paraId="59A6B0BD"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WCAG 1.4.3: Contraste mínimo</w:t>
            </w:r>
          </w:p>
        </w:tc>
        <w:tc>
          <w:tcPr>
            <w:tcW w:w="0" w:type="auto"/>
            <w:vAlign w:val="center"/>
            <w:hideMark/>
          </w:tcPr>
          <w:p w14:paraId="6AD7384C"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Evaluación de la legibilidad del texto de la interfaz.</w:t>
            </w:r>
          </w:p>
        </w:tc>
        <w:tc>
          <w:tcPr>
            <w:tcW w:w="0" w:type="auto"/>
            <w:hideMark/>
          </w:tcPr>
          <w:p w14:paraId="5D979C31" w14:textId="52663EBE" w:rsidR="0097604A" w:rsidRPr="009D4CDD" w:rsidRDefault="0097604A" w:rsidP="0097604A">
            <w:pPr>
              <w:rPr>
                <w:rFonts w:ascii="Arial" w:hAnsi="Arial" w:cs="Arial"/>
                <w:kern w:val="0"/>
                <w:sz w:val="22"/>
                <w:szCs w:val="22"/>
                <w:lang w:eastAsia="es-CO"/>
              </w:rPr>
            </w:pPr>
            <w:r w:rsidRPr="00B432F2">
              <w:rPr>
                <w:rFonts w:ascii="Arial" w:hAnsi="Arial" w:cs="Arial"/>
                <w:kern w:val="0"/>
                <w:sz w:val="22"/>
                <w:szCs w:val="22"/>
                <w:lang w:eastAsia="es-CO"/>
              </w:rPr>
              <w:t>Grabación de videojuego.</w:t>
            </w:r>
          </w:p>
        </w:tc>
      </w:tr>
      <w:tr w:rsidR="0097604A" w:rsidRPr="009D4CDD" w14:paraId="1630216C" w14:textId="77777777" w:rsidTr="004F4B18">
        <w:trPr>
          <w:tblCellSpacing w:w="15" w:type="dxa"/>
        </w:trPr>
        <w:tc>
          <w:tcPr>
            <w:tcW w:w="0" w:type="auto"/>
            <w:vAlign w:val="center"/>
            <w:hideMark/>
          </w:tcPr>
          <w:p w14:paraId="3FBFE533"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WCAG 2.1.1: Teclado</w:t>
            </w:r>
          </w:p>
        </w:tc>
        <w:tc>
          <w:tcPr>
            <w:tcW w:w="0" w:type="auto"/>
            <w:vAlign w:val="center"/>
            <w:hideMark/>
          </w:tcPr>
          <w:p w14:paraId="3FC89AFC"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Evaluación del funcionamiento de los controles de teclado.</w:t>
            </w:r>
          </w:p>
        </w:tc>
        <w:tc>
          <w:tcPr>
            <w:tcW w:w="0" w:type="auto"/>
            <w:hideMark/>
          </w:tcPr>
          <w:p w14:paraId="0DEE9E00" w14:textId="0F34FC40" w:rsidR="0097604A" w:rsidRPr="009D4CDD" w:rsidRDefault="0097604A" w:rsidP="0097604A">
            <w:pPr>
              <w:rPr>
                <w:rFonts w:ascii="Arial" w:hAnsi="Arial" w:cs="Arial"/>
                <w:kern w:val="0"/>
                <w:sz w:val="22"/>
                <w:szCs w:val="22"/>
                <w:lang w:eastAsia="es-CO"/>
              </w:rPr>
            </w:pPr>
            <w:r w:rsidRPr="00B432F2">
              <w:rPr>
                <w:rFonts w:ascii="Arial" w:hAnsi="Arial" w:cs="Arial"/>
                <w:kern w:val="0"/>
                <w:sz w:val="22"/>
                <w:szCs w:val="22"/>
                <w:lang w:eastAsia="es-CO"/>
              </w:rPr>
              <w:t>Grabación de videojuego.</w:t>
            </w:r>
          </w:p>
        </w:tc>
      </w:tr>
      <w:tr w:rsidR="0097604A" w:rsidRPr="009D4CDD" w14:paraId="32B25E6A" w14:textId="77777777" w:rsidTr="004F4B18">
        <w:trPr>
          <w:tblCellSpacing w:w="15" w:type="dxa"/>
        </w:trPr>
        <w:tc>
          <w:tcPr>
            <w:tcW w:w="0" w:type="auto"/>
            <w:vAlign w:val="center"/>
            <w:hideMark/>
          </w:tcPr>
          <w:p w14:paraId="4F7EE148"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WCAG 2.5.7: Movimientos de arrastre</w:t>
            </w:r>
          </w:p>
        </w:tc>
        <w:tc>
          <w:tcPr>
            <w:tcW w:w="0" w:type="auto"/>
            <w:vAlign w:val="center"/>
            <w:hideMark/>
          </w:tcPr>
          <w:p w14:paraId="51957813"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Evaluación de la alternativa Click-to-Click para las acciones que requieren arrastrar.</w:t>
            </w:r>
          </w:p>
        </w:tc>
        <w:tc>
          <w:tcPr>
            <w:tcW w:w="0" w:type="auto"/>
            <w:hideMark/>
          </w:tcPr>
          <w:p w14:paraId="6E2C4079" w14:textId="520C0473" w:rsidR="0097604A" w:rsidRPr="009D4CDD" w:rsidRDefault="0097604A" w:rsidP="0097604A">
            <w:pPr>
              <w:rPr>
                <w:rFonts w:ascii="Arial" w:hAnsi="Arial" w:cs="Arial"/>
                <w:kern w:val="0"/>
                <w:sz w:val="22"/>
                <w:szCs w:val="22"/>
                <w:lang w:eastAsia="es-CO"/>
              </w:rPr>
            </w:pPr>
            <w:r w:rsidRPr="00B432F2">
              <w:rPr>
                <w:rFonts w:ascii="Arial" w:hAnsi="Arial" w:cs="Arial"/>
                <w:kern w:val="0"/>
                <w:sz w:val="22"/>
                <w:szCs w:val="22"/>
                <w:lang w:eastAsia="es-CO"/>
              </w:rPr>
              <w:t>Grabación de videojuego.</w:t>
            </w:r>
          </w:p>
        </w:tc>
      </w:tr>
      <w:tr w:rsidR="0097604A" w:rsidRPr="009D4CDD" w14:paraId="32F730ED" w14:textId="77777777" w:rsidTr="004F4B18">
        <w:trPr>
          <w:tblCellSpacing w:w="15" w:type="dxa"/>
        </w:trPr>
        <w:tc>
          <w:tcPr>
            <w:tcW w:w="0" w:type="auto"/>
            <w:vAlign w:val="center"/>
            <w:hideMark/>
          </w:tcPr>
          <w:p w14:paraId="7FDCD71B"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WCAG 1.2.1: Solo audio y solo vídeo (pregrabado)</w:t>
            </w:r>
          </w:p>
        </w:tc>
        <w:tc>
          <w:tcPr>
            <w:tcW w:w="0" w:type="auto"/>
            <w:vAlign w:val="center"/>
            <w:hideMark/>
          </w:tcPr>
          <w:p w14:paraId="56351567"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Evaluación de alternativas para contenido multimedia pregrabado cuando corresponda.</w:t>
            </w:r>
          </w:p>
        </w:tc>
        <w:tc>
          <w:tcPr>
            <w:tcW w:w="0" w:type="auto"/>
            <w:hideMark/>
          </w:tcPr>
          <w:p w14:paraId="4D82EE27" w14:textId="36141BB9" w:rsidR="0097604A" w:rsidRPr="009D4CDD" w:rsidRDefault="0097604A" w:rsidP="0097604A">
            <w:pPr>
              <w:rPr>
                <w:rFonts w:ascii="Arial" w:hAnsi="Arial" w:cs="Arial"/>
                <w:kern w:val="0"/>
                <w:sz w:val="22"/>
                <w:szCs w:val="22"/>
                <w:lang w:eastAsia="es-CO"/>
              </w:rPr>
            </w:pPr>
            <w:r w:rsidRPr="00B432F2">
              <w:rPr>
                <w:rFonts w:ascii="Arial" w:hAnsi="Arial" w:cs="Arial"/>
                <w:kern w:val="0"/>
                <w:sz w:val="22"/>
                <w:szCs w:val="22"/>
                <w:lang w:eastAsia="es-CO"/>
              </w:rPr>
              <w:t>Grabación de videojuego.</w:t>
            </w:r>
          </w:p>
        </w:tc>
      </w:tr>
      <w:tr w:rsidR="0097604A" w:rsidRPr="009D4CDD" w14:paraId="7338E350" w14:textId="77777777" w:rsidTr="004F4B18">
        <w:trPr>
          <w:tblCellSpacing w:w="15" w:type="dxa"/>
        </w:trPr>
        <w:tc>
          <w:tcPr>
            <w:tcW w:w="0" w:type="auto"/>
            <w:vAlign w:val="center"/>
            <w:hideMark/>
          </w:tcPr>
          <w:p w14:paraId="501CB702"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WCAG 1.4.2: Control del audio</w:t>
            </w:r>
          </w:p>
        </w:tc>
        <w:tc>
          <w:tcPr>
            <w:tcW w:w="0" w:type="auto"/>
            <w:vAlign w:val="center"/>
            <w:hideMark/>
          </w:tcPr>
          <w:p w14:paraId="78A5A96E"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Evaluación de la reproducción automática de audio cuando corresponda.</w:t>
            </w:r>
          </w:p>
        </w:tc>
        <w:tc>
          <w:tcPr>
            <w:tcW w:w="0" w:type="auto"/>
            <w:hideMark/>
          </w:tcPr>
          <w:p w14:paraId="0661DBC6" w14:textId="6E4E1AF2" w:rsidR="0097604A" w:rsidRPr="009D4CDD" w:rsidRDefault="0097604A" w:rsidP="0097604A">
            <w:pPr>
              <w:rPr>
                <w:rFonts w:ascii="Arial" w:hAnsi="Arial" w:cs="Arial"/>
                <w:kern w:val="0"/>
                <w:sz w:val="22"/>
                <w:szCs w:val="22"/>
                <w:lang w:eastAsia="es-CO"/>
              </w:rPr>
            </w:pPr>
            <w:r w:rsidRPr="00B432F2">
              <w:rPr>
                <w:rFonts w:ascii="Arial" w:hAnsi="Arial" w:cs="Arial"/>
                <w:kern w:val="0"/>
                <w:sz w:val="22"/>
                <w:szCs w:val="22"/>
                <w:lang w:eastAsia="es-CO"/>
              </w:rPr>
              <w:t>Grabación de videojuego.</w:t>
            </w:r>
          </w:p>
        </w:tc>
      </w:tr>
      <w:tr w:rsidR="0097604A" w:rsidRPr="009D4CDD" w14:paraId="624B1AEC" w14:textId="77777777" w:rsidTr="004F4B18">
        <w:trPr>
          <w:tblCellSpacing w:w="15" w:type="dxa"/>
        </w:trPr>
        <w:tc>
          <w:tcPr>
            <w:tcW w:w="0" w:type="auto"/>
            <w:vAlign w:val="center"/>
            <w:hideMark/>
          </w:tcPr>
          <w:p w14:paraId="68757097"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DUA: Múltiples formas de representación</w:t>
            </w:r>
          </w:p>
        </w:tc>
        <w:tc>
          <w:tcPr>
            <w:tcW w:w="0" w:type="auto"/>
            <w:vAlign w:val="center"/>
            <w:hideMark/>
          </w:tcPr>
          <w:p w14:paraId="7C6D4CDC"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Uso de imágenes, colores, patrones, símbolos, números y texto.</w:t>
            </w:r>
          </w:p>
        </w:tc>
        <w:tc>
          <w:tcPr>
            <w:tcW w:w="0" w:type="auto"/>
            <w:hideMark/>
          </w:tcPr>
          <w:p w14:paraId="082A855E" w14:textId="7687EF29" w:rsidR="0097604A" w:rsidRPr="009D4CDD" w:rsidRDefault="0097604A" w:rsidP="0097604A">
            <w:pPr>
              <w:rPr>
                <w:rFonts w:ascii="Arial" w:hAnsi="Arial" w:cs="Arial"/>
                <w:kern w:val="0"/>
                <w:sz w:val="22"/>
                <w:szCs w:val="22"/>
                <w:lang w:eastAsia="es-CO"/>
              </w:rPr>
            </w:pPr>
            <w:r w:rsidRPr="00B432F2">
              <w:rPr>
                <w:rFonts w:ascii="Arial" w:hAnsi="Arial" w:cs="Arial"/>
                <w:kern w:val="0"/>
                <w:sz w:val="22"/>
                <w:szCs w:val="22"/>
                <w:lang w:eastAsia="es-CO"/>
              </w:rPr>
              <w:t>Grabación de videojuego.</w:t>
            </w:r>
          </w:p>
        </w:tc>
      </w:tr>
      <w:tr w:rsidR="0097604A" w:rsidRPr="009D4CDD" w14:paraId="55E1A8AB" w14:textId="77777777" w:rsidTr="004F4B18">
        <w:trPr>
          <w:tblCellSpacing w:w="15" w:type="dxa"/>
        </w:trPr>
        <w:tc>
          <w:tcPr>
            <w:tcW w:w="0" w:type="auto"/>
            <w:vAlign w:val="center"/>
            <w:hideMark/>
          </w:tcPr>
          <w:p w14:paraId="7654BD47"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DUA: Múltiples formas de acción y expresión</w:t>
            </w:r>
          </w:p>
        </w:tc>
        <w:tc>
          <w:tcPr>
            <w:tcW w:w="0" w:type="auto"/>
            <w:vAlign w:val="center"/>
            <w:hideMark/>
          </w:tcPr>
          <w:p w14:paraId="2BEE3C10"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Disponibilidad prevista de arrastre, selección mediante clic y controles de teclado.</w:t>
            </w:r>
          </w:p>
        </w:tc>
        <w:tc>
          <w:tcPr>
            <w:tcW w:w="0" w:type="auto"/>
            <w:hideMark/>
          </w:tcPr>
          <w:p w14:paraId="6D83019C" w14:textId="0363636B" w:rsidR="0097604A" w:rsidRPr="009D4CDD" w:rsidRDefault="0097604A" w:rsidP="0097604A">
            <w:pPr>
              <w:rPr>
                <w:rFonts w:ascii="Arial" w:hAnsi="Arial" w:cs="Arial"/>
                <w:kern w:val="0"/>
                <w:sz w:val="22"/>
                <w:szCs w:val="22"/>
                <w:lang w:eastAsia="es-CO"/>
              </w:rPr>
            </w:pPr>
            <w:r w:rsidRPr="00B432F2">
              <w:rPr>
                <w:rFonts w:ascii="Arial" w:hAnsi="Arial" w:cs="Arial"/>
                <w:kern w:val="0"/>
                <w:sz w:val="22"/>
                <w:szCs w:val="22"/>
                <w:lang w:eastAsia="es-CO"/>
              </w:rPr>
              <w:t>Grabación de videojuego.</w:t>
            </w:r>
          </w:p>
        </w:tc>
      </w:tr>
      <w:tr w:rsidR="0097604A" w:rsidRPr="009D4CDD" w14:paraId="69375D25" w14:textId="77777777" w:rsidTr="004F4B18">
        <w:trPr>
          <w:tblCellSpacing w:w="15" w:type="dxa"/>
        </w:trPr>
        <w:tc>
          <w:tcPr>
            <w:tcW w:w="0" w:type="auto"/>
            <w:vAlign w:val="center"/>
            <w:hideMark/>
          </w:tcPr>
          <w:p w14:paraId="4D1090A5"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DUA: Múltiples formas de implicación</w:t>
            </w:r>
          </w:p>
        </w:tc>
        <w:tc>
          <w:tcPr>
            <w:tcW w:w="0" w:type="auto"/>
            <w:vAlign w:val="center"/>
            <w:hideMark/>
          </w:tcPr>
          <w:p w14:paraId="0F89F2B2" w14:textId="77777777" w:rsidR="0097604A" w:rsidRPr="009D4CDD" w:rsidRDefault="0097604A" w:rsidP="0097604A">
            <w:pPr>
              <w:rPr>
                <w:rFonts w:ascii="Arial" w:hAnsi="Arial" w:cs="Arial"/>
                <w:kern w:val="0"/>
                <w:sz w:val="22"/>
                <w:szCs w:val="22"/>
                <w:lang w:eastAsia="es-CO"/>
              </w:rPr>
            </w:pPr>
            <w:r w:rsidRPr="009D4CDD">
              <w:rPr>
                <w:rFonts w:ascii="Arial" w:hAnsi="Arial" w:cs="Arial"/>
                <w:kern w:val="0"/>
                <w:sz w:val="22"/>
                <w:szCs w:val="22"/>
                <w:lang w:eastAsia="es-CO"/>
              </w:rPr>
              <w:t>Uso del progreso del río, las vidas y la retroalimentación visual para apoyar la participación.</w:t>
            </w:r>
          </w:p>
        </w:tc>
        <w:tc>
          <w:tcPr>
            <w:tcW w:w="0" w:type="auto"/>
            <w:hideMark/>
          </w:tcPr>
          <w:p w14:paraId="3A304798" w14:textId="20B7364E" w:rsidR="0097604A" w:rsidRPr="009D4CDD" w:rsidRDefault="0097604A" w:rsidP="0097604A">
            <w:pPr>
              <w:rPr>
                <w:rFonts w:ascii="Arial" w:hAnsi="Arial" w:cs="Arial"/>
                <w:kern w:val="0"/>
                <w:sz w:val="22"/>
                <w:szCs w:val="22"/>
                <w:lang w:eastAsia="es-CO"/>
              </w:rPr>
            </w:pPr>
            <w:r w:rsidRPr="00B432F2">
              <w:rPr>
                <w:rFonts w:ascii="Arial" w:hAnsi="Arial" w:cs="Arial"/>
                <w:kern w:val="0"/>
                <w:sz w:val="22"/>
                <w:szCs w:val="22"/>
                <w:lang w:eastAsia="es-CO"/>
              </w:rPr>
              <w:t>Grabación de videojuego.</w:t>
            </w:r>
          </w:p>
        </w:tc>
      </w:tr>
    </w:tbl>
    <w:p w14:paraId="0BFD46DC" w14:textId="77777777" w:rsidR="009D4CDD" w:rsidRPr="009D4CDD" w:rsidRDefault="009D4CDD" w:rsidP="009D4CDD">
      <w:pPr>
        <w:rPr>
          <w:rFonts w:ascii="Arial" w:hAnsi="Arial" w:cs="Arial"/>
          <w:kern w:val="0"/>
          <w:sz w:val="22"/>
          <w:szCs w:val="22"/>
          <w:lang w:eastAsia="es-CO"/>
        </w:rPr>
      </w:pPr>
      <w:r w:rsidRPr="009D4CDD">
        <w:rPr>
          <w:rFonts w:ascii="Arial" w:hAnsi="Arial" w:cs="Arial"/>
          <w:kern w:val="0"/>
          <w:sz w:val="22"/>
          <w:szCs w:val="22"/>
          <w:lang w:eastAsia="es-CO"/>
        </w:rPr>
        <w:t>Las WCAG se desarrollaron principalmente para contenido web. En un videojuego ejecutable, sus criterios deben utilizarse considerando la tecnología, la interfaz y las condiciones de uso, sin asumir que todos son directamente aplicables.</w:t>
      </w:r>
    </w:p>
    <w:p w14:paraId="47D4039F" w14:textId="77777777" w:rsidR="001243E1" w:rsidRDefault="001243E1" w:rsidP="001243E1">
      <w:pPr>
        <w:rPr>
          <w:rFonts w:ascii="Arial" w:hAnsi="Arial" w:cs="Arial"/>
          <w:b/>
          <w:bCs/>
          <w:sz w:val="22"/>
          <w:szCs w:val="22"/>
        </w:rPr>
      </w:pPr>
    </w:p>
    <w:p w14:paraId="1B47D4F1" w14:textId="0707F1E3" w:rsidR="001243E1" w:rsidRPr="001243E1" w:rsidRDefault="001243E1" w:rsidP="001243E1">
      <w:pPr>
        <w:rPr>
          <w:rFonts w:ascii="Arial" w:hAnsi="Arial" w:cs="Arial"/>
          <w:b/>
          <w:bCs/>
          <w:sz w:val="22"/>
          <w:szCs w:val="22"/>
        </w:rPr>
      </w:pPr>
      <w:r>
        <w:rPr>
          <w:rFonts w:ascii="Arial" w:hAnsi="Arial" w:cs="Arial"/>
          <w:b/>
          <w:bCs/>
          <w:sz w:val="22"/>
          <w:szCs w:val="22"/>
        </w:rPr>
        <w:t xml:space="preserve">6. </w:t>
      </w:r>
      <w:r w:rsidRPr="001243E1">
        <w:rPr>
          <w:rFonts w:ascii="Arial" w:hAnsi="Arial" w:cs="Arial"/>
          <w:b/>
          <w:bCs/>
          <w:sz w:val="22"/>
          <w:szCs w:val="22"/>
        </w:rPr>
        <w:t>Aplicación de WebAIM y redundancia de señales accesibles</w:t>
      </w:r>
    </w:p>
    <w:p w14:paraId="2DC0D7A7" w14:textId="5028E3A0" w:rsidR="001243E1" w:rsidRPr="001243E1" w:rsidRDefault="001243E1" w:rsidP="001243E1">
      <w:pPr>
        <w:rPr>
          <w:rFonts w:ascii="Arial" w:hAnsi="Arial" w:cs="Arial"/>
          <w:b/>
          <w:bCs/>
          <w:sz w:val="22"/>
          <w:szCs w:val="22"/>
        </w:rPr>
      </w:pPr>
      <w:r>
        <w:rPr>
          <w:rFonts w:ascii="Arial" w:hAnsi="Arial" w:cs="Arial"/>
          <w:b/>
          <w:bCs/>
          <w:sz w:val="22"/>
          <w:szCs w:val="22"/>
        </w:rPr>
        <w:t>6.1</w:t>
      </w:r>
      <w:r w:rsidRPr="001243E1">
        <w:rPr>
          <w:rFonts w:ascii="Arial" w:hAnsi="Arial" w:cs="Arial"/>
          <w:b/>
          <w:bCs/>
          <w:sz w:val="22"/>
          <w:szCs w:val="22"/>
        </w:rPr>
        <w:t>. Referencia a WebAIM</w:t>
      </w:r>
    </w:p>
    <w:p w14:paraId="5A1DDAB0" w14:textId="77777777" w:rsidR="001243E1" w:rsidRPr="001243E1" w:rsidRDefault="001243E1" w:rsidP="001243E1">
      <w:pPr>
        <w:rPr>
          <w:rFonts w:ascii="Arial" w:hAnsi="Arial" w:cs="Arial"/>
          <w:sz w:val="22"/>
          <w:szCs w:val="22"/>
        </w:rPr>
      </w:pPr>
      <w:r w:rsidRPr="001243E1">
        <w:rPr>
          <w:rFonts w:ascii="Arial" w:hAnsi="Arial" w:cs="Arial"/>
          <w:sz w:val="22"/>
          <w:szCs w:val="22"/>
        </w:rPr>
        <w:t xml:space="preserve">Para orientar las decisiones de accesibilidad visual de </w:t>
      </w:r>
      <w:r w:rsidRPr="001243E1">
        <w:rPr>
          <w:rFonts w:ascii="Arial" w:hAnsi="Arial" w:cs="Arial"/>
          <w:i/>
          <w:iCs/>
          <w:sz w:val="22"/>
          <w:szCs w:val="22"/>
        </w:rPr>
        <w:t>Río Limpio Adventure</w:t>
      </w:r>
      <w:r w:rsidRPr="001243E1">
        <w:rPr>
          <w:rFonts w:ascii="Arial" w:hAnsi="Arial" w:cs="Arial"/>
          <w:sz w:val="22"/>
          <w:szCs w:val="22"/>
        </w:rPr>
        <w:t>, se toma como referencia a WebAIM (Web Accessibility In Mind), organización que ofrece recursos y recomendaciones para mejorar la accesibilidad del contenido digital.</w:t>
      </w:r>
    </w:p>
    <w:p w14:paraId="465B748B" w14:textId="77777777" w:rsidR="001243E1" w:rsidRPr="001243E1" w:rsidRDefault="001243E1" w:rsidP="001243E1">
      <w:pPr>
        <w:rPr>
          <w:rFonts w:ascii="Arial" w:hAnsi="Arial" w:cs="Arial"/>
          <w:sz w:val="22"/>
          <w:szCs w:val="22"/>
        </w:rPr>
      </w:pPr>
      <w:r w:rsidRPr="001243E1">
        <w:rPr>
          <w:rFonts w:ascii="Arial" w:hAnsi="Arial" w:cs="Arial"/>
          <w:sz w:val="22"/>
          <w:szCs w:val="22"/>
        </w:rPr>
        <w:lastRenderedPageBreak/>
        <w:t xml:space="preserve">Se considera especialmente el principio de no utilizar el color como único medio para transmitir información. Esta recomendación también se relaciona con el criterio 1.4.1 de las Pautas de Accesibilidad para el Contenido Web (WCAG), denominado </w:t>
      </w:r>
      <w:r w:rsidRPr="001243E1">
        <w:rPr>
          <w:rFonts w:ascii="Arial" w:hAnsi="Arial" w:cs="Arial"/>
          <w:i/>
          <w:iCs/>
          <w:sz w:val="22"/>
          <w:szCs w:val="22"/>
        </w:rPr>
        <w:t>Use of Color</w:t>
      </w:r>
      <w:r w:rsidRPr="001243E1">
        <w:rPr>
          <w:rFonts w:ascii="Arial" w:hAnsi="Arial" w:cs="Arial"/>
          <w:sz w:val="22"/>
          <w:szCs w:val="22"/>
        </w:rPr>
        <w:t>.</w:t>
      </w:r>
    </w:p>
    <w:p w14:paraId="3D92D3D6" w14:textId="77777777" w:rsidR="001243E1" w:rsidRPr="001243E1" w:rsidRDefault="001243E1" w:rsidP="001243E1">
      <w:pPr>
        <w:rPr>
          <w:rFonts w:ascii="Arial" w:hAnsi="Arial" w:cs="Arial"/>
          <w:sz w:val="22"/>
          <w:szCs w:val="22"/>
        </w:rPr>
      </w:pPr>
      <w:r w:rsidRPr="001243E1">
        <w:rPr>
          <w:rFonts w:ascii="Arial" w:hAnsi="Arial" w:cs="Arial"/>
          <w:sz w:val="22"/>
          <w:szCs w:val="22"/>
        </w:rPr>
        <w:t xml:space="preserve">Referencia: </w:t>
      </w:r>
      <w:hyperlink r:id="rId5" w:history="1">
        <w:r w:rsidRPr="001243E1">
          <w:rPr>
            <w:rStyle w:val="Hipervnculo"/>
            <w:rFonts w:ascii="Arial" w:hAnsi="Arial" w:cs="Arial"/>
            <w:sz w:val="22"/>
            <w:szCs w:val="22"/>
          </w:rPr>
          <w:t>WebAIM</w:t>
        </w:r>
      </w:hyperlink>
      <w:r w:rsidRPr="001243E1">
        <w:rPr>
          <w:rFonts w:ascii="Arial" w:hAnsi="Arial" w:cs="Arial"/>
          <w:sz w:val="22"/>
          <w:szCs w:val="22"/>
        </w:rPr>
        <w:t xml:space="preserve"> y </w:t>
      </w:r>
      <w:hyperlink r:id="rId6" w:history="1">
        <w:r w:rsidRPr="001243E1">
          <w:rPr>
            <w:rStyle w:val="Hipervnculo"/>
            <w:rFonts w:ascii="Arial" w:hAnsi="Arial" w:cs="Arial"/>
            <w:sz w:val="22"/>
            <w:szCs w:val="22"/>
          </w:rPr>
          <w:t>WCAG 2.2, criterio 1.4.1</w:t>
        </w:r>
      </w:hyperlink>
      <w:r w:rsidRPr="001243E1">
        <w:rPr>
          <w:rFonts w:ascii="Arial" w:hAnsi="Arial" w:cs="Arial"/>
          <w:sz w:val="22"/>
          <w:szCs w:val="22"/>
        </w:rPr>
        <w:t>.</w:t>
      </w:r>
    </w:p>
    <w:p w14:paraId="44D57C54" w14:textId="6C05D25B" w:rsidR="001243E1" w:rsidRPr="001243E1" w:rsidRDefault="001243E1" w:rsidP="001243E1">
      <w:pPr>
        <w:rPr>
          <w:rFonts w:ascii="Arial" w:hAnsi="Arial" w:cs="Arial"/>
          <w:b/>
          <w:bCs/>
          <w:sz w:val="22"/>
          <w:szCs w:val="22"/>
        </w:rPr>
      </w:pPr>
      <w:r>
        <w:rPr>
          <w:rFonts w:ascii="Arial" w:hAnsi="Arial" w:cs="Arial"/>
          <w:b/>
          <w:bCs/>
          <w:sz w:val="22"/>
          <w:szCs w:val="22"/>
        </w:rPr>
        <w:t>6.</w:t>
      </w:r>
      <w:r w:rsidRPr="001243E1">
        <w:rPr>
          <w:rFonts w:ascii="Arial" w:hAnsi="Arial" w:cs="Arial"/>
          <w:b/>
          <w:bCs/>
          <w:sz w:val="22"/>
          <w:szCs w:val="22"/>
        </w:rPr>
        <w:t>2. Iconografía para personas con daltonismo</w:t>
      </w:r>
    </w:p>
    <w:p w14:paraId="4D0F7636" w14:textId="77777777" w:rsidR="001243E1" w:rsidRPr="001243E1" w:rsidRDefault="001243E1" w:rsidP="001243E1">
      <w:pPr>
        <w:rPr>
          <w:rFonts w:ascii="Arial" w:hAnsi="Arial" w:cs="Arial"/>
          <w:sz w:val="22"/>
          <w:szCs w:val="22"/>
        </w:rPr>
      </w:pPr>
      <w:r w:rsidRPr="001243E1">
        <w:rPr>
          <w:rFonts w:ascii="Arial" w:hAnsi="Arial" w:cs="Arial"/>
          <w:sz w:val="22"/>
          <w:szCs w:val="22"/>
        </w:rPr>
        <w:t>En el videojuego se diseñaron cuatro canecas identificadas mediante colores, iconos, patrones y números. Esta combinación permite distinguir las categorías de residuos sin depender exclusivamente de la percepción del color.</w:t>
      </w:r>
    </w:p>
    <w:p w14:paraId="6536CB55" w14:textId="77777777" w:rsidR="001243E1" w:rsidRPr="001243E1" w:rsidRDefault="001243E1" w:rsidP="001243E1">
      <w:pPr>
        <w:numPr>
          <w:ilvl w:val="0"/>
          <w:numId w:val="12"/>
        </w:numPr>
        <w:rPr>
          <w:rFonts w:ascii="Arial" w:hAnsi="Arial" w:cs="Arial"/>
          <w:sz w:val="22"/>
          <w:szCs w:val="22"/>
        </w:rPr>
      </w:pPr>
      <w:r w:rsidRPr="001243E1">
        <w:rPr>
          <w:rFonts w:ascii="Arial" w:hAnsi="Arial" w:cs="Arial"/>
          <w:b/>
          <w:bCs/>
          <w:sz w:val="22"/>
          <w:szCs w:val="22"/>
        </w:rPr>
        <w:t>Caneca azul, número 1:</w:t>
      </w:r>
      <w:r w:rsidRPr="001243E1">
        <w:rPr>
          <w:rFonts w:ascii="Arial" w:hAnsi="Arial" w:cs="Arial"/>
          <w:sz w:val="22"/>
          <w:szCs w:val="22"/>
        </w:rPr>
        <w:t xml:space="preserve"> presenta un icono de botella y una banda con líneas diagonales para identificar los residuos aprovechables.</w:t>
      </w:r>
    </w:p>
    <w:p w14:paraId="0223744B" w14:textId="77777777" w:rsidR="001243E1" w:rsidRPr="001243E1" w:rsidRDefault="001243E1" w:rsidP="001243E1">
      <w:pPr>
        <w:numPr>
          <w:ilvl w:val="0"/>
          <w:numId w:val="12"/>
        </w:numPr>
        <w:rPr>
          <w:rFonts w:ascii="Arial" w:hAnsi="Arial" w:cs="Arial"/>
          <w:sz w:val="22"/>
          <w:szCs w:val="22"/>
        </w:rPr>
      </w:pPr>
      <w:r w:rsidRPr="001243E1">
        <w:rPr>
          <w:rFonts w:ascii="Arial" w:hAnsi="Arial" w:cs="Arial"/>
          <w:b/>
          <w:bCs/>
          <w:sz w:val="22"/>
          <w:szCs w:val="22"/>
        </w:rPr>
        <w:t>Caneca roja, número 2:</w:t>
      </w:r>
      <w:r w:rsidRPr="001243E1">
        <w:rPr>
          <w:rFonts w:ascii="Arial" w:hAnsi="Arial" w:cs="Arial"/>
          <w:sz w:val="22"/>
          <w:szCs w:val="22"/>
        </w:rPr>
        <w:t xml:space="preserve"> incorpora un triángulo de advertencia y un patrón de rombos para identificar los residuos especiales.</w:t>
      </w:r>
    </w:p>
    <w:p w14:paraId="253110C1" w14:textId="77777777" w:rsidR="001243E1" w:rsidRPr="001243E1" w:rsidRDefault="001243E1" w:rsidP="001243E1">
      <w:pPr>
        <w:numPr>
          <w:ilvl w:val="0"/>
          <w:numId w:val="12"/>
        </w:numPr>
        <w:rPr>
          <w:rFonts w:ascii="Arial" w:hAnsi="Arial" w:cs="Arial"/>
          <w:sz w:val="22"/>
          <w:szCs w:val="22"/>
        </w:rPr>
      </w:pPr>
      <w:r w:rsidRPr="001243E1">
        <w:rPr>
          <w:rFonts w:ascii="Arial" w:hAnsi="Arial" w:cs="Arial"/>
          <w:b/>
          <w:bCs/>
          <w:sz w:val="22"/>
          <w:szCs w:val="22"/>
        </w:rPr>
        <w:t>Caneca verde, número 3:</w:t>
      </w:r>
      <w:r w:rsidRPr="001243E1">
        <w:rPr>
          <w:rFonts w:ascii="Arial" w:hAnsi="Arial" w:cs="Arial"/>
          <w:sz w:val="22"/>
          <w:szCs w:val="22"/>
        </w:rPr>
        <w:t xml:space="preserve"> utiliza un icono de hoja y un patrón de puntos para identificar los residuos orgánicos.</w:t>
      </w:r>
    </w:p>
    <w:p w14:paraId="665C75BC" w14:textId="77777777" w:rsidR="001243E1" w:rsidRPr="001243E1" w:rsidRDefault="001243E1" w:rsidP="001243E1">
      <w:pPr>
        <w:numPr>
          <w:ilvl w:val="0"/>
          <w:numId w:val="12"/>
        </w:numPr>
        <w:rPr>
          <w:rFonts w:ascii="Arial" w:hAnsi="Arial" w:cs="Arial"/>
          <w:sz w:val="22"/>
          <w:szCs w:val="22"/>
        </w:rPr>
      </w:pPr>
      <w:r w:rsidRPr="001243E1">
        <w:rPr>
          <w:rFonts w:ascii="Arial" w:hAnsi="Arial" w:cs="Arial"/>
          <w:b/>
          <w:bCs/>
          <w:sz w:val="22"/>
          <w:szCs w:val="22"/>
        </w:rPr>
        <w:t>Caneca gris, número 4:</w:t>
      </w:r>
      <w:r w:rsidRPr="001243E1">
        <w:rPr>
          <w:rFonts w:ascii="Arial" w:hAnsi="Arial" w:cs="Arial"/>
          <w:sz w:val="22"/>
          <w:szCs w:val="22"/>
        </w:rPr>
        <w:t xml:space="preserve"> presenta una X y un patrón de líneas horizontales para identificar los residuos no aprovechables.</w:t>
      </w:r>
    </w:p>
    <w:p w14:paraId="041D91EE" w14:textId="77777777" w:rsidR="001243E1" w:rsidRPr="001243E1" w:rsidRDefault="001243E1" w:rsidP="001243E1">
      <w:pPr>
        <w:rPr>
          <w:rFonts w:ascii="Arial" w:hAnsi="Arial" w:cs="Arial"/>
          <w:sz w:val="22"/>
          <w:szCs w:val="22"/>
        </w:rPr>
      </w:pPr>
      <w:r w:rsidRPr="001243E1">
        <w:rPr>
          <w:rFonts w:ascii="Arial" w:hAnsi="Arial" w:cs="Arial"/>
          <w:sz w:val="22"/>
          <w:szCs w:val="22"/>
        </w:rPr>
        <w:t>La redundancia entre color, iconografía, patrón y numeración ofrece diferentes pistas visuales para reconocer cada categoría. Esta decisión busca facilitar la identificación de las canecas a personas con diferentes formas de percepción del color.</w:t>
      </w:r>
    </w:p>
    <w:p w14:paraId="67810E9C" w14:textId="461CB2BE" w:rsidR="001243E1" w:rsidRPr="001243E1" w:rsidRDefault="001243E1" w:rsidP="001243E1">
      <w:pPr>
        <w:rPr>
          <w:rFonts w:ascii="Arial" w:hAnsi="Arial" w:cs="Arial"/>
          <w:b/>
          <w:bCs/>
          <w:sz w:val="22"/>
          <w:szCs w:val="22"/>
        </w:rPr>
      </w:pPr>
      <w:r>
        <w:rPr>
          <w:rFonts w:ascii="Arial" w:hAnsi="Arial" w:cs="Arial"/>
          <w:b/>
          <w:bCs/>
          <w:sz w:val="22"/>
          <w:szCs w:val="22"/>
        </w:rPr>
        <w:t>6.</w:t>
      </w:r>
      <w:r w:rsidRPr="001243E1">
        <w:rPr>
          <w:rFonts w:ascii="Arial" w:hAnsi="Arial" w:cs="Arial"/>
          <w:b/>
          <w:bCs/>
          <w:sz w:val="22"/>
          <w:szCs w:val="22"/>
        </w:rPr>
        <w:t>3. Redundancia entre sonidos y señales visuales</w:t>
      </w:r>
    </w:p>
    <w:p w14:paraId="04D2D074" w14:textId="77777777" w:rsidR="007B1D78" w:rsidRDefault="001243E1" w:rsidP="001243E1">
      <w:pPr>
        <w:rPr>
          <w:rFonts w:ascii="Arial" w:hAnsi="Arial" w:cs="Arial"/>
          <w:sz w:val="22"/>
          <w:szCs w:val="22"/>
        </w:rPr>
      </w:pPr>
      <w:r w:rsidRPr="001243E1">
        <w:rPr>
          <w:rFonts w:ascii="Arial" w:hAnsi="Arial" w:cs="Arial"/>
          <w:sz w:val="22"/>
          <w:szCs w:val="22"/>
        </w:rPr>
        <w:t>El videojuego incorpora cuatro recursos de audio: sonido de clasificación correcta, sonido de error, música ambiental y sonido de selección mediante clic</w:t>
      </w:r>
      <w:r w:rsidR="007B1D78">
        <w:rPr>
          <w:rFonts w:ascii="Arial" w:hAnsi="Arial" w:cs="Arial"/>
          <w:sz w:val="22"/>
          <w:szCs w:val="22"/>
        </w:rPr>
        <w:t>k</w:t>
      </w:r>
    </w:p>
    <w:p w14:paraId="5D1A548E" w14:textId="2FFD3B00" w:rsidR="001243E1" w:rsidRPr="001243E1" w:rsidRDefault="007B1D78" w:rsidP="001243E1">
      <w:pPr>
        <w:rPr>
          <w:rFonts w:ascii="Arial" w:hAnsi="Arial" w:cs="Arial"/>
          <w:sz w:val="22"/>
          <w:szCs w:val="22"/>
        </w:rPr>
      </w:pPr>
      <w:r>
        <w:rPr>
          <w:rFonts w:ascii="Arial" w:hAnsi="Arial" w:cs="Arial"/>
          <w:sz w:val="22"/>
          <w:szCs w:val="22"/>
        </w:rPr>
        <w:t xml:space="preserve">La </w:t>
      </w:r>
      <w:r w:rsidRPr="001243E1">
        <w:rPr>
          <w:rFonts w:ascii="Arial" w:hAnsi="Arial" w:cs="Arial"/>
          <w:sz w:val="22"/>
          <w:szCs w:val="22"/>
        </w:rPr>
        <w:t>clasificación correcta</w:t>
      </w:r>
      <w:r>
        <w:rPr>
          <w:rFonts w:ascii="Arial" w:hAnsi="Arial" w:cs="Arial"/>
          <w:sz w:val="22"/>
          <w:szCs w:val="22"/>
        </w:rPr>
        <w:t xml:space="preserve"> y el</w:t>
      </w:r>
      <w:r w:rsidRPr="001243E1">
        <w:rPr>
          <w:rFonts w:ascii="Arial" w:hAnsi="Arial" w:cs="Arial"/>
          <w:sz w:val="22"/>
          <w:szCs w:val="22"/>
        </w:rPr>
        <w:t xml:space="preserve"> sonido de erro</w:t>
      </w:r>
      <w:r>
        <w:rPr>
          <w:rFonts w:ascii="Arial" w:hAnsi="Arial" w:cs="Arial"/>
          <w:sz w:val="22"/>
          <w:szCs w:val="22"/>
        </w:rPr>
        <w:t>r se complementan con señales visuales</w:t>
      </w:r>
      <w:r w:rsidR="001243E1" w:rsidRPr="001243E1">
        <w:rPr>
          <w:rFonts w:ascii="Arial" w:hAnsi="Arial" w:cs="Arial"/>
          <w:sz w:val="22"/>
          <w:szCs w:val="22"/>
        </w:rPr>
        <w:t>.</w:t>
      </w:r>
    </w:p>
    <w:p w14:paraId="68A9111B" w14:textId="20CD29AC" w:rsidR="001243E1" w:rsidRPr="001243E1" w:rsidRDefault="001243E1" w:rsidP="001243E1">
      <w:pPr>
        <w:rPr>
          <w:rFonts w:ascii="Arial" w:hAnsi="Arial" w:cs="Arial"/>
          <w:sz w:val="22"/>
          <w:szCs w:val="22"/>
        </w:rPr>
      </w:pPr>
      <w:r w:rsidRPr="001243E1">
        <w:rPr>
          <w:rFonts w:ascii="Arial" w:hAnsi="Arial" w:cs="Arial"/>
          <w:sz w:val="22"/>
          <w:szCs w:val="22"/>
        </w:rPr>
        <w:t>La música ambiental contribuye a la atmósfera del juego, mientras que los efectos de selección, acierto y error informan sobre las acciones realizadas. Se recomienda permitir el control del volumen.</w:t>
      </w:r>
    </w:p>
    <w:p w14:paraId="39022C93" w14:textId="58A4A132" w:rsidR="001243E1" w:rsidRPr="001243E1" w:rsidRDefault="001243E1" w:rsidP="001243E1">
      <w:pPr>
        <w:rPr>
          <w:rFonts w:ascii="Arial" w:hAnsi="Arial" w:cs="Arial"/>
          <w:sz w:val="22"/>
          <w:szCs w:val="22"/>
        </w:rPr>
      </w:pPr>
      <w:r w:rsidRPr="001243E1">
        <w:rPr>
          <w:rFonts w:ascii="Arial" w:hAnsi="Arial" w:cs="Arial"/>
          <w:b/>
          <w:bCs/>
          <w:sz w:val="22"/>
          <w:szCs w:val="22"/>
        </w:rPr>
        <w:t>Evidencias:</w:t>
      </w:r>
      <w:r w:rsidR="00BB1879">
        <w:rPr>
          <w:rFonts w:ascii="Arial" w:hAnsi="Arial" w:cs="Arial"/>
          <w:sz w:val="22"/>
          <w:szCs w:val="22"/>
        </w:rPr>
        <w:t xml:space="preserve"> grabación</w:t>
      </w:r>
      <w:r w:rsidRPr="001243E1">
        <w:rPr>
          <w:rFonts w:ascii="Arial" w:hAnsi="Arial" w:cs="Arial"/>
          <w:sz w:val="22"/>
          <w:szCs w:val="22"/>
        </w:rPr>
        <w:t>.</w:t>
      </w:r>
    </w:p>
    <w:p w14:paraId="7B50ED65" w14:textId="77777777" w:rsidR="00337D5D" w:rsidRPr="009D4CDD" w:rsidRDefault="00337D5D" w:rsidP="009D4CDD">
      <w:pPr>
        <w:rPr>
          <w:rFonts w:ascii="Arial" w:hAnsi="Arial" w:cs="Arial"/>
          <w:sz w:val="22"/>
          <w:szCs w:val="22"/>
        </w:rPr>
      </w:pPr>
    </w:p>
    <w:sectPr w:rsidR="00337D5D" w:rsidRPr="009D4C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C48"/>
    <w:multiLevelType w:val="multilevel"/>
    <w:tmpl w:val="4162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F48BD"/>
    <w:multiLevelType w:val="multilevel"/>
    <w:tmpl w:val="5A92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43119"/>
    <w:multiLevelType w:val="multilevel"/>
    <w:tmpl w:val="89B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E5183"/>
    <w:multiLevelType w:val="multilevel"/>
    <w:tmpl w:val="A9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5216D"/>
    <w:multiLevelType w:val="multilevel"/>
    <w:tmpl w:val="2F4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2587F"/>
    <w:multiLevelType w:val="multilevel"/>
    <w:tmpl w:val="B0A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52336"/>
    <w:multiLevelType w:val="multilevel"/>
    <w:tmpl w:val="F6D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95320"/>
    <w:multiLevelType w:val="multilevel"/>
    <w:tmpl w:val="682E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C47A7"/>
    <w:multiLevelType w:val="multilevel"/>
    <w:tmpl w:val="4A78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0357D"/>
    <w:multiLevelType w:val="multilevel"/>
    <w:tmpl w:val="618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5407A"/>
    <w:multiLevelType w:val="multilevel"/>
    <w:tmpl w:val="86E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00975"/>
    <w:multiLevelType w:val="multilevel"/>
    <w:tmpl w:val="EF1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474076">
    <w:abstractNumId w:val="4"/>
  </w:num>
  <w:num w:numId="2" w16cid:durableId="1388451846">
    <w:abstractNumId w:val="10"/>
  </w:num>
  <w:num w:numId="3" w16cid:durableId="90711173">
    <w:abstractNumId w:val="2"/>
  </w:num>
  <w:num w:numId="4" w16cid:durableId="1157065350">
    <w:abstractNumId w:val="1"/>
  </w:num>
  <w:num w:numId="5" w16cid:durableId="196623737">
    <w:abstractNumId w:val="8"/>
  </w:num>
  <w:num w:numId="6" w16cid:durableId="518158270">
    <w:abstractNumId w:val="7"/>
  </w:num>
  <w:num w:numId="7" w16cid:durableId="369304640">
    <w:abstractNumId w:val="11"/>
  </w:num>
  <w:num w:numId="8" w16cid:durableId="1336613173">
    <w:abstractNumId w:val="6"/>
  </w:num>
  <w:num w:numId="9" w16cid:durableId="502016988">
    <w:abstractNumId w:val="5"/>
  </w:num>
  <w:num w:numId="10" w16cid:durableId="1297249549">
    <w:abstractNumId w:val="0"/>
  </w:num>
  <w:num w:numId="11" w16cid:durableId="156000756">
    <w:abstractNumId w:val="3"/>
  </w:num>
  <w:num w:numId="12" w16cid:durableId="2077046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46C"/>
    <w:rsid w:val="00010F1A"/>
    <w:rsid w:val="0003062C"/>
    <w:rsid w:val="000905EA"/>
    <w:rsid w:val="000A5504"/>
    <w:rsid w:val="000C4DE1"/>
    <w:rsid w:val="001243E1"/>
    <w:rsid w:val="00291384"/>
    <w:rsid w:val="00337D5D"/>
    <w:rsid w:val="003F5E4E"/>
    <w:rsid w:val="004504D5"/>
    <w:rsid w:val="005455B6"/>
    <w:rsid w:val="007B1D78"/>
    <w:rsid w:val="008064FF"/>
    <w:rsid w:val="0097604A"/>
    <w:rsid w:val="009D4CDD"/>
    <w:rsid w:val="009E07B7"/>
    <w:rsid w:val="00AB298C"/>
    <w:rsid w:val="00AF046C"/>
    <w:rsid w:val="00BB1879"/>
    <w:rsid w:val="00F57E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B119"/>
  <w15:chartTrackingRefBased/>
  <w15:docId w15:val="{B38C5301-B0E0-4339-94EC-D628B1746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62C"/>
    <w:rPr>
      <w:lang w:val="es-CO"/>
    </w:rPr>
  </w:style>
  <w:style w:type="paragraph" w:styleId="Ttulo1">
    <w:name w:val="heading 1"/>
    <w:basedOn w:val="Normal"/>
    <w:next w:val="Normal"/>
    <w:link w:val="Ttulo1Car"/>
    <w:uiPriority w:val="9"/>
    <w:qFormat/>
    <w:rsid w:val="00AF0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F0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F046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F046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F046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F04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04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04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04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046C"/>
    <w:rPr>
      <w:rFonts w:asciiTheme="majorHAnsi" w:eastAsiaTheme="majorEastAsia" w:hAnsiTheme="majorHAnsi" w:cstheme="majorBidi"/>
      <w:color w:val="2F5496" w:themeColor="accent1" w:themeShade="BF"/>
      <w:sz w:val="40"/>
      <w:szCs w:val="40"/>
      <w:lang w:val="es-CO"/>
    </w:rPr>
  </w:style>
  <w:style w:type="character" w:customStyle="1" w:styleId="Ttulo2Car">
    <w:name w:val="Título 2 Car"/>
    <w:basedOn w:val="Fuentedeprrafopredeter"/>
    <w:link w:val="Ttulo2"/>
    <w:uiPriority w:val="9"/>
    <w:semiHidden/>
    <w:rsid w:val="00AF046C"/>
    <w:rPr>
      <w:rFonts w:asciiTheme="majorHAnsi" w:eastAsiaTheme="majorEastAsia" w:hAnsiTheme="majorHAnsi" w:cstheme="majorBidi"/>
      <w:color w:val="2F5496" w:themeColor="accent1" w:themeShade="BF"/>
      <w:sz w:val="32"/>
      <w:szCs w:val="32"/>
      <w:lang w:val="es-CO"/>
    </w:rPr>
  </w:style>
  <w:style w:type="character" w:customStyle="1" w:styleId="Ttulo3Car">
    <w:name w:val="Título 3 Car"/>
    <w:basedOn w:val="Fuentedeprrafopredeter"/>
    <w:link w:val="Ttulo3"/>
    <w:uiPriority w:val="9"/>
    <w:semiHidden/>
    <w:rsid w:val="00AF046C"/>
    <w:rPr>
      <w:rFonts w:eastAsiaTheme="majorEastAsia" w:cstheme="majorBidi"/>
      <w:color w:val="2F5496" w:themeColor="accent1" w:themeShade="BF"/>
      <w:sz w:val="28"/>
      <w:szCs w:val="28"/>
      <w:lang w:val="es-CO"/>
    </w:rPr>
  </w:style>
  <w:style w:type="character" w:customStyle="1" w:styleId="Ttulo4Car">
    <w:name w:val="Título 4 Car"/>
    <w:basedOn w:val="Fuentedeprrafopredeter"/>
    <w:link w:val="Ttulo4"/>
    <w:uiPriority w:val="9"/>
    <w:semiHidden/>
    <w:rsid w:val="00AF046C"/>
    <w:rPr>
      <w:rFonts w:eastAsiaTheme="majorEastAsia" w:cstheme="majorBidi"/>
      <w:i/>
      <w:iCs/>
      <w:color w:val="2F5496" w:themeColor="accent1" w:themeShade="BF"/>
      <w:lang w:val="es-CO"/>
    </w:rPr>
  </w:style>
  <w:style w:type="character" w:customStyle="1" w:styleId="Ttulo5Car">
    <w:name w:val="Título 5 Car"/>
    <w:basedOn w:val="Fuentedeprrafopredeter"/>
    <w:link w:val="Ttulo5"/>
    <w:uiPriority w:val="9"/>
    <w:semiHidden/>
    <w:rsid w:val="00AF046C"/>
    <w:rPr>
      <w:rFonts w:eastAsiaTheme="majorEastAsia" w:cstheme="majorBidi"/>
      <w:color w:val="2F5496" w:themeColor="accent1" w:themeShade="BF"/>
      <w:lang w:val="es-CO"/>
    </w:rPr>
  </w:style>
  <w:style w:type="character" w:customStyle="1" w:styleId="Ttulo6Car">
    <w:name w:val="Título 6 Car"/>
    <w:basedOn w:val="Fuentedeprrafopredeter"/>
    <w:link w:val="Ttulo6"/>
    <w:uiPriority w:val="9"/>
    <w:semiHidden/>
    <w:rsid w:val="00AF046C"/>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AF046C"/>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AF046C"/>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AF046C"/>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AF0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046C"/>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AF04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046C"/>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AF046C"/>
    <w:pPr>
      <w:spacing w:before="160"/>
      <w:jc w:val="center"/>
    </w:pPr>
    <w:rPr>
      <w:i/>
      <w:iCs/>
      <w:color w:val="404040" w:themeColor="text1" w:themeTint="BF"/>
    </w:rPr>
  </w:style>
  <w:style w:type="character" w:customStyle="1" w:styleId="CitaCar">
    <w:name w:val="Cita Car"/>
    <w:basedOn w:val="Fuentedeprrafopredeter"/>
    <w:link w:val="Cita"/>
    <w:uiPriority w:val="29"/>
    <w:rsid w:val="00AF046C"/>
    <w:rPr>
      <w:i/>
      <w:iCs/>
      <w:color w:val="404040" w:themeColor="text1" w:themeTint="BF"/>
      <w:lang w:val="es-CO"/>
    </w:rPr>
  </w:style>
  <w:style w:type="paragraph" w:styleId="Prrafodelista">
    <w:name w:val="List Paragraph"/>
    <w:basedOn w:val="Normal"/>
    <w:uiPriority w:val="34"/>
    <w:qFormat/>
    <w:rsid w:val="00AF046C"/>
    <w:pPr>
      <w:ind w:left="720"/>
      <w:contextualSpacing/>
    </w:pPr>
  </w:style>
  <w:style w:type="character" w:styleId="nfasisintenso">
    <w:name w:val="Intense Emphasis"/>
    <w:basedOn w:val="Fuentedeprrafopredeter"/>
    <w:uiPriority w:val="21"/>
    <w:qFormat/>
    <w:rsid w:val="00AF046C"/>
    <w:rPr>
      <w:i/>
      <w:iCs/>
      <w:color w:val="2F5496" w:themeColor="accent1" w:themeShade="BF"/>
    </w:rPr>
  </w:style>
  <w:style w:type="paragraph" w:styleId="Citadestacada">
    <w:name w:val="Intense Quote"/>
    <w:basedOn w:val="Normal"/>
    <w:next w:val="Normal"/>
    <w:link w:val="CitadestacadaCar"/>
    <w:uiPriority w:val="30"/>
    <w:qFormat/>
    <w:rsid w:val="00AF0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F046C"/>
    <w:rPr>
      <w:i/>
      <w:iCs/>
      <w:color w:val="2F5496" w:themeColor="accent1" w:themeShade="BF"/>
      <w:lang w:val="es-CO"/>
    </w:rPr>
  </w:style>
  <w:style w:type="character" w:styleId="Referenciaintensa">
    <w:name w:val="Intense Reference"/>
    <w:basedOn w:val="Fuentedeprrafopredeter"/>
    <w:uiPriority w:val="32"/>
    <w:qFormat/>
    <w:rsid w:val="00AF046C"/>
    <w:rPr>
      <w:b/>
      <w:bCs/>
      <w:smallCaps/>
      <w:color w:val="2F5496" w:themeColor="accent1" w:themeShade="BF"/>
      <w:spacing w:val="5"/>
    </w:rPr>
  </w:style>
  <w:style w:type="character" w:styleId="Hipervnculo">
    <w:name w:val="Hyperlink"/>
    <w:basedOn w:val="Fuentedeprrafopredeter"/>
    <w:uiPriority w:val="99"/>
    <w:unhideWhenUsed/>
    <w:rsid w:val="001243E1"/>
    <w:rPr>
      <w:color w:val="0563C1" w:themeColor="hyperlink"/>
      <w:u w:val="single"/>
    </w:rPr>
  </w:style>
  <w:style w:type="character" w:styleId="Mencinsinresolver">
    <w:name w:val="Unresolved Mention"/>
    <w:basedOn w:val="Fuentedeprrafopredeter"/>
    <w:uiPriority w:val="99"/>
    <w:semiHidden/>
    <w:unhideWhenUsed/>
    <w:rsid w:val="00124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org/WAI/WCAG22/Understanding/use-of-color.html" TargetMode="External"/><Relationship Id="rId5" Type="http://schemas.openxmlformats.org/officeDocument/2006/relationships/hyperlink" Target="https://webaim.or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2422</Words>
  <Characters>13326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Esteban</dc:creator>
  <cp:keywords/>
  <dc:description/>
  <cp:lastModifiedBy>Daniel Esteban</cp:lastModifiedBy>
  <cp:revision>20</cp:revision>
  <dcterms:created xsi:type="dcterms:W3CDTF">2026-10-25T22:58:00Z</dcterms:created>
  <dcterms:modified xsi:type="dcterms:W3CDTF">2026-10-25T23:53:00Z</dcterms:modified>
</cp:coreProperties>
</file>