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A79F2" w14:textId="164B13FA" w:rsidR="00D12908" w:rsidRPr="00335073" w:rsidRDefault="00000000">
      <w:pPr>
        <w:spacing w:before="240" w:after="80"/>
        <w:jc w:val="center"/>
        <w:rPr>
          <w:lang w:val="es-CO"/>
        </w:rPr>
      </w:pPr>
      <w:r w:rsidRPr="00335073">
        <w:rPr>
          <w:b/>
          <w:color w:val="44546A"/>
          <w:lang w:val="es-CO"/>
        </w:rPr>
        <w:t>INSTITUCIÓN UNIVERSITARIA POLITÉCNICO GRANCOLOMBIANO</w:t>
      </w:r>
    </w:p>
    <w:p w14:paraId="291518C0" w14:textId="0A164E2E" w:rsidR="00D12908" w:rsidRPr="00335073" w:rsidRDefault="00000000">
      <w:pPr>
        <w:spacing w:after="40"/>
        <w:jc w:val="center"/>
        <w:rPr>
          <w:lang w:val="es-CO"/>
        </w:rPr>
      </w:pPr>
      <w:r w:rsidRPr="00335073">
        <w:rPr>
          <w:b/>
          <w:sz w:val="20"/>
          <w:lang w:val="es-CO"/>
        </w:rPr>
        <w:t>FACULTAD DE INGENIERÍA, DISEÑO E INNOVACIÓN</w:t>
      </w:r>
    </w:p>
    <w:p w14:paraId="29633D71" w14:textId="2D46D637" w:rsidR="00D12908" w:rsidRPr="00335073" w:rsidRDefault="00000000">
      <w:pPr>
        <w:spacing w:after="40"/>
        <w:jc w:val="center"/>
        <w:rPr>
          <w:lang w:val="es-CO"/>
        </w:rPr>
      </w:pPr>
      <w:r w:rsidRPr="00335073">
        <w:rPr>
          <w:b/>
          <w:sz w:val="20"/>
          <w:lang w:val="es-CO"/>
        </w:rPr>
        <w:t>INGENIERÍA DE S</w:t>
      </w:r>
      <w:r w:rsidR="00827F38">
        <w:rPr>
          <w:b/>
          <w:sz w:val="20"/>
          <w:lang w:val="es-CO"/>
        </w:rPr>
        <w:t>OFTWARE</w:t>
      </w:r>
    </w:p>
    <w:p w14:paraId="5F38DAA9" w14:textId="45169513" w:rsidR="00D12908" w:rsidRPr="00335073" w:rsidRDefault="00000000">
      <w:pPr>
        <w:spacing w:after="480"/>
        <w:jc w:val="center"/>
        <w:rPr>
          <w:lang w:val="es-CO"/>
        </w:rPr>
      </w:pPr>
      <w:r w:rsidRPr="00335073">
        <w:rPr>
          <w:b/>
          <w:sz w:val="20"/>
          <w:lang w:val="es-CO"/>
        </w:rPr>
        <w:t>GRUPO DE INVESTIGACIÓN E-TIC</w:t>
      </w:r>
    </w:p>
    <w:p w14:paraId="23297198" w14:textId="6B84A753" w:rsidR="00D12908" w:rsidRPr="00335073" w:rsidRDefault="0039429B">
      <w:pPr>
        <w:spacing w:after="720"/>
        <w:jc w:val="center"/>
        <w:rPr>
          <w:lang w:val="es-CO"/>
        </w:rPr>
      </w:pPr>
      <w:r>
        <w:rPr>
          <w:rFonts w:ascii="Times New Roman"/>
          <w:noProof/>
          <w:sz w:val="20"/>
        </w:rPr>
        <w:drawing>
          <wp:inline distT="0" distB="0" distL="0" distR="0" wp14:anchorId="5B141822" wp14:editId="2CEEA94B">
            <wp:extent cx="1181100" cy="66141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181100" cy="661416"/>
                    </a:xfrm>
                    <a:prstGeom prst="rect">
                      <a:avLst/>
                    </a:prstGeom>
                  </pic:spPr>
                </pic:pic>
              </a:graphicData>
            </a:graphic>
          </wp:inline>
        </w:drawing>
      </w:r>
    </w:p>
    <w:p w14:paraId="07F792CA" w14:textId="09D04E13" w:rsidR="00D12908" w:rsidRPr="00335073" w:rsidRDefault="00000000">
      <w:pPr>
        <w:spacing w:after="240"/>
        <w:jc w:val="center"/>
        <w:rPr>
          <w:lang w:val="es-CO"/>
        </w:rPr>
      </w:pPr>
      <w:r w:rsidRPr="00335073">
        <w:rPr>
          <w:b/>
          <w:color w:val="44546A"/>
          <w:sz w:val="28"/>
          <w:lang w:val="es-CO"/>
        </w:rPr>
        <w:t>ANTEPROYECTO</w:t>
      </w:r>
    </w:p>
    <w:p w14:paraId="3FC6F632" w14:textId="57111E91" w:rsidR="00D12908" w:rsidRPr="00335073" w:rsidRDefault="00000000">
      <w:pPr>
        <w:spacing w:after="700"/>
        <w:jc w:val="center"/>
        <w:rPr>
          <w:lang w:val="es-CO"/>
        </w:rPr>
      </w:pPr>
      <w:r>
        <w:rPr>
          <w:b/>
          <w:color w:val="44546A"/>
          <w:sz w:val="30"/>
        </w:rPr>
        <w:t>“DISEÑO Y VALIDACIÓN DE UNA PLATAFORMA MÓVIL RESILIENTE, MULTICANAL Y CENTRADA EN LA PRIVACIDAD PARA LA VERIFICACIÓN DE BIENESTAR, LOCALIZACIÓN Y COORDINACIÓN DE AYUDA ANTE EMERGENCIAS, DESASTRES Y SITUACIONES DE DESAPARICIÓN”</w:t>
      </w:r>
    </w:p>
    <w:p w14:paraId="4EDFB973" w14:textId="6B8A4BD7" w:rsidR="00D12908" w:rsidRPr="00335073" w:rsidRDefault="00000000">
      <w:pPr>
        <w:spacing w:after="80"/>
        <w:jc w:val="center"/>
        <w:rPr>
          <w:lang w:val="es-CO"/>
        </w:rPr>
      </w:pPr>
      <w:r w:rsidRPr="00335073">
        <w:rPr>
          <w:b/>
          <w:color w:val="646464"/>
          <w:sz w:val="20"/>
          <w:lang w:val="es-CO"/>
        </w:rPr>
        <w:t>PRESENTA:</w:t>
      </w:r>
    </w:p>
    <w:p w14:paraId="77DA5015" w14:textId="77777777" w:rsidR="00D12908" w:rsidRPr="00335073" w:rsidRDefault="00000000">
      <w:pPr>
        <w:spacing w:after="40"/>
        <w:jc w:val="center"/>
        <w:rPr>
          <w:lang w:val="es-CO"/>
        </w:rPr>
      </w:pPr>
      <w:r>
        <w:rPr>
          <w:b/>
          <w:color w:val="1E283C"/>
        </w:rPr>
        <w:t>Carlos Andrés Hernández Izquierdo</w:t>
      </w:r>
    </w:p>
    <w:p w14:paraId="0D3F37A2" w14:textId="77777777" w:rsidR="00D12908" w:rsidRPr="00335073" w:rsidRDefault="00000000">
      <w:pPr>
        <w:spacing w:after="480"/>
        <w:jc w:val="center"/>
        <w:rPr>
          <w:lang w:val="es-CO"/>
        </w:rPr>
      </w:pPr>
      <w:r>
        <w:t>Código: ____________________</w:t>
      </w:r>
    </w:p>
    <w:p w14:paraId="4D45FB05" w14:textId="77777777" w:rsidR="00D12908" w:rsidRPr="00335073" w:rsidRDefault="00000000">
      <w:pPr>
        <w:spacing w:after="80"/>
        <w:jc w:val="center"/>
        <w:rPr>
          <w:lang w:val="es-CO"/>
        </w:rPr>
      </w:pPr>
      <w:r>
        <w:t>ASESOR:</w:t>
      </w:r>
    </w:p>
    <w:p w14:paraId="10BBDF5D" w14:textId="77777777" w:rsidR="00D12908" w:rsidRPr="00335073" w:rsidRDefault="00000000">
      <w:pPr>
        <w:spacing w:after="720"/>
        <w:jc w:val="center"/>
        <w:rPr>
          <w:lang w:val="es-CO"/>
        </w:rPr>
      </w:pPr>
      <w:r>
        <w:t>____________________________</w:t>
      </w:r>
    </w:p>
    <w:p w14:paraId="12749F85" w14:textId="77777777" w:rsidR="00D12908" w:rsidRPr="00335073" w:rsidRDefault="00000000">
      <w:pPr>
        <w:spacing w:before="700"/>
        <w:jc w:val="center"/>
        <w:rPr>
          <w:lang w:val="es-CO"/>
        </w:rPr>
      </w:pPr>
      <w:r>
        <w:rPr>
          <w:b/>
        </w:rPr>
        <w:t>Septiembre de 2026</w:t>
      </w:r>
      <w:r>
        <w:br w:type="page"/>
      </w:r>
    </w:p>
    <w:p>
      <w:pPr>
        <w:pStyle w:val="Ttulo1"/>
      </w:pPr>
      <w:r>
        <w:t>1. INTRODUCCIÓN</w:t>
      </w:r>
    </w:p>
    <w:p>
      <w:pPr>
        <w:pStyle w:val="BodyAcademic"/>
        <w:jc w:val="both"/>
      </w:pPr>
      <w:r>
        <w:t>El 10 de agosto de 2026 Colombia experimentó un terremoto de magnitud 7,4, con profundidad cercana a 103 km y epicentro en San José del Palmar, Chocó. El Servicio Geológico Colombiano (SGC) lo caracterizó como un evento excepcional dentro del registro sísmico reciente del país [1]. Durante la respuesta se movilizaron equipos de búsqueda y rescate y, en los días posteriores, los reportes oficiales de personas desaparecidas variaron de forma sustancial mientras las instituciones conciliaban información [2]–[5]. El episodio hizo visible un problema que no termina con la detección del fenómeno: durante una emergencia, la ausencia de comunicación confiable puede dejar a las familias sin información suficiente para saber si una persona está bien, necesita ayuda o simplemente no puede responder.</w:t>
      </w:r>
    </w:p>
    <w:p>
      <w:pPr>
        <w:pStyle w:val="BodyAcademic"/>
        <w:jc w:val="both"/>
      </w:pPr>
      <w:r>
        <w:t>El antecedente histórico de Armero refuerza la dimensión humana del problema. El SGC documenta que existía conocimiento técnico del riesgo antes de la tragedia de 1985, pero la información no se convirtió oportunamente en una comunicación clara, creíble y accionable para la población [6]. Décadas después, la evidencia internacional sigue mostrando fallas de naturaleza similar. Tras los terremotos de Venezuela del 24 de junio de 2026, la IFRC documentó caída de líneas de comunicación, familias sin noticias de sus allegados, activación de Restoring Family Links (RFL) e instalación de radios y repetidores [7]. En México, un reporte oficial local posterior al sismo del 17 de julio de 2026 registró que antenas de alerta activas no emitieron la señal audible esperada [8].</w:t>
      </w:r>
    </w:p>
    <w:p>
      <w:pPr>
        <w:pStyle w:val="BodyAcademic"/>
        <w:jc w:val="both"/>
      </w:pPr>
      <w:r>
        <w:t>La revisión de soluciones existentes confirma que el problema no se explica por ausencia de tecnología. Apple, Google/Android, Life360, MyShake y los sistemas públicos ya resuelven fragmentos relevantes: SOS, check-in, ubicación de emergencia, detección de accidentes, seguimiento familiar y alertamiento. RFL atiende el restablecimiento de vínculos [9], [10], mientras Colombia dispone del Registro Nacional de Desaparecidos (RND), SIRDEC, el Mecanismo de Búsqueda Urgente (MBU) y la Alerta Rosa [12]–[19]. La brecha aparece cuando estas capacidades se analizan como un proceso completo de continuidad personal: qué información mínima existe antes del evento, qué ocurre cuando la persona no puede responder, cómo se conserva el último contexto confiable, cómo se evita depender de un único canal y cómo se coordinan familiares, comunidad e instituciones sin exponer innecesariamente datos sensibles.</w:t>
      </w:r>
    </w:p>
    <w:p>
      <w:pPr>
        <w:pStyle w:val="BodyAcademic"/>
        <w:jc w:val="both"/>
      </w:pPr>
      <w:r>
        <w:t>La propuesta plantea una plataforma móvil resiliente, multicanal y centrada en la privacidad. No pretende sustituir al SGC, IDEAM, UNGRD, Medicina Legal, Fiscalía, Policía ni a los servicios de emergencia del sistema operativo. Su función es consumir o simular eventos confiables, correlacionarlos con el contexto del usuario y convertirlos en un flujo personal de verificación de bienestar, comunicación y escalamiento proporcional. El mismo núcleo se diseña para sismos, deslizamientos, inundaciones, incendios u otros eventos, y para solicitudes controladas de verificación de paradero o situaciones de seguridad personal inmediata.</w:t>
      </w:r>
    </w:p>
    <w:p>
      <w:pPr>
        <w:pStyle w:val="BodyAcademic"/>
        <w:jc w:val="both"/>
      </w:pPr>
      <w:r>
        <w:t>La decisión de no limitar la solución a terremotos responde también a una hipótesis de adopción. Una aplicación que solo adquiere utilidad cuando ocurre un sismo destructivo puede ser instalada de manera reactiva y luego abandonada. Un enfoque de continuidad personal conserva valor en varios contextos sin convertir el teléfono en un rastreador permanente. Por ello se proponen un Trusted Circle, políticas previas de consentimiento, un Emergency Location Vault con checkpoints temporales, check-ins de bienestar, un mecanismo de Welfare Check comunitario, escalamiento por quórum y canales alternativos experimentales cuando Internet se degrada.</w:t>
      </w:r>
    </w:p>
    <w:p>
      <w:pPr>
        <w:spacing w:before="80" w:after="40"/>
        <w:jc w:val="center"/>
      </w:pPr>
      <w:r>
        <w:drawing>
          <wp:inline xmlns:a="http://schemas.openxmlformats.org/drawingml/2006/main" xmlns:pic="http://schemas.openxmlformats.org/drawingml/2006/picture">
            <wp:extent cx="5715000" cy="794620"/>
            <wp:docPr id="2" name="Picture 2"/>
            <wp:cNvGraphicFramePr>
              <a:graphicFrameLocks noChangeAspect="1"/>
            </wp:cNvGraphicFramePr>
            <a:graphic>
              <a:graphicData uri="http://schemas.openxmlformats.org/drawingml/2006/picture">
                <pic:pic>
                  <pic:nvPicPr>
                    <pic:cNvPr id="0" name="01_continuidad_personal.png"/>
                    <pic:cNvPicPr/>
                  </pic:nvPicPr>
                  <pic:blipFill>
                    <a:blip r:embed="rId18"/>
                    <a:stretch>
                      <a:fillRect/>
                    </a:stretch>
                  </pic:blipFill>
                  <pic:spPr>
                    <a:xfrm>
                      <a:off x="0" y="0"/>
                      <a:ext cx="5715000" cy="794620"/>
                    </a:xfrm>
                    <a:prstGeom prst="rect"/>
                  </pic:spPr>
                </pic:pic>
              </a:graphicData>
            </a:graphic>
          </wp:inline>
        </w:drawing>
      </w:r>
    </w:p>
    <w:p>
      <w:pPr>
        <w:pStyle w:val="CaptionAcademic"/>
        <w:jc w:val="center"/>
      </w:pPr>
      <w:r>
        <w:t>Figura 1. Modelo conceptual de continuidad personal: del evento o situación a una respuesta proporcional.</w:t>
      </w:r>
    </w:p>
    <w:tbl>
      <w:tblPr>
        <w:tblStyle w:val="Tablaconcuadrcula"/>
        <w:tblW w:type="auto" w:w="0"/>
        <w:jc w:val="center"/>
        <w:tblLook w:firstColumn="1" w:firstRow="1" w:lastColumn="0" w:lastRow="0" w:noHBand="0" w:noVBand="1" w:val="04A0"/>
      </w:tblPr>
      <w:tblGrid>
        <w:gridCol w:w="9130"/>
      </w:tblGrid>
      <w:tr>
        <w:tc>
          <w:tcPr>
            <w:tcW w:type="dxa" w:w="9130"/>
            <w:shd w:fill="DCE6F1"/>
          </w:tcPr>
          <w:p>
            <w:pPr>
              <w:spacing w:after="0"/>
              <w:jc w:val="left"/>
            </w:pPr>
            <w:r/>
            <w:r>
              <w:rPr>
                <w:rFonts w:ascii="Calibri" w:hAnsi="Calibri"/>
                <w:b/>
                <w:color w:val="232B35"/>
                <w:sz w:val="20"/>
              </w:rPr>
              <w:t>Pregunta de investigación: ¿Cómo diseñar y validar una plataforma móvil resiliente, multicanal y centrada en la privacidad que reduzca el tiempo necesario para verificar el bienestar o aportar información útil para la localización de una persona durante una emergencia, desastre o situación de desaparición, sin convertirse en una infraestructura de vigilancia permanente?</w:t>
            </w:r>
          </w:p>
        </w:tc>
      </w:tr>
    </w:tbl>
    <w:p>
      <w:pPr>
        <w:spacing w:after="20"/>
      </w:pPr>
    </w:p>
    <w:p>
      <w:pPr>
        <w:pStyle w:val="Ttulo2"/>
      </w:pPr>
      <w:r>
        <w:t>1.1 Planteamiento del problema</w:t>
      </w:r>
    </w:p>
    <w:p>
      <w:pPr>
        <w:pStyle w:val="BodyAcademic"/>
        <w:jc w:val="both"/>
      </w:pPr>
      <w:r>
        <w:t>Los mecanismos actuales de alertamiento, localización, contacto familiar y búsqueda institucional funcionan como componentes parcialmente aislados. Un sistema puede advertir que ocurrió un sismo, otro compartir una ubicación, otro permitir un SOS y una entidad pública gestionar un reporte de desaparición; sin embargo, cuando una persona no puede responder, pierde el dispositivo o queda sin conectividad, no existe necesariamente continuidad entre esos componentes. Las familias terminan reconstruyendo información mediante llamadas, mensajería, redes sociales y terceros locales, precisamente cuando la infraestructura puede estar degradada.</w:t>
      </w:r>
    </w:p>
    <w:p>
      <w:pPr>
        <w:pStyle w:val="BodyAcademic"/>
        <w:jc w:val="both"/>
      </w:pPr>
      <w:r>
        <w:t>La situación colombiana de agosto de 2026 evidencia además que el estado de una persona o de un reporte no puede tratarse como una etiqueta estática. Medicina Legal informó 423 reportes de desaparecidos el 16 de agosto, 348 el 17 y 152 el 26 [3]–[5]. Esta reducción no demuestra por sí sola que el mismo porcentaje de personas haya sido localizado: puede incluir conciliación, eliminación de duplicados, reclasificación o confirmación posterior. Para una plataforma de apoyo, cada estado necesita fuente, fecha de corte, nivel de certeza e historial de transición; de igual forma, “sin respuesta” nunca debe convertirse automáticamente en “desaparecido”.</w:t>
      </w:r>
    </w:p>
    <w:p>
      <w:pPr>
        <w:spacing w:before="80" w:after="40"/>
        <w:jc w:val="center"/>
      </w:pPr>
      <w:r>
        <w:drawing>
          <wp:inline xmlns:a="http://schemas.openxmlformats.org/drawingml/2006/main" xmlns:pic="http://schemas.openxmlformats.org/drawingml/2006/picture">
            <wp:extent cx="5669280" cy="3230507"/>
            <wp:docPr id="3" name="Picture 3"/>
            <wp:cNvGraphicFramePr>
              <a:graphicFrameLocks noChangeAspect="1"/>
            </wp:cNvGraphicFramePr>
            <a:graphic>
              <a:graphicData uri="http://schemas.openxmlformats.org/drawingml/2006/picture">
                <pic:pic>
                  <pic:nvPicPr>
                    <pic:cNvPr id="0" name="19_evolucion_reportes_2026.png"/>
                    <pic:cNvPicPr/>
                  </pic:nvPicPr>
                  <pic:blipFill>
                    <a:blip r:embed="rId19"/>
                    <a:stretch>
                      <a:fillRect/>
                    </a:stretch>
                  </pic:blipFill>
                  <pic:spPr>
                    <a:xfrm>
                      <a:off x="0" y="0"/>
                      <a:ext cx="5669280" cy="3230507"/>
                    </a:xfrm>
                    <a:prstGeom prst="rect"/>
                  </pic:spPr>
                </pic:pic>
              </a:graphicData>
            </a:graphic>
          </wp:inline>
        </w:drawing>
      </w:r>
    </w:p>
    <w:p>
      <w:pPr>
        <w:pStyle w:val="CaptionAcademic"/>
        <w:jc w:val="center"/>
      </w:pPr>
      <w:r>
        <w:t>Figura 2. Evolución de reportes oficiales asociados al terremoto colombiano de agosto de 2026. Fuente: elaboración propia a partir de [3]–[5].</w:t>
      </w:r>
    </w:p>
    <w:p>
      <w:pPr>
        <w:pStyle w:val="BodyAcademic"/>
        <w:jc w:val="both"/>
      </w:pPr>
      <w:r>
        <w:t>La desaparición de personas exige otra diferenciación. El RND y SIRDEC constituyen infraestructura institucional para registrar y consultar casos, mientras el conjunto de Datos Abiertos “Desaparecidos en Colombia – Histórico junio de 2026” permite análisis agregados derivados de SIRDEC [12]–[14]. Estos universos no deben confundirse con desaparición forzada asociada al conflicto, secuestro, ausencia voluntaria, pérdida de contacto temporal durante un desastre o simple falta de respuesta. La Fiscalía informa que no es necesario esperar un tiempo determinado para solicitar la activación del MBU [16], por lo que el proyecto no parte de una regla legal general de “72 horas”.</w:t>
      </w:r>
    </w:p>
    <w:p>
      <w:pPr>
        <w:pStyle w:val="BodyAcademic"/>
        <w:jc w:val="both"/>
      </w:pPr>
      <w:r>
        <w:t>El problema también tiene una dimensión de privacidad. La misma capacidad que ayuda a recuperar una última ubicación puede facilitar stalking, control coercitivo, doxxing o vigilancia por familiares o parejas. Por ello no puede existir una función equivalente a “dígame dónde está esta persona” sin contexto, autenticación, consentimiento y política previa. La aplicación debe informar hechos observables y estados de certeza, no inferencias sobre la causa: NO_RESPONSE no equivale a MISSING, KIDNAPPED, DEAD ni IN_DANGER.</w:t>
      </w:r>
    </w:p>
    <w:p>
      <w:pPr>
        <w:pStyle w:val="BodyAcademic"/>
        <w:jc w:val="both"/>
      </w:pPr>
      <w:r>
        <w:t>La dimensión de seguridad personal amplía el problema sin convertir la aplicación en un sistema de denuncias. Por ejemplo, si una mujer percibe que está siendo seguida en la calle, puede necesitar una reacción inmediata antes de poder demostrar jurídicamente que existe acoso o agresión. La plataforma puede ofrecer un Personal Safety Mode que incremente temporalmente la frecuencia de checkpoints, active un trayecto seguro y notifique contactos preseleccionados; no identifica ni acusa al supuesto agresor y tampoco declara que se ha producido un delito.</w:t>
      </w:r>
    </w:p>
    <w:p>
      <w:pPr>
        <w:spacing w:before="80" w:after="40"/>
        <w:jc w:val="center"/>
      </w:pPr>
      <w:r>
        <w:drawing>
          <wp:inline xmlns:a="http://schemas.openxmlformats.org/drawingml/2006/main" xmlns:pic="http://schemas.openxmlformats.org/drawingml/2006/picture">
            <wp:extent cx="5394960" cy="3126562"/>
            <wp:docPr id="4" name="Picture 4"/>
            <wp:cNvGraphicFramePr>
              <a:graphicFrameLocks noChangeAspect="1"/>
            </wp:cNvGraphicFramePr>
            <a:graphic>
              <a:graphicData uri="http://schemas.openxmlformats.org/drawingml/2006/picture">
                <pic:pic>
                  <pic:nvPicPr>
                    <pic:cNvPr id="0" name="17_personal_safety_mode.png"/>
                    <pic:cNvPicPr/>
                  </pic:nvPicPr>
                  <pic:blipFill>
                    <a:blip r:embed="rId20"/>
                    <a:stretch>
                      <a:fillRect/>
                    </a:stretch>
                  </pic:blipFill>
                  <pic:spPr>
                    <a:xfrm>
                      <a:off x="0" y="0"/>
                      <a:ext cx="5394960" cy="3126562"/>
                    </a:xfrm>
                    <a:prstGeom prst="rect"/>
                  </pic:spPr>
                </pic:pic>
              </a:graphicData>
            </a:graphic>
          </wp:inline>
        </w:drawing>
      </w:r>
    </w:p>
    <w:p>
      <w:pPr>
        <w:pStyle w:val="CaptionAcademic"/>
        <w:jc w:val="center"/>
      </w:pPr>
      <w:r>
        <w:t>Figura 3. Personal Safety Mode para una situación de vulnerabilidad inmediata.</w:t>
      </w:r>
    </w:p>
    <w:p>
      <w:pPr>
        <w:pStyle w:val="Ttulo3"/>
      </w:pPr>
      <w:r>
        <w:t>1.1.1 Evidencia de casos reales y lecciones de diseño</w:t>
      </w:r>
    </w:p>
    <w:tbl>
      <w:tblPr>
        <w:tblStyle w:val="Tablaconcuadrcula"/>
        <w:tblW w:type="auto" w:w="0"/>
        <w:jc w:val="center"/>
        <w:tblLook w:firstColumn="1" w:firstRow="1" w:lastColumn="0" w:lastRow="0" w:noHBand="0" w:noVBand="1" w:val="04A0"/>
      </w:tblPr>
      <w:tblGrid>
        <w:gridCol w:w="2282"/>
        <w:gridCol w:w="2282"/>
        <w:gridCol w:w="2282"/>
        <w:gridCol w:w="2282"/>
      </w:tblGrid>
      <w:tr>
        <w:tc>
          <w:tcPr>
            <w:tcW w:type="dxa" w:w="1800"/>
            <w:vAlign w:val="center"/>
            <w:shd w:fill="17365D"/>
          </w:tcPr>
          <w:p>
            <w:pPr>
              <w:spacing w:after="0" w:before="0"/>
              <w:jc w:val="left"/>
            </w:pPr>
            <w:r/>
            <w:r>
              <w:rPr>
                <w:rFonts w:ascii="Calibri" w:hAnsi="Calibri"/>
                <w:b/>
                <w:color w:val="FFFFFF"/>
                <w:sz w:val="16"/>
              </w:rPr>
              <w:t>Caso</w:t>
            </w:r>
          </w:p>
        </w:tc>
        <w:tc>
          <w:tcPr>
            <w:tcW w:type="dxa" w:w="1584"/>
            <w:vAlign w:val="center"/>
            <w:shd w:fill="17365D"/>
          </w:tcPr>
          <w:p>
            <w:pPr>
              <w:spacing w:after="0" w:before="0"/>
              <w:jc w:val="left"/>
            </w:pPr>
            <w:r/>
            <w:r>
              <w:rPr>
                <w:rFonts w:ascii="Calibri" w:hAnsi="Calibri"/>
                <w:b/>
                <w:color w:val="FFFFFF"/>
                <w:sz w:val="16"/>
              </w:rPr>
              <w:t>Fuente</w:t>
            </w:r>
          </w:p>
        </w:tc>
        <w:tc>
          <w:tcPr>
            <w:tcW w:type="dxa" w:w="3024"/>
            <w:vAlign w:val="center"/>
            <w:shd w:fill="17365D"/>
          </w:tcPr>
          <w:p>
            <w:pPr>
              <w:spacing w:after="0" w:before="0"/>
              <w:jc w:val="left"/>
            </w:pPr>
            <w:r/>
            <w:r>
              <w:rPr>
                <w:rFonts w:ascii="Calibri" w:hAnsi="Calibri"/>
                <w:b/>
                <w:color w:val="FFFFFF"/>
                <w:sz w:val="16"/>
              </w:rPr>
              <w:t>Falla / necesidad observada</w:t>
            </w:r>
          </w:p>
        </w:tc>
        <w:tc>
          <w:tcPr>
            <w:tcW w:type="dxa" w:w="3024"/>
            <w:vAlign w:val="center"/>
            <w:shd w:fill="17365D"/>
          </w:tcPr>
          <w:p>
            <w:pPr>
              <w:spacing w:after="0" w:before="0"/>
              <w:jc w:val="left"/>
            </w:pPr>
            <w:r/>
            <w:r>
              <w:rPr>
                <w:rFonts w:ascii="Calibri" w:hAnsi="Calibri"/>
                <w:b/>
                <w:color w:val="FFFFFF"/>
                <w:sz w:val="16"/>
              </w:rPr>
              <w:t>Lección trasladable al software</w:t>
            </w:r>
          </w:p>
        </w:tc>
      </w:tr>
      <w:tr>
        <w:tc>
          <w:tcPr>
            <w:tcW w:type="dxa" w:w="1800"/>
            <w:vAlign w:val="center"/>
          </w:tcPr>
          <w:p>
            <w:pPr>
              <w:spacing w:after="0" w:before="0"/>
              <w:jc w:val="left"/>
            </w:pPr>
            <w:r/>
            <w:r>
              <w:rPr>
                <w:rFonts w:ascii="Calibri" w:hAnsi="Calibri"/>
                <w:b w:val="0"/>
                <w:color w:val="232B35"/>
                <w:sz w:val="16"/>
              </w:rPr>
              <w:t>Armero, Colombia · 1985</w:t>
            </w:r>
          </w:p>
        </w:tc>
        <w:tc>
          <w:tcPr>
            <w:tcW w:type="dxa" w:w="1584"/>
            <w:vAlign w:val="center"/>
          </w:tcPr>
          <w:p>
            <w:pPr>
              <w:spacing w:after="0" w:before="0"/>
              <w:jc w:val="left"/>
            </w:pPr>
            <w:r/>
            <w:r>
              <w:rPr>
                <w:rFonts w:ascii="Calibri" w:hAnsi="Calibri"/>
                <w:b w:val="0"/>
                <w:color w:val="232B35"/>
                <w:sz w:val="16"/>
              </w:rPr>
              <w:t>SGC</w:t>
            </w:r>
          </w:p>
        </w:tc>
        <w:tc>
          <w:tcPr>
            <w:tcW w:type="dxa" w:w="3024"/>
            <w:vAlign w:val="center"/>
          </w:tcPr>
          <w:p>
            <w:pPr>
              <w:spacing w:after="0" w:before="0"/>
              <w:jc w:val="left"/>
            </w:pPr>
            <w:r/>
            <w:r>
              <w:rPr>
                <w:rFonts w:ascii="Calibri" w:hAnsi="Calibri"/>
                <w:b w:val="0"/>
                <w:color w:val="232B35"/>
                <w:sz w:val="16"/>
              </w:rPr>
              <w:t>Información técnica existente no se transformó oportunamente en alerta clara y accionable.</w:t>
            </w:r>
          </w:p>
        </w:tc>
        <w:tc>
          <w:tcPr>
            <w:tcW w:type="dxa" w:w="3024"/>
            <w:vAlign w:val="center"/>
          </w:tcPr>
          <w:p>
            <w:pPr>
              <w:spacing w:after="0" w:before="0"/>
              <w:jc w:val="left"/>
            </w:pPr>
            <w:r/>
            <w:r>
              <w:rPr>
                <w:rFonts w:ascii="Calibri" w:hAnsi="Calibri"/>
                <w:b w:val="0"/>
                <w:color w:val="232B35"/>
                <w:sz w:val="16"/>
              </w:rPr>
              <w:t>Fuente confiable, mensaje comprensible, redundancia y trazabilidad.</w:t>
            </w:r>
          </w:p>
        </w:tc>
      </w:tr>
      <w:tr>
        <w:tc>
          <w:tcPr>
            <w:tcW w:type="dxa" w:w="1800"/>
            <w:vAlign w:val="center"/>
            <w:shd w:fill="F7FAFC"/>
          </w:tcPr>
          <w:p>
            <w:pPr>
              <w:spacing w:after="0" w:before="0"/>
              <w:jc w:val="left"/>
            </w:pPr>
            <w:r/>
            <w:r>
              <w:rPr>
                <w:rFonts w:ascii="Calibri" w:hAnsi="Calibri"/>
                <w:b w:val="0"/>
                <w:color w:val="232B35"/>
                <w:sz w:val="16"/>
              </w:rPr>
              <w:t>Nevado del Huila · 2007</w:t>
            </w:r>
          </w:p>
        </w:tc>
        <w:tc>
          <w:tcPr>
            <w:tcW w:type="dxa" w:w="1584"/>
            <w:vAlign w:val="center"/>
            <w:shd w:fill="F7FAFC"/>
          </w:tcPr>
          <w:p>
            <w:pPr>
              <w:spacing w:after="0" w:before="0"/>
              <w:jc w:val="left"/>
            </w:pPr>
            <w:r/>
            <w:r>
              <w:rPr>
                <w:rFonts w:ascii="Calibri" w:hAnsi="Calibri"/>
                <w:b w:val="0"/>
                <w:color w:val="232B35"/>
                <w:sz w:val="16"/>
              </w:rPr>
              <w:t>SGC</w:t>
            </w:r>
          </w:p>
        </w:tc>
        <w:tc>
          <w:tcPr>
            <w:tcW w:type="dxa" w:w="3024"/>
            <w:vAlign w:val="center"/>
            <w:shd w:fill="F7FAFC"/>
          </w:tcPr>
          <w:p>
            <w:pPr>
              <w:spacing w:after="0" w:before="0"/>
              <w:jc w:val="left"/>
            </w:pPr>
            <w:r/>
            <w:r>
              <w:rPr>
                <w:rFonts w:ascii="Calibri" w:hAnsi="Calibri"/>
                <w:b w:val="0"/>
                <w:color w:val="232B35"/>
                <w:sz w:val="16"/>
              </w:rPr>
              <w:t>Preparación y respuesta comunitaria redujeron consecuencias frente a lahares.</w:t>
            </w:r>
          </w:p>
        </w:tc>
        <w:tc>
          <w:tcPr>
            <w:tcW w:type="dxa" w:w="3024"/>
            <w:vAlign w:val="center"/>
            <w:shd w:fill="F7FAFC"/>
          </w:tcPr>
          <w:p>
            <w:pPr>
              <w:spacing w:after="0" w:before="0"/>
              <w:jc w:val="left"/>
            </w:pPr>
            <w:r/>
            <w:r>
              <w:rPr>
                <w:rFonts w:ascii="Calibri" w:hAnsi="Calibri"/>
                <w:b w:val="0"/>
                <w:color w:val="232B35"/>
                <w:sz w:val="16"/>
              </w:rPr>
              <w:t>La tecnología complementa protocolos y preparación; no los sustituye.</w:t>
            </w:r>
          </w:p>
        </w:tc>
      </w:tr>
      <w:tr>
        <w:tc>
          <w:tcPr>
            <w:tcW w:type="dxa" w:w="1800"/>
            <w:vAlign w:val="center"/>
          </w:tcPr>
          <w:p>
            <w:pPr>
              <w:spacing w:after="0" w:before="0"/>
              <w:jc w:val="left"/>
            </w:pPr>
            <w:r/>
            <w:r>
              <w:rPr>
                <w:rFonts w:ascii="Calibri" w:hAnsi="Calibri"/>
                <w:b w:val="0"/>
                <w:color w:val="232B35"/>
                <w:sz w:val="16"/>
              </w:rPr>
              <w:t>Nepal · 2015</w:t>
            </w:r>
          </w:p>
        </w:tc>
        <w:tc>
          <w:tcPr>
            <w:tcW w:type="dxa" w:w="1584"/>
            <w:vAlign w:val="center"/>
          </w:tcPr>
          <w:p>
            <w:pPr>
              <w:spacing w:after="0" w:before="0"/>
              <w:jc w:val="left"/>
            </w:pPr>
            <w:r/>
            <w:r>
              <w:rPr>
                <w:rFonts w:ascii="Calibri" w:hAnsi="Calibri"/>
                <w:b w:val="0"/>
                <w:color w:val="232B35"/>
                <w:sz w:val="16"/>
              </w:rPr>
              <w:t>ICRC</w:t>
            </w:r>
          </w:p>
        </w:tc>
        <w:tc>
          <w:tcPr>
            <w:tcW w:type="dxa" w:w="3024"/>
            <w:vAlign w:val="center"/>
          </w:tcPr>
          <w:p>
            <w:pPr>
              <w:spacing w:after="0" w:before="0"/>
              <w:jc w:val="left"/>
            </w:pPr>
            <w:r/>
            <w:r>
              <w:rPr>
                <w:rFonts w:ascii="Calibri" w:hAnsi="Calibri"/>
                <w:b w:val="0"/>
                <w:color w:val="232B35"/>
                <w:sz w:val="16"/>
              </w:rPr>
              <w:t>Familylinks ANSWERS apoyó reconexión de familias separadas.</w:t>
            </w:r>
          </w:p>
        </w:tc>
        <w:tc>
          <w:tcPr>
            <w:tcW w:type="dxa" w:w="3024"/>
            <w:vAlign w:val="center"/>
          </w:tcPr>
          <w:p>
            <w:pPr>
              <w:spacing w:after="0" w:before="0"/>
              <w:jc w:val="left"/>
            </w:pPr>
            <w:r/>
            <w:r>
              <w:rPr>
                <w:rFonts w:ascii="Calibri" w:hAnsi="Calibri"/>
                <w:b w:val="0"/>
                <w:color w:val="232B35"/>
                <w:sz w:val="16"/>
              </w:rPr>
              <w:t>Restablecimiento de contacto es un flujo propio, distinto del alertamiento.</w:t>
            </w:r>
          </w:p>
        </w:tc>
      </w:tr>
      <w:tr>
        <w:tc>
          <w:tcPr>
            <w:tcW w:type="dxa" w:w="1800"/>
            <w:vAlign w:val="center"/>
            <w:shd w:fill="F7FAFC"/>
          </w:tcPr>
          <w:p>
            <w:pPr>
              <w:spacing w:after="0" w:before="0"/>
              <w:jc w:val="left"/>
            </w:pPr>
            <w:r/>
            <w:r>
              <w:rPr>
                <w:rFonts w:ascii="Calibri" w:hAnsi="Calibri"/>
                <w:b w:val="0"/>
                <w:color w:val="232B35"/>
                <w:sz w:val="16"/>
              </w:rPr>
              <w:t>Venezuela · 24 jun. 2026</w:t>
            </w:r>
          </w:p>
        </w:tc>
        <w:tc>
          <w:tcPr>
            <w:tcW w:type="dxa" w:w="1584"/>
            <w:vAlign w:val="center"/>
            <w:shd w:fill="F7FAFC"/>
          </w:tcPr>
          <w:p>
            <w:pPr>
              <w:spacing w:after="0" w:before="0"/>
              <w:jc w:val="left"/>
            </w:pPr>
            <w:r/>
            <w:r>
              <w:rPr>
                <w:rFonts w:ascii="Calibri" w:hAnsi="Calibri"/>
                <w:b w:val="0"/>
                <w:color w:val="232B35"/>
                <w:sz w:val="16"/>
              </w:rPr>
              <w:t>IFRC</w:t>
            </w:r>
          </w:p>
        </w:tc>
        <w:tc>
          <w:tcPr>
            <w:tcW w:type="dxa" w:w="3024"/>
            <w:vAlign w:val="center"/>
            <w:shd w:fill="F7FAFC"/>
          </w:tcPr>
          <w:p>
            <w:pPr>
              <w:spacing w:after="0" w:before="0"/>
              <w:jc w:val="left"/>
            </w:pPr>
            <w:r/>
            <w:r>
              <w:rPr>
                <w:rFonts w:ascii="Calibri" w:hAnsi="Calibri"/>
                <w:b w:val="0"/>
                <w:color w:val="232B35"/>
                <w:sz w:val="16"/>
              </w:rPr>
              <w:t>Caída de comunicaciones, solicitudes RFL, radios y repetidores.</w:t>
            </w:r>
          </w:p>
        </w:tc>
        <w:tc>
          <w:tcPr>
            <w:tcW w:type="dxa" w:w="3024"/>
            <w:vAlign w:val="center"/>
            <w:shd w:fill="F7FAFC"/>
          </w:tcPr>
          <w:p>
            <w:pPr>
              <w:spacing w:after="0" w:before="0"/>
              <w:jc w:val="left"/>
            </w:pPr>
            <w:r/>
            <w:r>
              <w:rPr>
                <w:rFonts w:ascii="Calibri" w:hAnsi="Calibri"/>
                <w:b w:val="0"/>
                <w:color w:val="232B35"/>
                <w:sz w:val="16"/>
              </w:rPr>
              <w:t>Internet no puede ser el único canal; degradación elegante y store-and-forward.</w:t>
            </w:r>
          </w:p>
        </w:tc>
      </w:tr>
      <w:tr>
        <w:tc>
          <w:tcPr>
            <w:tcW w:type="dxa" w:w="1800"/>
            <w:vAlign w:val="center"/>
          </w:tcPr>
          <w:p>
            <w:pPr>
              <w:spacing w:after="0" w:before="0"/>
              <w:jc w:val="left"/>
            </w:pPr>
            <w:r/>
            <w:r>
              <w:rPr>
                <w:rFonts w:ascii="Calibri" w:hAnsi="Calibri"/>
                <w:b w:val="0"/>
                <w:color w:val="232B35"/>
                <w:sz w:val="16"/>
              </w:rPr>
              <w:t>Chiapas, México · 17 jul. 2026</w:t>
            </w:r>
          </w:p>
        </w:tc>
        <w:tc>
          <w:tcPr>
            <w:tcW w:type="dxa" w:w="1584"/>
            <w:vAlign w:val="center"/>
          </w:tcPr>
          <w:p>
            <w:pPr>
              <w:spacing w:after="0" w:before="0"/>
              <w:jc w:val="left"/>
            </w:pPr>
            <w:r/>
            <w:r>
              <w:rPr>
                <w:rFonts w:ascii="Calibri" w:hAnsi="Calibri"/>
                <w:b w:val="0"/>
                <w:color w:val="232B35"/>
                <w:sz w:val="16"/>
              </w:rPr>
              <w:t>Autoridad local / USGS</w:t>
            </w:r>
          </w:p>
        </w:tc>
        <w:tc>
          <w:tcPr>
            <w:tcW w:type="dxa" w:w="3024"/>
            <w:vAlign w:val="center"/>
          </w:tcPr>
          <w:p>
            <w:pPr>
              <w:spacing w:after="0" w:before="0"/>
              <w:jc w:val="left"/>
            </w:pPr>
            <w:r/>
            <w:r>
              <w:rPr>
                <w:rFonts w:ascii="Calibri" w:hAnsi="Calibri"/>
                <w:b w:val="0"/>
                <w:color w:val="232B35"/>
                <w:sz w:val="16"/>
              </w:rPr>
              <w:t>Falla local de alerta audible pese a infraestructura activa.</w:t>
            </w:r>
          </w:p>
        </w:tc>
        <w:tc>
          <w:tcPr>
            <w:tcW w:type="dxa" w:w="3024"/>
            <w:vAlign w:val="center"/>
          </w:tcPr>
          <w:p>
            <w:pPr>
              <w:spacing w:after="0" w:before="0"/>
              <w:jc w:val="left"/>
            </w:pPr>
            <w:r/>
            <w:r>
              <w:rPr>
                <w:rFonts w:ascii="Calibri" w:hAnsi="Calibri"/>
                <w:b w:val="0"/>
                <w:color w:val="232B35"/>
                <w:sz w:val="16"/>
              </w:rPr>
              <w:t>“Servicio arriba” no equivale a “mensaje entregado”; observabilidad end-to-end.</w:t>
            </w:r>
          </w:p>
        </w:tc>
      </w:tr>
      <w:tr>
        <w:tc>
          <w:tcPr>
            <w:tcW w:type="dxa" w:w="1800"/>
            <w:vAlign w:val="center"/>
            <w:shd w:fill="F7FAFC"/>
          </w:tcPr>
          <w:p>
            <w:pPr>
              <w:spacing w:after="0" w:before="0"/>
              <w:jc w:val="left"/>
            </w:pPr>
            <w:r/>
            <w:r>
              <w:rPr>
                <w:rFonts w:ascii="Calibri" w:hAnsi="Calibri"/>
                <w:b w:val="0"/>
                <w:color w:val="232B35"/>
                <w:sz w:val="16"/>
              </w:rPr>
              <w:t>Colombia · 10 ago. 2026</w:t>
            </w:r>
          </w:p>
        </w:tc>
        <w:tc>
          <w:tcPr>
            <w:tcW w:type="dxa" w:w="1584"/>
            <w:vAlign w:val="center"/>
            <w:shd w:fill="F7FAFC"/>
          </w:tcPr>
          <w:p>
            <w:pPr>
              <w:spacing w:after="0" w:before="0"/>
              <w:jc w:val="left"/>
            </w:pPr>
            <w:r/>
            <w:r>
              <w:rPr>
                <w:rFonts w:ascii="Calibri" w:hAnsi="Calibri"/>
                <w:b w:val="0"/>
                <w:color w:val="232B35"/>
                <w:sz w:val="16"/>
              </w:rPr>
              <w:t>SGC / UNGRD / Medicina Legal</w:t>
            </w:r>
          </w:p>
        </w:tc>
        <w:tc>
          <w:tcPr>
            <w:tcW w:type="dxa" w:w="3024"/>
            <w:vAlign w:val="center"/>
            <w:shd w:fill="F7FAFC"/>
          </w:tcPr>
          <w:p>
            <w:pPr>
              <w:spacing w:after="0" w:before="0"/>
              <w:jc w:val="left"/>
            </w:pPr>
            <w:r/>
            <w:r>
              <w:rPr>
                <w:rFonts w:ascii="Calibri" w:hAnsi="Calibri"/>
                <w:b w:val="0"/>
                <w:color w:val="232B35"/>
                <w:sz w:val="16"/>
              </w:rPr>
              <w:t>Sismo M7,4 y evolución de reportes durante conciliación.</w:t>
            </w:r>
          </w:p>
        </w:tc>
        <w:tc>
          <w:tcPr>
            <w:tcW w:type="dxa" w:w="3024"/>
            <w:vAlign w:val="center"/>
            <w:shd w:fill="F7FAFC"/>
          </w:tcPr>
          <w:p>
            <w:pPr>
              <w:spacing w:after="0" w:before="0"/>
              <w:jc w:val="left"/>
            </w:pPr>
            <w:r/>
            <w:r>
              <w:rPr>
                <w:rFonts w:ascii="Calibri" w:hAnsi="Calibri"/>
                <w:b w:val="0"/>
                <w:color w:val="232B35"/>
                <w:sz w:val="16"/>
              </w:rPr>
              <w:t>Máquina de estados, fuente, corte temporal y certeza; no inferir desaparición por silencio.</w:t>
            </w:r>
          </w:p>
        </w:tc>
      </w:tr>
    </w:tbl>
    <w:p>
      <w:pPr>
        <w:spacing w:after="20"/>
      </w:pPr>
    </w:p>
    <w:p>
      <w:pPr>
        <w:pStyle w:val="Ttulo2"/>
      </w:pPr>
      <w:r>
        <w:t>1.2 Justificación</w:t>
      </w:r>
    </w:p>
    <w:p>
      <w:pPr>
        <w:pStyle w:val="BodyAcademic"/>
        <w:jc w:val="both"/>
      </w:pPr>
      <w:r>
        <w:t>La propuesta es pertinente socialmente porque aborda un intervalo crítico: los minutos y horas en los que una persona deja de ser localizable por los mecanismos ordinarios y su entorno necesita distinguir entre ausencia de comunicación, necesidad de ayuda y una situación que deba escalarse. La evidencia humanitaria demuestra que la pérdida de conectividad y la separación familiar son problemas reales [7], [9], [10]. La plataforma no pretende reemplazar a las autoridades; busca aportar información mínima, autorizada y temporal que reduzca incertidumbre y facilite coordinación inicial.</w:t>
      </w:r>
    </w:p>
    <w:p>
      <w:pPr>
        <w:pStyle w:val="BodyAcademic"/>
        <w:jc w:val="both"/>
      </w:pPr>
      <w:r>
        <w:t>Desde Ingeniería de Software, el trabajo integra sistemas móviles, geolocalización, arquitectura orientada a eventos, APIs, interoperabilidad, privacidad y seguridad por diseño, continuidad, sistemas distribuidos, comunicaciones tolerantes a interrupción, experiencia de usuario bajo estrés y análisis reproducible de datos. Esta convergencia permite evaluar el proyecto por métricas y escenarios de falla, no únicamente por la existencia de una interfaz móvil.</w:t>
      </w:r>
    </w:p>
    <w:p>
      <w:pPr>
        <w:pStyle w:val="BodyAcademic"/>
        <w:jc w:val="both"/>
      </w:pPr>
      <w:r>
        <w:t>La propuesta evita duplicar capacidades maduras. El SGC e IDEAM continúan siendo fuentes especializadas de amenaza; Apple y Google aportan antecedentes sólidos de SOS y check-in; RFL atiende restablecimiento de vínculos; SIRDEC y los mecanismos de búsqueda tienen funciones institucionales propias. El aporte investigativo se ubica en la capa intermedia que transforma un evento confiable o una solicitud autorizada en una secuencia de verificación, preservación temporal de contexto, escalamiento, colaboración comunitaria y eventual interoperabilidad.</w:t>
      </w:r>
    </w:p>
    <w:p>
      <w:pPr>
        <w:pStyle w:val="BodyAcademic"/>
        <w:jc w:val="both"/>
      </w:pPr>
      <w:r>
        <w:t>La privacidad constituye una razón adicional para investigar. El seguimiento continuo eleva exposición incluso cuando no existe emergencia. El proyecto sustituye ese supuesto por checkpoints adaptativos, cifrados y de retención limitada. Cada punto tendrá su propio TTL; la ventana de 24 horas es móvil y no un borrado masivo diario. Ante un incidente válido, solo el subconjunto pertinente puede quedar en incident hold temporal, con causa, actor, expiración y auditoría.</w:t>
      </w:r>
    </w:p>
    <w:p>
      <w:pPr>
        <w:pStyle w:val="BodyAcademic"/>
        <w:jc w:val="both"/>
      </w:pPr>
      <w:r>
        <w:t>La viabilidad se controla mediante un MVP local. No se desplegará una infraestructura nacional real ni se asumirá acceso operacional a SIRDEC, Alerta Rosa, Fiscalía, Policía, operadores o satélite. El prototipo utilizará dos o tres dispositivos, backend modular, base geoespacial, push, integraciones públicas disponibles y adaptadores simulados para dependencias externas. La arquitectura de producción se diseña, mientras los fallos se reproducen mediante Docker y, cuando aporte valor, máquinas virtuales.</w:t>
      </w:r>
    </w:p>
    <w:tbl>
      <w:tblPr>
        <w:tblStyle w:val="Tablaconcuadrcula"/>
        <w:tblW w:type="auto" w:w="0"/>
        <w:jc w:val="center"/>
        <w:tblLook w:firstColumn="1" w:firstRow="1" w:lastColumn="0" w:lastRow="0" w:noHBand="0" w:noVBand="1" w:val="04A0"/>
      </w:tblPr>
      <w:tblGrid>
        <w:gridCol w:w="3043"/>
        <w:gridCol w:w="3043"/>
        <w:gridCol w:w="3043"/>
      </w:tblGrid>
      <w:tr>
        <w:tc>
          <w:tcPr>
            <w:tcW w:type="dxa" w:w="1728"/>
            <w:vAlign w:val="center"/>
            <w:shd w:fill="17365D"/>
          </w:tcPr>
          <w:p>
            <w:pPr>
              <w:spacing w:after="0" w:before="0"/>
              <w:jc w:val="left"/>
            </w:pPr>
            <w:r/>
            <w:r>
              <w:rPr>
                <w:rFonts w:ascii="Calibri" w:hAnsi="Calibri"/>
                <w:b/>
                <w:color w:val="FFFFFF"/>
                <w:sz w:val="17"/>
              </w:rPr>
              <w:t>Nivel</w:t>
            </w:r>
          </w:p>
        </w:tc>
        <w:tc>
          <w:tcPr>
            <w:tcW w:type="dxa" w:w="4320"/>
            <w:vAlign w:val="center"/>
            <w:shd w:fill="17365D"/>
          </w:tcPr>
          <w:p>
            <w:pPr>
              <w:spacing w:after="0" w:before="0"/>
              <w:jc w:val="left"/>
            </w:pPr>
            <w:r/>
            <w:r>
              <w:rPr>
                <w:rFonts w:ascii="Calibri" w:hAnsi="Calibri"/>
                <w:b/>
                <w:color w:val="FFFFFF"/>
                <w:sz w:val="17"/>
              </w:rPr>
              <w:t>Incluye</w:t>
            </w:r>
          </w:p>
        </w:tc>
        <w:tc>
          <w:tcPr>
            <w:tcW w:type="dxa" w:w="3312"/>
            <w:vAlign w:val="center"/>
            <w:shd w:fill="17365D"/>
          </w:tcPr>
          <w:p>
            <w:pPr>
              <w:spacing w:after="0" w:before="0"/>
              <w:jc w:val="left"/>
            </w:pPr>
            <w:r/>
            <w:r>
              <w:rPr>
                <w:rFonts w:ascii="Calibri" w:hAnsi="Calibri"/>
                <w:b/>
                <w:color w:val="FFFFFF"/>
                <w:sz w:val="17"/>
              </w:rPr>
              <w:t>No implica</w:t>
            </w:r>
          </w:p>
        </w:tc>
      </w:tr>
      <w:tr>
        <w:tc>
          <w:tcPr>
            <w:tcW w:type="dxa" w:w="1728"/>
            <w:vAlign w:val="center"/>
          </w:tcPr>
          <w:p>
            <w:pPr>
              <w:spacing w:after="0" w:before="0"/>
              <w:jc w:val="left"/>
            </w:pPr>
            <w:r/>
            <w:r>
              <w:rPr>
                <w:rFonts w:ascii="Calibri" w:hAnsi="Calibri"/>
                <w:b w:val="0"/>
                <w:color w:val="232B35"/>
                <w:sz w:val="17"/>
              </w:rPr>
              <w:t>Investigación amplia</w:t>
            </w:r>
          </w:p>
        </w:tc>
        <w:tc>
          <w:tcPr>
            <w:tcW w:type="dxa" w:w="4320"/>
            <w:vAlign w:val="center"/>
          </w:tcPr>
          <w:p>
            <w:pPr>
              <w:spacing w:after="0" w:before="0"/>
              <w:jc w:val="left"/>
            </w:pPr>
            <w:r/>
            <w:r>
              <w:rPr>
                <w:rFonts w:ascii="Calibri" w:hAnsi="Calibri"/>
                <w:b w:val="0"/>
                <w:color w:val="232B35"/>
                <w:sz w:val="17"/>
              </w:rPr>
              <w:t>Desastres, desapariciones, NNA, privacidad, redes oportunistas, marcos institucionales, soluciones existentes.</w:t>
            </w:r>
          </w:p>
        </w:tc>
        <w:tc>
          <w:tcPr>
            <w:tcW w:type="dxa" w:w="3312"/>
            <w:vAlign w:val="center"/>
          </w:tcPr>
          <w:p>
            <w:pPr>
              <w:spacing w:after="0" w:before="0"/>
              <w:jc w:val="left"/>
            </w:pPr>
            <w:r/>
            <w:r>
              <w:rPr>
                <w:rFonts w:ascii="Calibri" w:hAnsi="Calibri"/>
                <w:b w:val="0"/>
                <w:color w:val="232B35"/>
                <w:sz w:val="17"/>
              </w:rPr>
              <w:t>No implica implementar todos los dominios en producción.</w:t>
            </w:r>
          </w:p>
        </w:tc>
      </w:tr>
      <w:tr>
        <w:tc>
          <w:tcPr>
            <w:tcW w:type="dxa" w:w="1728"/>
            <w:vAlign w:val="center"/>
            <w:shd w:fill="F7FAFC"/>
          </w:tcPr>
          <w:p>
            <w:pPr>
              <w:spacing w:after="0" w:before="0"/>
              <w:jc w:val="left"/>
            </w:pPr>
            <w:r/>
            <w:r>
              <w:rPr>
                <w:rFonts w:ascii="Calibri" w:hAnsi="Calibri"/>
                <w:b w:val="0"/>
                <w:color w:val="232B35"/>
                <w:sz w:val="17"/>
              </w:rPr>
              <w:t>MVP implementado</w:t>
            </w:r>
          </w:p>
        </w:tc>
        <w:tc>
          <w:tcPr>
            <w:tcW w:type="dxa" w:w="4320"/>
            <w:vAlign w:val="center"/>
            <w:shd w:fill="F7FAFC"/>
          </w:tcPr>
          <w:p>
            <w:pPr>
              <w:spacing w:after="0" w:before="0"/>
              <w:jc w:val="left"/>
            </w:pPr>
            <w:r/>
            <w:r>
              <w:rPr>
                <w:rFonts w:ascii="Calibri" w:hAnsi="Calibri"/>
                <w:b w:val="0"/>
                <w:color w:val="232B35"/>
                <w:sz w:val="17"/>
              </w:rPr>
              <w:t>Adultos, Trusted Circle, consentimiento, Vault, eventos oficiales o de prueba, check-in, alertamiento, Welfare Check, desaparición controlada, SIRDEC Open Data, auditoría.</w:t>
            </w:r>
          </w:p>
        </w:tc>
        <w:tc>
          <w:tcPr>
            <w:tcW w:type="dxa" w:w="3312"/>
            <w:vAlign w:val="center"/>
            <w:shd w:fill="F7FAFC"/>
          </w:tcPr>
          <w:p>
            <w:pPr>
              <w:spacing w:after="0" w:before="0"/>
              <w:jc w:val="left"/>
            </w:pPr>
            <w:r/>
            <w:r>
              <w:rPr>
                <w:rFonts w:ascii="Calibri" w:hAnsi="Calibri"/>
                <w:b w:val="0"/>
                <w:color w:val="232B35"/>
                <w:sz w:val="17"/>
              </w:rPr>
              <w:t>No equivale a denuncia oficial ni acceso privilegiado.</w:t>
            </w:r>
          </w:p>
        </w:tc>
      </w:tr>
      <w:tr>
        <w:tc>
          <w:tcPr>
            <w:tcW w:type="dxa" w:w="1728"/>
            <w:vAlign w:val="center"/>
          </w:tcPr>
          <w:p>
            <w:pPr>
              <w:spacing w:after="0" w:before="0"/>
              <w:jc w:val="left"/>
            </w:pPr>
            <w:r/>
            <w:r>
              <w:rPr>
                <w:rFonts w:ascii="Calibri" w:hAnsi="Calibri"/>
                <w:b w:val="0"/>
                <w:color w:val="232B35"/>
                <w:sz w:val="17"/>
              </w:rPr>
              <w:t>Experimental</w:t>
            </w:r>
          </w:p>
        </w:tc>
        <w:tc>
          <w:tcPr>
            <w:tcW w:type="dxa" w:w="4320"/>
            <w:vAlign w:val="center"/>
          </w:tcPr>
          <w:p>
            <w:pPr>
              <w:spacing w:after="0" w:before="0"/>
              <w:jc w:val="left"/>
            </w:pPr>
            <w:r/>
            <w:r>
              <w:rPr>
                <w:rFonts w:ascii="Calibri" w:hAnsi="Calibri"/>
                <w:b w:val="0"/>
                <w:color w:val="232B35"/>
                <w:sz w:val="17"/>
              </w:rPr>
              <w:t>SMS, P2P/store-and-forward Android, geolocalización adaptativa, failover, recuperación, perfil NNA sintético.</w:t>
            </w:r>
          </w:p>
        </w:tc>
        <w:tc>
          <w:tcPr>
            <w:tcW w:type="dxa" w:w="3312"/>
            <w:vAlign w:val="center"/>
          </w:tcPr>
          <w:p>
            <w:pPr>
              <w:spacing w:after="0" w:before="0"/>
              <w:jc w:val="left"/>
            </w:pPr>
            <w:r/>
            <w:r>
              <w:rPr>
                <w:rFonts w:ascii="Calibri" w:hAnsi="Calibri"/>
                <w:b w:val="0"/>
                <w:color w:val="232B35"/>
                <w:sz w:val="17"/>
              </w:rPr>
              <w:t>No promete mesh universal ni garantía de entrega.</w:t>
            </w:r>
          </w:p>
        </w:tc>
      </w:tr>
      <w:tr>
        <w:tc>
          <w:tcPr>
            <w:tcW w:type="dxa" w:w="1728"/>
            <w:vAlign w:val="center"/>
            <w:shd w:fill="F7FAFC"/>
          </w:tcPr>
          <w:p>
            <w:pPr>
              <w:spacing w:after="0" w:before="0"/>
              <w:jc w:val="left"/>
            </w:pPr>
            <w:r/>
            <w:r>
              <w:rPr>
                <w:rFonts w:ascii="Calibri" w:hAnsi="Calibri"/>
                <w:b w:val="0"/>
                <w:color w:val="232B35"/>
                <w:sz w:val="17"/>
              </w:rPr>
              <w:t>Arquitectura objetivo</w:t>
            </w:r>
          </w:p>
        </w:tc>
        <w:tc>
          <w:tcPr>
            <w:tcW w:type="dxa" w:w="4320"/>
            <w:vAlign w:val="center"/>
            <w:shd w:fill="F7FAFC"/>
          </w:tcPr>
          <w:p>
            <w:pPr>
              <w:spacing w:after="0" w:before="0"/>
              <w:jc w:val="left"/>
            </w:pPr>
            <w:r/>
            <w:r>
              <w:rPr>
                <w:rFonts w:ascii="Calibri" w:hAnsi="Calibri"/>
                <w:b w:val="0"/>
                <w:color w:val="232B35"/>
                <w:sz w:val="17"/>
              </w:rPr>
              <w:t>Multi-AZ/multi-región, adaptadores institucionales, legal gateway, observabilidad y DR.</w:t>
            </w:r>
          </w:p>
        </w:tc>
        <w:tc>
          <w:tcPr>
            <w:tcW w:type="dxa" w:w="3312"/>
            <w:vAlign w:val="center"/>
            <w:shd w:fill="F7FAFC"/>
          </w:tcPr>
          <w:p>
            <w:pPr>
              <w:spacing w:after="0" w:before="0"/>
              <w:jc w:val="left"/>
            </w:pPr>
            <w:r/>
            <w:r>
              <w:rPr>
                <w:rFonts w:ascii="Calibri" w:hAnsi="Calibri"/>
                <w:b w:val="0"/>
                <w:color w:val="232B35"/>
                <w:sz w:val="17"/>
              </w:rPr>
              <w:t>No exige desplegar multi-región real en cuatro meses.</w:t>
            </w:r>
          </w:p>
        </w:tc>
      </w:tr>
      <w:tr>
        <w:tc>
          <w:tcPr>
            <w:tcW w:type="dxa" w:w="1728"/>
            <w:vAlign w:val="center"/>
          </w:tcPr>
          <w:p>
            <w:pPr>
              <w:spacing w:after="0" w:before="0"/>
              <w:jc w:val="left"/>
            </w:pPr>
            <w:r/>
            <w:r>
              <w:rPr>
                <w:rFonts w:ascii="Calibri" w:hAnsi="Calibri"/>
                <w:b w:val="0"/>
                <w:color w:val="232B35"/>
                <w:sz w:val="17"/>
              </w:rPr>
              <w:t>Fuera del MVP</w:t>
            </w:r>
          </w:p>
        </w:tc>
        <w:tc>
          <w:tcPr>
            <w:tcW w:type="dxa" w:w="4320"/>
            <w:vAlign w:val="center"/>
          </w:tcPr>
          <w:p>
            <w:pPr>
              <w:spacing w:after="0" w:before="0"/>
              <w:jc w:val="left"/>
            </w:pPr>
            <w:r/>
            <w:r>
              <w:rPr>
                <w:rFonts w:ascii="Calibri" w:hAnsi="Calibri"/>
                <w:b w:val="0"/>
                <w:color w:val="232B35"/>
                <w:sz w:val="17"/>
              </w:rPr>
              <w:t>NNA reales, activación real Alerta Rosa/MBU, acceso operacional SIRDEC, operadores/satélite, evidencia judicial certificada.</w:t>
            </w:r>
          </w:p>
        </w:tc>
        <w:tc>
          <w:tcPr>
            <w:tcW w:type="dxa" w:w="3312"/>
            <w:vAlign w:val="center"/>
          </w:tcPr>
          <w:p>
            <w:pPr>
              <w:spacing w:after="0" w:before="0"/>
              <w:jc w:val="left"/>
            </w:pPr>
            <w:r/>
            <w:r>
              <w:rPr>
                <w:rFonts w:ascii="Calibri" w:hAnsi="Calibri"/>
                <w:b w:val="0"/>
                <w:color w:val="232B35"/>
                <w:sz w:val="17"/>
              </w:rPr>
              <w:t>Se mantienen como evolución futura, no como promesas actuales.</w:t>
            </w:r>
          </w:p>
        </w:tc>
      </w:tr>
    </w:tbl>
    <w:p>
      <w:pPr>
        <w:spacing w:after="20"/>
      </w:pPr>
    </w:p>
    <w:p>
      <w:pPr>
        <w:pStyle w:val="Ttulo2"/>
      </w:pPr>
      <w:r>
        <w:t>1.3 Objetivos</w:t>
      </w:r>
    </w:p>
    <w:p>
      <w:pPr>
        <w:pStyle w:val="BodyAcademic"/>
        <w:jc w:val="both"/>
      </w:pPr>
      <w:r>
        <w:t>Los objetivos se derivan de la pregunta de investigación y mantienen relación directa con la evidencia, el artefacto a construir y las pruebas previstas. El logro no se evaluará por número de pantallas, sino por trazabilidad entre necesidad, requisito, componente, escenario de prueba y resultado medido.</w:t>
      </w:r>
    </w:p>
    <w:p>
      <w:pPr>
        <w:pStyle w:val="Ttulo2"/>
      </w:pPr>
      <w:r>
        <w:t>1.4 Objetivo general</w:t>
      </w:r>
    </w:p>
    <w:tbl>
      <w:tblPr>
        <w:tblStyle w:val="Tablaconcuadrcula"/>
        <w:tblW w:type="auto" w:w="0"/>
        <w:jc w:val="center"/>
        <w:tblLook w:firstColumn="1" w:firstRow="1" w:lastColumn="0" w:lastRow="0" w:noHBand="0" w:noVBand="1" w:val="04A0"/>
      </w:tblPr>
      <w:tblGrid>
        <w:gridCol w:w="9130"/>
      </w:tblGrid>
      <w:tr>
        <w:tc>
          <w:tcPr>
            <w:tcW w:type="dxa" w:w="9130"/>
            <w:shd w:fill="E2F0D9"/>
          </w:tcPr>
          <w:p>
            <w:pPr>
              <w:spacing w:after="0"/>
              <w:jc w:val="left"/>
            </w:pPr>
            <w:r/>
            <w:r>
              <w:rPr>
                <w:rFonts w:ascii="Calibri" w:hAnsi="Calibri"/>
                <w:b/>
                <w:color w:val="232B35"/>
                <w:sz w:val="20"/>
              </w:rPr>
              <w:t>Diseñar y validar una arquitectura de software resiliente y multicanal para la verificación de bienestar, preservación de información mínima de última localización y coordinación controlada de ayuda ante emergencias y situaciones de desaparición, incorporando consentimiento previo, minimización de datos, continuidad tecnológica e interoperabilidad con fuentes confiables.</w:t>
            </w:r>
          </w:p>
        </w:tc>
      </w:tr>
    </w:tbl>
    <w:p>
      <w:pPr>
        <w:spacing w:after="20"/>
      </w:pPr>
    </w:p>
    <w:p>
      <w:pPr>
        <w:pStyle w:val="Ttulo2"/>
      </w:pPr>
      <w:r>
        <w:t>1.5 Objetivos específicos</w:t>
      </w:r>
    </w:p>
    <w:p>
      <w:pPr>
        <w:pStyle w:val="BodyAcademic"/>
        <w:ind w:left="288" w:hanging="288"/>
      </w:pPr>
      <w:r>
        <w:rPr>
          <w:b/>
        </w:rPr>
        <w:t xml:space="preserve">1. </w:t>
      </w:r>
      <w:r>
        <w:t>Caracterizar, mediante fuentes oficiales, literatura técnica y estudios de caso, las fallas de comunicación, alertamiento, localización y restablecimiento de contacto observadas en desastres y situaciones de desaparición relevantes para Colombia.</w:t>
      </w:r>
    </w:p>
    <w:p>
      <w:pPr>
        <w:pStyle w:val="BodyAcademic"/>
        <w:ind w:left="288" w:hanging="288"/>
      </w:pPr>
      <w:r>
        <w:rPr>
          <w:b/>
        </w:rPr>
        <w:t xml:space="preserve">2. </w:t>
      </w:r>
      <w:r>
        <w:t>Analizar cuantitativamente los registros públicos de personas desaparecidas disponibles en SIRDEC/Datos Abiertos, diferenciando adultos, NNA, territorio y estado, y calculando tiempos únicamente cuando las variables oficiales permitan hacerlo de forma metodológicamente válida.</w:t>
      </w:r>
    </w:p>
    <w:p>
      <w:pPr>
        <w:pStyle w:val="BodyAcademic"/>
        <w:ind w:left="288" w:hanging="288"/>
      </w:pPr>
      <w:r>
        <w:rPr>
          <w:b/>
        </w:rPr>
        <w:t xml:space="preserve">3. </w:t>
      </w:r>
      <w:r>
        <w:t>Evaluar las capacidades y limitaciones de soluciones actuales de SOS, localización, check-in, alertamiento, RFL, SIRDEC y comunicaciones oportunistas para identificar una brecha funcional y de privacidad trazable.</w:t>
      </w:r>
    </w:p>
    <w:p>
      <w:pPr>
        <w:pStyle w:val="BodyAcademic"/>
        <w:ind w:left="288" w:hanging="288"/>
      </w:pPr>
      <w:r>
        <w:rPr>
          <w:b/>
        </w:rPr>
        <w:t xml:space="preserve">4. </w:t>
      </w:r>
      <w:r>
        <w:t>Diseñar e implementar un prototipo móvil y backend que integre Trusted Circle, consentimiento, Emergency Location Vault, eventos multiamenaza, check-in de bienestar, escalamiento, Welfare Check controlado, auditoría y adaptadores de fuentes confiables.</w:t>
      </w:r>
    </w:p>
    <w:p>
      <w:pPr>
        <w:pStyle w:val="BodyAcademic"/>
        <w:ind w:left="288" w:hanging="288"/>
      </w:pPr>
      <w:r>
        <w:rPr>
          <w:b/>
        </w:rPr>
        <w:t xml:space="preserve">5. </w:t>
      </w:r>
      <w:r>
        <w:t>Validar el prototipo mediante escenarios reproducibles de emergencia, desaparición, seguridad personal y conectividad degradada, midiendo batería/datos, error y antigüedad de ubicación, tiempo de confirmación, entrega de alertas, controles de seguridad y recuperación ante fallas.</w:t>
      </w:r>
    </w:p>
    <w:p>
      <w:pPr>
        <w:pStyle w:val="Ttulo2"/>
      </w:pPr>
      <w:r>
        <w:t>1.6 Marco teórico / Antecedentes</w:t>
      </w:r>
    </w:p>
    <w:p>
      <w:pPr>
        <w:pStyle w:val="Ttulo3"/>
      </w:pPr>
      <w:r>
        <w:t>1.6.1 Continuidad personal y alertamiento multiamenaza</w:t>
      </w:r>
    </w:p>
    <w:p>
      <w:pPr>
        <w:pStyle w:val="BodyAcademic"/>
        <w:jc w:val="both"/>
      </w:pPr>
      <w:r>
        <w:t>Se utiliza “continuidad personal” como constructo de diseño para describir la capacidad de mantener un vínculo mínimo de información entre persona, familia, comunidad e instituciones cuando los canales ordinarios se degradan. No es una figura jurídica ni un estándar formal; es una abstracción arquitectónica inspirada en continuidad de negocio y recuperación de servicios. Traslada preguntas análogas a BIA, RTO y RPO: qué información es crítica, cuánto tiempo puede estar indisponible y qué pérdida reciente es tolerable.</w:t>
      </w:r>
    </w:p>
    <w:p>
      <w:pPr>
        <w:pStyle w:val="BodyAcademic"/>
        <w:jc w:val="both"/>
      </w:pPr>
      <w:r>
        <w:t>El Common Alerting Protocol (CAP) 1.2 aporta un referente para representar amenazas mediante severidad, urgencia, certeza, área, fuente, instrucciones y vigencia [24]. En consecuencia, el modelo no se construye alrededor de una entidad Earthquake, sino de un EmergencyEvent genérico. SGC, IDEAM y UNGRD son fuentes nacionales prioritarias según fenómeno; USGS/EMSC pueden actuar como corroboración internacional, no como sustitución automática de la autoridad nacional.</w:t>
      </w:r>
    </w:p>
    <w:p>
      <w:pPr>
        <w:pStyle w:val="Ttulo3"/>
      </w:pPr>
      <w:r>
        <w:t>1.6.2 Soluciones existentes y brecha funcional</w:t>
      </w:r>
    </w:p>
    <w:tbl>
      <w:tblPr>
        <w:tblStyle w:val="Tablaconcuadrcula"/>
        <w:tblW w:type="auto" w:w="0"/>
        <w:jc w:val="center"/>
        <w:tblLook w:firstColumn="1" w:firstRow="1" w:lastColumn="0" w:lastRow="0" w:noHBand="0" w:noVBand="1" w:val="04A0"/>
      </w:tblPr>
      <w:tblGrid>
        <w:gridCol w:w="2282"/>
        <w:gridCol w:w="2282"/>
        <w:gridCol w:w="2282"/>
        <w:gridCol w:w="2282"/>
      </w:tblGrid>
      <w:tr>
        <w:tc>
          <w:tcPr>
            <w:tcW w:type="dxa" w:w="1800"/>
            <w:vAlign w:val="center"/>
            <w:shd w:fill="17365D"/>
          </w:tcPr>
          <w:p>
            <w:pPr>
              <w:spacing w:after="0" w:before="0"/>
              <w:jc w:val="left"/>
            </w:pPr>
            <w:r/>
            <w:r>
              <w:rPr>
                <w:rFonts w:ascii="Calibri" w:hAnsi="Calibri"/>
                <w:b/>
                <w:color w:val="FFFFFF"/>
                <w:sz w:val="15"/>
              </w:rPr>
              <w:t>Solución</w:t>
            </w:r>
          </w:p>
        </w:tc>
        <w:tc>
          <w:tcPr>
            <w:tcW w:type="dxa" w:w="2592"/>
            <w:vAlign w:val="center"/>
            <w:shd w:fill="17365D"/>
          </w:tcPr>
          <w:p>
            <w:pPr>
              <w:spacing w:after="0" w:before="0"/>
              <w:jc w:val="left"/>
            </w:pPr>
            <w:r/>
            <w:r>
              <w:rPr>
                <w:rFonts w:ascii="Calibri" w:hAnsi="Calibri"/>
                <w:b/>
                <w:color w:val="FFFFFF"/>
                <w:sz w:val="15"/>
              </w:rPr>
              <w:t>Capacidades</w:t>
            </w:r>
          </w:p>
        </w:tc>
        <w:tc>
          <w:tcPr>
            <w:tcW w:type="dxa" w:w="2880"/>
            <w:vAlign w:val="center"/>
            <w:shd w:fill="17365D"/>
          </w:tcPr>
          <w:p>
            <w:pPr>
              <w:spacing w:after="0" w:before="0"/>
              <w:jc w:val="left"/>
            </w:pPr>
            <w:r/>
            <w:r>
              <w:rPr>
                <w:rFonts w:ascii="Calibri" w:hAnsi="Calibri"/>
                <w:b/>
                <w:color w:val="FFFFFF"/>
                <w:sz w:val="15"/>
              </w:rPr>
              <w:t>Límite</w:t>
            </w:r>
          </w:p>
        </w:tc>
        <w:tc>
          <w:tcPr>
            <w:tcW w:type="dxa" w:w="2592"/>
            <w:vAlign w:val="center"/>
            <w:shd w:fill="17365D"/>
          </w:tcPr>
          <w:p>
            <w:pPr>
              <w:spacing w:after="0" w:before="0"/>
              <w:jc w:val="left"/>
            </w:pPr>
            <w:r/>
            <w:r>
              <w:rPr>
                <w:rFonts w:ascii="Calibri" w:hAnsi="Calibri"/>
                <w:b/>
                <w:color w:val="FFFFFF"/>
                <w:sz w:val="15"/>
              </w:rPr>
              <w:t>Aprendizaje</w:t>
            </w:r>
          </w:p>
        </w:tc>
      </w:tr>
      <w:tr>
        <w:tc>
          <w:tcPr>
            <w:tcW w:type="dxa" w:w="1800"/>
            <w:vAlign w:val="center"/>
          </w:tcPr>
          <w:p>
            <w:pPr>
              <w:spacing w:after="0" w:before="0"/>
              <w:jc w:val="left"/>
            </w:pPr>
            <w:r/>
            <w:r>
              <w:rPr>
                <w:rFonts w:ascii="Calibri" w:hAnsi="Calibri"/>
                <w:b w:val="0"/>
                <w:color w:val="232B35"/>
                <w:sz w:val="15"/>
              </w:rPr>
              <w:t>Apple Emergency SOS / Check In / Find My</w:t>
            </w:r>
          </w:p>
        </w:tc>
        <w:tc>
          <w:tcPr>
            <w:tcW w:type="dxa" w:w="2592"/>
            <w:vAlign w:val="center"/>
          </w:tcPr>
          <w:p>
            <w:pPr>
              <w:spacing w:after="0" w:before="0"/>
              <w:jc w:val="left"/>
            </w:pPr>
            <w:r/>
            <w:r>
              <w:rPr>
                <w:rFonts w:ascii="Calibri" w:hAnsi="Calibri"/>
                <w:b w:val="0"/>
                <w:color w:val="232B35"/>
                <w:sz w:val="15"/>
              </w:rPr>
              <w:t>SOS, contactos, check-in, ubicación, batería/señal; satélite en equipos compatibles.</w:t>
            </w:r>
          </w:p>
        </w:tc>
        <w:tc>
          <w:tcPr>
            <w:tcW w:type="dxa" w:w="2880"/>
            <w:vAlign w:val="center"/>
          </w:tcPr>
          <w:p>
            <w:pPr>
              <w:spacing w:after="0" w:before="0"/>
              <w:jc w:val="left"/>
            </w:pPr>
            <w:r/>
            <w:r>
              <w:rPr>
                <w:rFonts w:ascii="Calibri" w:hAnsi="Calibri"/>
                <w:b w:val="0"/>
                <w:color w:val="232B35"/>
                <w:sz w:val="15"/>
              </w:rPr>
              <w:t>Ecosistema Apple; varias funciones dependen de configuración/interacción; no orientado al proceso colombiano de desaparición.</w:t>
            </w:r>
          </w:p>
        </w:tc>
        <w:tc>
          <w:tcPr>
            <w:tcW w:type="dxa" w:w="2592"/>
            <w:vAlign w:val="center"/>
          </w:tcPr>
          <w:p>
            <w:pPr>
              <w:spacing w:after="0" w:before="0"/>
              <w:jc w:val="left"/>
            </w:pPr>
            <w:r/>
            <w:r>
              <w:rPr>
                <w:rFonts w:ascii="Calibri" w:hAnsi="Calibri"/>
                <w:b w:val="0"/>
                <w:color w:val="232B35"/>
                <w:sz w:val="15"/>
              </w:rPr>
              <w:t>Valida consentimiento previo, check-in y última ubicación.</w:t>
            </w:r>
          </w:p>
        </w:tc>
      </w:tr>
      <w:tr>
        <w:tc>
          <w:tcPr>
            <w:tcW w:type="dxa" w:w="1800"/>
            <w:vAlign w:val="center"/>
            <w:shd w:fill="F7FAFC"/>
          </w:tcPr>
          <w:p>
            <w:pPr>
              <w:spacing w:after="0" w:before="0"/>
              <w:jc w:val="left"/>
            </w:pPr>
            <w:r/>
            <w:r>
              <w:rPr>
                <w:rFonts w:ascii="Calibri" w:hAnsi="Calibri"/>
                <w:b w:val="0"/>
                <w:color w:val="232B35"/>
                <w:sz w:val="15"/>
              </w:rPr>
              <w:t>Google/Android Personal Safety + ELS + Earthquake Alerts</w:t>
            </w:r>
          </w:p>
        </w:tc>
        <w:tc>
          <w:tcPr>
            <w:tcW w:type="dxa" w:w="2592"/>
            <w:vAlign w:val="center"/>
            <w:shd w:fill="F7FAFC"/>
          </w:tcPr>
          <w:p>
            <w:pPr>
              <w:spacing w:after="0" w:before="0"/>
              <w:jc w:val="left"/>
            </w:pPr>
            <w:r/>
            <w:r>
              <w:rPr>
                <w:rFonts w:ascii="Calibri" w:hAnsi="Calibri"/>
                <w:b w:val="0"/>
                <w:color w:val="232B35"/>
                <w:sz w:val="15"/>
              </w:rPr>
              <w:t>Safety Check, Emergency Sharing, ELS, alertas sísmicas, última ubicación en ciertos flujos.</w:t>
            </w:r>
          </w:p>
        </w:tc>
        <w:tc>
          <w:tcPr>
            <w:tcW w:type="dxa" w:w="2880"/>
            <w:vAlign w:val="center"/>
            <w:shd w:fill="F7FAFC"/>
          </w:tcPr>
          <w:p>
            <w:pPr>
              <w:spacing w:after="0" w:before="0"/>
              <w:jc w:val="left"/>
            </w:pPr>
            <w:r/>
            <w:r>
              <w:rPr>
                <w:rFonts w:ascii="Calibri" w:hAnsi="Calibri"/>
                <w:b w:val="0"/>
                <w:color w:val="232B35"/>
                <w:sz w:val="15"/>
              </w:rPr>
              <w:t>Varía por fabricante/país; no integra reunificación comunitaria ni sistemas colombianos.</w:t>
            </w:r>
          </w:p>
        </w:tc>
        <w:tc>
          <w:tcPr>
            <w:tcW w:type="dxa" w:w="2592"/>
            <w:vAlign w:val="center"/>
            <w:shd w:fill="F7FAFC"/>
          </w:tcPr>
          <w:p>
            <w:pPr>
              <w:spacing w:after="0" w:before="0"/>
              <w:jc w:val="left"/>
            </w:pPr>
            <w:r/>
            <w:r>
              <w:rPr>
                <w:rFonts w:ascii="Calibri" w:hAnsi="Calibri"/>
                <w:b w:val="0"/>
                <w:color w:val="232B35"/>
                <w:sz w:val="15"/>
              </w:rPr>
              <w:t>Valida automatización contextual y última ubicación.</w:t>
            </w:r>
          </w:p>
        </w:tc>
      </w:tr>
      <w:tr>
        <w:tc>
          <w:tcPr>
            <w:tcW w:type="dxa" w:w="1800"/>
            <w:vAlign w:val="center"/>
          </w:tcPr>
          <w:p>
            <w:pPr>
              <w:spacing w:after="0" w:before="0"/>
              <w:jc w:val="left"/>
            </w:pPr>
            <w:r/>
            <w:r>
              <w:rPr>
                <w:rFonts w:ascii="Calibri" w:hAnsi="Calibri"/>
                <w:b w:val="0"/>
                <w:color w:val="232B35"/>
                <w:sz w:val="15"/>
              </w:rPr>
              <w:t>Life360</w:t>
            </w:r>
          </w:p>
        </w:tc>
        <w:tc>
          <w:tcPr>
            <w:tcW w:type="dxa" w:w="2592"/>
            <w:vAlign w:val="center"/>
          </w:tcPr>
          <w:p>
            <w:pPr>
              <w:spacing w:after="0" w:before="0"/>
              <w:jc w:val="left"/>
            </w:pPr>
            <w:r/>
            <w:r>
              <w:rPr>
                <w:rFonts w:ascii="Calibri" w:hAnsi="Calibri"/>
                <w:b w:val="0"/>
                <w:color w:val="232B35"/>
                <w:sz w:val="15"/>
              </w:rPr>
              <w:t>Círculos familiares, localización, SOS, crash detection.</w:t>
            </w:r>
          </w:p>
        </w:tc>
        <w:tc>
          <w:tcPr>
            <w:tcW w:type="dxa" w:w="2880"/>
            <w:vAlign w:val="center"/>
          </w:tcPr>
          <w:p>
            <w:pPr>
              <w:spacing w:after="0" w:before="0"/>
              <w:jc w:val="left"/>
            </w:pPr>
            <w:r/>
            <w:r>
              <w:rPr>
                <w:rFonts w:ascii="Calibri" w:hAnsi="Calibri"/>
                <w:b w:val="0"/>
                <w:color w:val="232B35"/>
                <w:sz w:val="15"/>
              </w:rPr>
              <w:t>Seguimiento familiar más continuo; mayor exposición si se usa como vigilancia.</w:t>
            </w:r>
          </w:p>
        </w:tc>
        <w:tc>
          <w:tcPr>
            <w:tcW w:type="dxa" w:w="2592"/>
            <w:vAlign w:val="center"/>
          </w:tcPr>
          <w:p>
            <w:pPr>
              <w:spacing w:after="0" w:before="0"/>
              <w:jc w:val="left"/>
            </w:pPr>
            <w:r/>
            <w:r>
              <w:rPr>
                <w:rFonts w:ascii="Calibri" w:hAnsi="Calibri"/>
                <w:b w:val="0"/>
                <w:color w:val="232B35"/>
                <w:sz w:val="15"/>
              </w:rPr>
              <w:t>Referente de adopción cotidiana y círculos.</w:t>
            </w:r>
          </w:p>
        </w:tc>
      </w:tr>
      <w:tr>
        <w:tc>
          <w:tcPr>
            <w:tcW w:type="dxa" w:w="1800"/>
            <w:vAlign w:val="center"/>
            <w:shd w:fill="F7FAFC"/>
          </w:tcPr>
          <w:p>
            <w:pPr>
              <w:spacing w:after="0" w:before="0"/>
              <w:jc w:val="left"/>
            </w:pPr>
            <w:r/>
            <w:r>
              <w:rPr>
                <w:rFonts w:ascii="Calibri" w:hAnsi="Calibri"/>
                <w:b w:val="0"/>
                <w:color w:val="232B35"/>
                <w:sz w:val="15"/>
              </w:rPr>
              <w:t>MyShake</w:t>
            </w:r>
          </w:p>
        </w:tc>
        <w:tc>
          <w:tcPr>
            <w:tcW w:type="dxa" w:w="2592"/>
            <w:vAlign w:val="center"/>
            <w:shd w:fill="F7FAFC"/>
          </w:tcPr>
          <w:p>
            <w:pPr>
              <w:spacing w:after="0" w:before="0"/>
              <w:jc w:val="left"/>
            </w:pPr>
            <w:r/>
            <w:r>
              <w:rPr>
                <w:rFonts w:ascii="Calibri" w:hAnsi="Calibri"/>
                <w:b w:val="0"/>
                <w:color w:val="232B35"/>
                <w:sz w:val="15"/>
              </w:rPr>
              <w:t>Alertas y crowdsourcing sísmico.</w:t>
            </w:r>
          </w:p>
        </w:tc>
        <w:tc>
          <w:tcPr>
            <w:tcW w:type="dxa" w:w="2880"/>
            <w:vAlign w:val="center"/>
            <w:shd w:fill="F7FAFC"/>
          </w:tcPr>
          <w:p>
            <w:pPr>
              <w:spacing w:after="0" w:before="0"/>
              <w:jc w:val="left"/>
            </w:pPr>
            <w:r/>
            <w:r>
              <w:rPr>
                <w:rFonts w:ascii="Calibri" w:hAnsi="Calibri"/>
                <w:b w:val="0"/>
                <w:color w:val="232B35"/>
                <w:sz w:val="15"/>
              </w:rPr>
              <w:t>Centrado en amenaza, no en continuidad familiar.</w:t>
            </w:r>
          </w:p>
        </w:tc>
        <w:tc>
          <w:tcPr>
            <w:tcW w:type="dxa" w:w="2592"/>
            <w:vAlign w:val="center"/>
            <w:shd w:fill="F7FAFC"/>
          </w:tcPr>
          <w:p>
            <w:pPr>
              <w:spacing w:after="0" w:before="0"/>
              <w:jc w:val="left"/>
            </w:pPr>
            <w:r/>
            <w:r>
              <w:rPr>
                <w:rFonts w:ascii="Calibri" w:hAnsi="Calibri"/>
                <w:b w:val="0"/>
                <w:color w:val="232B35"/>
                <w:sz w:val="15"/>
              </w:rPr>
              <w:t>La detección/alerta puede externalizarse.</w:t>
            </w:r>
          </w:p>
        </w:tc>
      </w:tr>
      <w:tr>
        <w:tc>
          <w:tcPr>
            <w:tcW w:type="dxa" w:w="1800"/>
            <w:vAlign w:val="center"/>
          </w:tcPr>
          <w:p>
            <w:pPr>
              <w:spacing w:after="0" w:before="0"/>
              <w:jc w:val="left"/>
            </w:pPr>
            <w:r/>
            <w:r>
              <w:rPr>
                <w:rFonts w:ascii="Calibri" w:hAnsi="Calibri"/>
                <w:b w:val="0"/>
                <w:color w:val="232B35"/>
                <w:sz w:val="15"/>
              </w:rPr>
              <w:t>RFL / ICRC</w:t>
            </w:r>
          </w:p>
        </w:tc>
        <w:tc>
          <w:tcPr>
            <w:tcW w:type="dxa" w:w="2592"/>
            <w:vAlign w:val="center"/>
          </w:tcPr>
          <w:p>
            <w:pPr>
              <w:spacing w:after="0" w:before="0"/>
              <w:jc w:val="left"/>
            </w:pPr>
            <w:r/>
            <w:r>
              <w:rPr>
                <w:rFonts w:ascii="Calibri" w:hAnsi="Calibri"/>
                <w:b w:val="0"/>
                <w:color w:val="232B35"/>
                <w:sz w:val="15"/>
              </w:rPr>
              <w:t>Búsqueda y restablecimiento de contacto humanitario.</w:t>
            </w:r>
          </w:p>
        </w:tc>
        <w:tc>
          <w:tcPr>
            <w:tcW w:type="dxa" w:w="2880"/>
            <w:vAlign w:val="center"/>
          </w:tcPr>
          <w:p>
            <w:pPr>
              <w:spacing w:after="0" w:before="0"/>
              <w:jc w:val="left"/>
            </w:pPr>
            <w:r/>
            <w:r>
              <w:rPr>
                <w:rFonts w:ascii="Calibri" w:hAnsi="Calibri"/>
                <w:b w:val="0"/>
                <w:color w:val="232B35"/>
                <w:sz w:val="15"/>
              </w:rPr>
              <w:t>Proceso institucional/humanitario, no app general con checkpoints previos.</w:t>
            </w:r>
          </w:p>
        </w:tc>
        <w:tc>
          <w:tcPr>
            <w:tcW w:type="dxa" w:w="2592"/>
            <w:vAlign w:val="center"/>
          </w:tcPr>
          <w:p>
            <w:pPr>
              <w:spacing w:after="0" w:before="0"/>
              <w:jc w:val="left"/>
            </w:pPr>
            <w:r/>
            <w:r>
              <w:rPr>
                <w:rFonts w:ascii="Calibri" w:hAnsi="Calibri"/>
                <w:b w:val="0"/>
                <w:color w:val="232B35"/>
                <w:sz w:val="15"/>
              </w:rPr>
              <w:t>Referente directo para Welfare Check.</w:t>
            </w:r>
          </w:p>
        </w:tc>
      </w:tr>
      <w:tr>
        <w:tc>
          <w:tcPr>
            <w:tcW w:type="dxa" w:w="1800"/>
            <w:vAlign w:val="center"/>
            <w:shd w:fill="F7FAFC"/>
          </w:tcPr>
          <w:p>
            <w:pPr>
              <w:spacing w:after="0" w:before="0"/>
              <w:jc w:val="left"/>
            </w:pPr>
            <w:r/>
            <w:r>
              <w:rPr>
                <w:rFonts w:ascii="Calibri" w:hAnsi="Calibri"/>
                <w:b w:val="0"/>
                <w:color w:val="232B35"/>
                <w:sz w:val="15"/>
              </w:rPr>
              <w:t>SIRDEC / RND / Alerta Rosa</w:t>
            </w:r>
          </w:p>
        </w:tc>
        <w:tc>
          <w:tcPr>
            <w:tcW w:type="dxa" w:w="2592"/>
            <w:vAlign w:val="center"/>
            <w:shd w:fill="F7FAFC"/>
          </w:tcPr>
          <w:p>
            <w:pPr>
              <w:spacing w:after="0" w:before="0"/>
              <w:jc w:val="left"/>
            </w:pPr>
            <w:r/>
            <w:r>
              <w:rPr>
                <w:rFonts w:ascii="Calibri" w:hAnsi="Calibri"/>
                <w:b w:val="0"/>
                <w:color w:val="232B35"/>
                <w:sz w:val="15"/>
              </w:rPr>
              <w:t>Registro, consulta y mecanismos institucionales de búsqueda.</w:t>
            </w:r>
          </w:p>
        </w:tc>
        <w:tc>
          <w:tcPr>
            <w:tcW w:type="dxa" w:w="2880"/>
            <w:vAlign w:val="center"/>
            <w:shd w:fill="F7FAFC"/>
          </w:tcPr>
          <w:p>
            <w:pPr>
              <w:spacing w:after="0" w:before="0"/>
              <w:jc w:val="left"/>
            </w:pPr>
            <w:r/>
            <w:r>
              <w:rPr>
                <w:rFonts w:ascii="Calibri" w:hAnsi="Calibri"/>
                <w:b w:val="0"/>
                <w:color w:val="232B35"/>
                <w:sz w:val="15"/>
              </w:rPr>
              <w:t>Acceso operacional restringido; no es un servicio de geolocalización ciudadana.</w:t>
            </w:r>
          </w:p>
        </w:tc>
        <w:tc>
          <w:tcPr>
            <w:tcW w:type="dxa" w:w="2592"/>
            <w:vAlign w:val="center"/>
            <w:shd w:fill="F7FAFC"/>
          </w:tcPr>
          <w:p>
            <w:pPr>
              <w:spacing w:after="0" w:before="0"/>
              <w:jc w:val="left"/>
            </w:pPr>
            <w:r/>
            <w:r>
              <w:rPr>
                <w:rFonts w:ascii="Calibri" w:hAnsi="Calibri"/>
                <w:b w:val="0"/>
                <w:color w:val="232B35"/>
                <w:sz w:val="15"/>
              </w:rPr>
              <w:t>Interoperabilidad futura sin sustituir ni raspar sistemas.</w:t>
            </w:r>
          </w:p>
        </w:tc>
      </w:tr>
    </w:tbl>
    <w:p>
      <w:pPr>
        <w:spacing w:after="20"/>
      </w:pPr>
    </w:p>
    <w:p>
      <w:pPr>
        <w:pStyle w:val="BodyAcademic"/>
        <w:jc w:val="both"/>
      </w:pPr>
      <w:r>
        <w:t>La brecha no está en una función aislada. Está en la orquestación del ciclo completo: preparación previa, evento confiable, confirmación de bienestar, conservación temporal de información mínima, degradación de canales, escalamiento sin inferir desaparición, colaboración comunitaria protegida y continuidad de la propia plataforma.</w:t>
      </w:r>
    </w:p>
    <w:p>
      <w:pPr>
        <w:pStyle w:val="Ttulo3"/>
      </w:pPr>
      <w:r>
        <w:t>1.6.3 Desapariciones en Colombia, SIRDEC y escala temporal</w:t>
      </w:r>
    </w:p>
    <w:p>
      <w:pPr>
        <w:pStyle w:val="BodyAcademic"/>
        <w:jc w:val="both"/>
      </w:pPr>
      <w:r>
        <w:t>El RND y SIRDEC constituyen infraestructura institucional para reportes y consulta [13], [14]. Para investigación cuantitativa, Medicina Legal publica un conjunto histórico en Datos Abiertos Colombia derivado de SIRDEC, con corte junio de 2026 [12]. El prototipo podrá consumir esa fuente mediante SODA/Open Data para estadísticas y contexto, mostrando de forma explícita la fuente y fecha de corte. La consulta nominal actual continuará remitiendo al portal público cuando requiera CAPTCHA; el proyecto no automatizará ni eludirá esos controles.</w:t>
      </w:r>
    </w:p>
    <w:p>
      <w:pPr>
        <w:pStyle w:val="BodyAcademic"/>
        <w:jc w:val="both"/>
      </w:pPr>
      <w:r>
        <w:t>Una integración operacional futura con SIRDEC, Fiscalía, Policía o Alerta Rosa requiere autorización institucional, definición de roles, acuerdos de intercambio, seguridad, tratamiento de datos y una API formal. El prototipo demostrará la arquitectura mediante InstitutionalAdapters simulados y separará un CommunityCase propio de una InstitutionalReference; un caso creado en la app no equivale a denuncia, MBU ni registro oficial.</w:t>
      </w:r>
    </w:p>
    <w:p>
      <w:pPr>
        <w:spacing w:before="80" w:after="40"/>
        <w:jc w:val="center"/>
      </w:pPr>
      <w:r>
        <w:drawing>
          <wp:inline xmlns:a="http://schemas.openxmlformats.org/drawingml/2006/main" xmlns:pic="http://schemas.openxmlformats.org/drawingml/2006/picture">
            <wp:extent cx="5577840" cy="1544039"/>
            <wp:docPr id="5" name="Picture 5"/>
            <wp:cNvGraphicFramePr>
              <a:graphicFrameLocks noChangeAspect="1"/>
            </wp:cNvGraphicFramePr>
            <a:graphic>
              <a:graphicData uri="http://schemas.openxmlformats.org/drawingml/2006/picture">
                <pic:pic>
                  <pic:nvPicPr>
                    <pic:cNvPr id="0" name="12_integracion_sirdec.png"/>
                    <pic:cNvPicPr/>
                  </pic:nvPicPr>
                  <pic:blipFill>
                    <a:blip r:embed="rId21"/>
                    <a:stretch>
                      <a:fillRect/>
                    </a:stretch>
                  </pic:blipFill>
                  <pic:spPr>
                    <a:xfrm>
                      <a:off x="0" y="0"/>
                      <a:ext cx="5577840" cy="1544039"/>
                    </a:xfrm>
                    <a:prstGeom prst="rect"/>
                  </pic:spPr>
                </pic:pic>
              </a:graphicData>
            </a:graphic>
          </wp:inline>
        </w:drawing>
      </w:r>
    </w:p>
    <w:p>
      <w:pPr>
        <w:pStyle w:val="CaptionAcademic"/>
        <w:jc w:val="center"/>
      </w:pPr>
      <w:r>
        <w:t>Figura 4. Integración por niveles con SIRDEC/Datos Abiertos y futura interoperabilidad institucional.</w:t>
      </w:r>
    </w:p>
    <w:tbl>
      <w:tblPr>
        <w:tblStyle w:val="Tablaconcuadrcula"/>
        <w:tblW w:type="auto" w:w="0"/>
        <w:jc w:val="center"/>
        <w:tblLook w:firstColumn="1" w:firstRow="1" w:lastColumn="0" w:lastRow="0" w:noHBand="0" w:noVBand="1" w:val="04A0"/>
      </w:tblPr>
      <w:tblGrid>
        <w:gridCol w:w="3043"/>
        <w:gridCol w:w="3043"/>
        <w:gridCol w:w="3043"/>
      </w:tblGrid>
      <w:tr>
        <w:tc>
          <w:tcPr>
            <w:tcW w:type="dxa" w:w="1440"/>
            <w:vAlign w:val="center"/>
            <w:shd w:fill="17365D"/>
          </w:tcPr>
          <w:p>
            <w:pPr>
              <w:spacing w:after="0" w:before="0"/>
              <w:jc w:val="left"/>
            </w:pPr>
            <w:r/>
            <w:r>
              <w:rPr>
                <w:rFonts w:ascii="Calibri" w:hAnsi="Calibri"/>
                <w:b/>
                <w:color w:val="FFFFFF"/>
                <w:sz w:val="17"/>
              </w:rPr>
              <w:t>Escala temporal</w:t>
            </w:r>
          </w:p>
        </w:tc>
        <w:tc>
          <w:tcPr>
            <w:tcW w:type="dxa" w:w="4896"/>
            <w:vAlign w:val="center"/>
            <w:shd w:fill="17365D"/>
          </w:tcPr>
          <w:p>
            <w:pPr>
              <w:spacing w:after="0" w:before="0"/>
              <w:jc w:val="left"/>
            </w:pPr>
            <w:r/>
            <w:r>
              <w:rPr>
                <w:rFonts w:ascii="Calibri" w:hAnsi="Calibri"/>
                <w:b/>
                <w:color w:val="FFFFFF"/>
                <w:sz w:val="17"/>
              </w:rPr>
              <w:t>Hallazgo</w:t>
            </w:r>
          </w:p>
        </w:tc>
        <w:tc>
          <w:tcPr>
            <w:tcW w:type="dxa" w:w="3456"/>
            <w:vAlign w:val="center"/>
            <w:shd w:fill="17365D"/>
          </w:tcPr>
          <w:p>
            <w:pPr>
              <w:spacing w:after="0" w:before="0"/>
              <w:jc w:val="left"/>
            </w:pPr>
            <w:r/>
            <w:r>
              <w:rPr>
                <w:rFonts w:ascii="Calibri" w:hAnsi="Calibri"/>
                <w:b/>
                <w:color w:val="FFFFFF"/>
                <w:sz w:val="17"/>
              </w:rPr>
              <w:t>Implicación</w:t>
            </w:r>
          </w:p>
        </w:tc>
      </w:tr>
      <w:tr>
        <w:tc>
          <w:tcPr>
            <w:tcW w:type="dxa" w:w="1440"/>
            <w:vAlign w:val="center"/>
          </w:tcPr>
          <w:p>
            <w:pPr>
              <w:spacing w:after="0" w:before="0"/>
              <w:jc w:val="left"/>
            </w:pPr>
            <w:r/>
            <w:r>
              <w:rPr>
                <w:rFonts w:ascii="Calibri" w:hAnsi="Calibri"/>
                <w:b w:val="0"/>
                <w:color w:val="232B35"/>
                <w:sz w:val="17"/>
              </w:rPr>
              <w:t>Antes de 2005</w:t>
            </w:r>
          </w:p>
        </w:tc>
        <w:tc>
          <w:tcPr>
            <w:tcW w:type="dxa" w:w="4896"/>
            <w:vAlign w:val="center"/>
          </w:tcPr>
          <w:p>
            <w:pPr>
              <w:spacing w:after="0" w:before="0"/>
              <w:jc w:val="left"/>
            </w:pPr>
            <w:r/>
            <w:r>
              <w:rPr>
                <w:rFonts w:ascii="Calibri" w:hAnsi="Calibri"/>
                <w:b w:val="0"/>
                <w:color w:val="232B35"/>
                <w:sz w:val="17"/>
              </w:rPr>
              <w:t>En el corpus primario revisado no se identificó una norma general que impusiera legalmente 72 horas.</w:t>
            </w:r>
          </w:p>
        </w:tc>
        <w:tc>
          <w:tcPr>
            <w:tcW w:type="dxa" w:w="3456"/>
            <w:vAlign w:val="center"/>
          </w:tcPr>
          <w:p>
            <w:pPr>
              <w:spacing w:after="0" w:before="0"/>
              <w:jc w:val="left"/>
            </w:pPr>
            <w:r/>
            <w:r>
              <w:rPr>
                <w:rFonts w:ascii="Calibri" w:hAnsi="Calibri"/>
                <w:b w:val="0"/>
                <w:color w:val="232B35"/>
                <w:sz w:val="17"/>
              </w:rPr>
              <w:t>No afirmar prácticas históricas sin evidencia específica.</w:t>
            </w:r>
          </w:p>
        </w:tc>
      </w:tr>
      <w:tr>
        <w:tc>
          <w:tcPr>
            <w:tcW w:type="dxa" w:w="1440"/>
            <w:vAlign w:val="center"/>
            <w:shd w:fill="F7FAFC"/>
          </w:tcPr>
          <w:p>
            <w:pPr>
              <w:spacing w:after="0" w:before="0"/>
              <w:jc w:val="left"/>
            </w:pPr>
            <w:r/>
            <w:r>
              <w:rPr>
                <w:rFonts w:ascii="Calibri" w:hAnsi="Calibri"/>
                <w:b w:val="0"/>
                <w:color w:val="232B35"/>
                <w:sz w:val="17"/>
              </w:rPr>
              <w:t>2005</w:t>
            </w:r>
          </w:p>
        </w:tc>
        <w:tc>
          <w:tcPr>
            <w:tcW w:type="dxa" w:w="4896"/>
            <w:vAlign w:val="center"/>
            <w:shd w:fill="F7FAFC"/>
          </w:tcPr>
          <w:p>
            <w:pPr>
              <w:spacing w:after="0" w:before="0"/>
              <w:jc w:val="left"/>
            </w:pPr>
            <w:r/>
            <w:r>
              <w:rPr>
                <w:rFonts w:ascii="Calibri" w:hAnsi="Calibri"/>
                <w:b w:val="0"/>
                <w:color w:val="232B35"/>
                <w:sz w:val="17"/>
              </w:rPr>
              <w:t>Ley 971 reglamenta el Mecanismo de Búsqueda Urgente.</w:t>
            </w:r>
          </w:p>
        </w:tc>
        <w:tc>
          <w:tcPr>
            <w:tcW w:type="dxa" w:w="3456"/>
            <w:vAlign w:val="center"/>
            <w:shd w:fill="F7FAFC"/>
          </w:tcPr>
          <w:p>
            <w:pPr>
              <w:spacing w:after="0" w:before="0"/>
              <w:jc w:val="left"/>
            </w:pPr>
            <w:r/>
            <w:r>
              <w:rPr>
                <w:rFonts w:ascii="Calibri" w:hAnsi="Calibri"/>
                <w:b w:val="0"/>
                <w:color w:val="232B35"/>
                <w:sz w:val="17"/>
              </w:rPr>
              <w:t>No diseñar alrededor de una espera artificial.</w:t>
            </w:r>
          </w:p>
        </w:tc>
      </w:tr>
      <w:tr>
        <w:tc>
          <w:tcPr>
            <w:tcW w:type="dxa" w:w="1440"/>
            <w:vAlign w:val="center"/>
          </w:tcPr>
          <w:p>
            <w:pPr>
              <w:spacing w:after="0" w:before="0"/>
              <w:jc w:val="left"/>
            </w:pPr>
            <w:r/>
            <w:r>
              <w:rPr>
                <w:rFonts w:ascii="Calibri" w:hAnsi="Calibri"/>
                <w:b w:val="0"/>
                <w:color w:val="232B35"/>
                <w:sz w:val="17"/>
              </w:rPr>
              <w:t>2023</w:t>
            </w:r>
          </w:p>
        </w:tc>
        <w:tc>
          <w:tcPr>
            <w:tcW w:type="dxa" w:w="4896"/>
            <w:vAlign w:val="center"/>
          </w:tcPr>
          <w:p>
            <w:pPr>
              <w:spacing w:after="0" w:before="0"/>
              <w:jc w:val="left"/>
            </w:pPr>
            <w:r/>
            <w:r>
              <w:rPr>
                <w:rFonts w:ascii="Calibri" w:hAnsi="Calibri"/>
                <w:b w:val="0"/>
                <w:color w:val="232B35"/>
                <w:sz w:val="17"/>
              </w:rPr>
              <w:t>Ley 2326 crea la Alerta Rosa.</w:t>
            </w:r>
          </w:p>
        </w:tc>
        <w:tc>
          <w:tcPr>
            <w:tcW w:type="dxa" w:w="3456"/>
            <w:vAlign w:val="center"/>
          </w:tcPr>
          <w:p>
            <w:pPr>
              <w:spacing w:after="0" w:before="0"/>
              <w:jc w:val="left"/>
            </w:pPr>
            <w:r/>
            <w:r>
              <w:rPr>
                <w:rFonts w:ascii="Calibri" w:hAnsi="Calibri"/>
                <w:b w:val="0"/>
                <w:color w:val="232B35"/>
                <w:sz w:val="17"/>
              </w:rPr>
              <w:t>Flujo urgente y diferenciado para población objetivo.</w:t>
            </w:r>
          </w:p>
        </w:tc>
      </w:tr>
      <w:tr>
        <w:tc>
          <w:tcPr>
            <w:tcW w:type="dxa" w:w="1440"/>
            <w:vAlign w:val="center"/>
            <w:shd w:fill="F7FAFC"/>
          </w:tcPr>
          <w:p>
            <w:pPr>
              <w:spacing w:after="0" w:before="0"/>
              <w:jc w:val="left"/>
            </w:pPr>
            <w:r/>
            <w:r>
              <w:rPr>
                <w:rFonts w:ascii="Calibri" w:hAnsi="Calibri"/>
                <w:b w:val="0"/>
                <w:color w:val="232B35"/>
                <w:sz w:val="17"/>
              </w:rPr>
              <w:t>2024</w:t>
            </w:r>
          </w:p>
        </w:tc>
        <w:tc>
          <w:tcPr>
            <w:tcW w:type="dxa" w:w="4896"/>
            <w:vAlign w:val="center"/>
            <w:shd w:fill="F7FAFC"/>
          </w:tcPr>
          <w:p>
            <w:pPr>
              <w:spacing w:after="0" w:before="0"/>
              <w:jc w:val="left"/>
            </w:pPr>
            <w:r/>
            <w:r>
              <w:rPr>
                <w:rFonts w:ascii="Calibri" w:hAnsi="Calibri"/>
                <w:b w:val="0"/>
                <w:color w:val="232B35"/>
                <w:sz w:val="17"/>
              </w:rPr>
              <w:t>Decreto 1428 desarrolla la operación de Alerta Rosa.</w:t>
            </w:r>
          </w:p>
        </w:tc>
        <w:tc>
          <w:tcPr>
            <w:tcW w:type="dxa" w:w="3456"/>
            <w:vAlign w:val="center"/>
            <w:shd w:fill="F7FAFC"/>
          </w:tcPr>
          <w:p>
            <w:pPr>
              <w:spacing w:after="0" w:before="0"/>
              <w:jc w:val="left"/>
            </w:pPr>
            <w:r/>
            <w:r>
              <w:rPr>
                <w:rFonts w:ascii="Calibri" w:hAnsi="Calibri"/>
                <w:b w:val="0"/>
                <w:color w:val="232B35"/>
                <w:sz w:val="17"/>
              </w:rPr>
              <w:t>Interoperabilidad futura exige roles y acuerdos.</w:t>
            </w:r>
          </w:p>
        </w:tc>
      </w:tr>
      <w:tr>
        <w:tc>
          <w:tcPr>
            <w:tcW w:type="dxa" w:w="1440"/>
            <w:vAlign w:val="center"/>
          </w:tcPr>
          <w:p>
            <w:pPr>
              <w:spacing w:after="0" w:before="0"/>
              <w:jc w:val="left"/>
            </w:pPr>
            <w:r/>
            <w:r>
              <w:rPr>
                <w:rFonts w:ascii="Calibri" w:hAnsi="Calibri"/>
                <w:b w:val="0"/>
                <w:color w:val="232B35"/>
                <w:sz w:val="17"/>
              </w:rPr>
              <w:t>2026</w:t>
            </w:r>
          </w:p>
        </w:tc>
        <w:tc>
          <w:tcPr>
            <w:tcW w:type="dxa" w:w="4896"/>
            <w:vAlign w:val="center"/>
          </w:tcPr>
          <w:p>
            <w:pPr>
              <w:spacing w:after="0" w:before="0"/>
              <w:jc w:val="left"/>
            </w:pPr>
            <w:r/>
            <w:r>
              <w:rPr>
                <w:rFonts w:ascii="Calibri" w:hAnsi="Calibri"/>
                <w:b w:val="0"/>
                <w:color w:val="232B35"/>
                <w:sz w:val="17"/>
              </w:rPr>
              <w:t>Fiscalía mantiene lineamientos de activación sin periodo fijo de espera.</w:t>
            </w:r>
          </w:p>
        </w:tc>
        <w:tc>
          <w:tcPr>
            <w:tcW w:type="dxa" w:w="3456"/>
            <w:vAlign w:val="center"/>
          </w:tcPr>
          <w:p>
            <w:pPr>
              <w:spacing w:after="0" w:before="0"/>
              <w:jc w:val="left"/>
            </w:pPr>
            <w:r/>
            <w:r>
              <w:rPr>
                <w:rFonts w:ascii="Calibri" w:hAnsi="Calibri"/>
                <w:b w:val="0"/>
                <w:color w:val="232B35"/>
                <w:sz w:val="17"/>
              </w:rPr>
              <w:t>Medir demoras prácticas, no asumir una regla de 72 horas.</w:t>
            </w:r>
          </w:p>
        </w:tc>
      </w:tr>
    </w:tbl>
    <w:p>
      <w:pPr>
        <w:spacing w:after="20"/>
      </w:pPr>
    </w:p>
    <w:p>
      <w:pPr>
        <w:pStyle w:val="Ttulo3"/>
      </w:pPr>
      <w:r>
        <w:t>1.6.4 Niños, niñas y adolescentes</w:t>
      </w:r>
    </w:p>
    <w:p>
      <w:pPr>
        <w:pStyle w:val="BodyAcademic"/>
        <w:jc w:val="both"/>
      </w:pPr>
      <w:r>
        <w:t>Los NNA constituyen una línea específica por su relevancia y protección reforzada. Medicina Legal publica boletines especializados [15] y el marco colombiano incluye la Ley 1098 de 2006 [23] y Alerta Rosa [18], [19]. La investigación analizará frecuencia, edad, sexo, territorio, estados de localización y protocolos cuando los datos oficiales lo permitan.</w:t>
      </w:r>
    </w:p>
    <w:p>
      <w:pPr>
        <w:pStyle w:val="BodyAcademic"/>
        <w:jc w:val="both"/>
      </w:pPr>
      <w:r>
        <w:t>No se realizarán experimentos con menores reales dentro del MVP. La combinación de fotografía, colegio, residencia, ruta habitual y coordenadas puede facilitar una búsqueda, pero también aumentar el riesgo de victimización. Para demostrar preparación arquitectónica se utilizará un perfil NNA sintético con políticas reforzadas: ubicación comunitaria exacta denegada, historial público bloqueado, tutor o representante requerido y flujos institucionales diferenciados.</w:t>
      </w:r>
    </w:p>
    <w:p>
      <w:pPr>
        <w:pStyle w:val="Ttulo3"/>
      </w:pPr>
      <w:r>
        <w:t>1.6.5 Privacidad, marco jurídico y ética</w:t>
      </w:r>
    </w:p>
    <w:tbl>
      <w:tblPr>
        <w:tblStyle w:val="Tablaconcuadrcula"/>
        <w:tblW w:type="auto" w:w="0"/>
        <w:jc w:val="center"/>
        <w:tblLook w:firstColumn="1" w:firstRow="1" w:lastColumn="0" w:lastRow="0" w:noHBand="0" w:noVBand="1" w:val="04A0"/>
      </w:tblPr>
      <w:tblGrid>
        <w:gridCol w:w="3043"/>
        <w:gridCol w:w="3043"/>
        <w:gridCol w:w="3043"/>
      </w:tblGrid>
      <w:tr>
        <w:tc>
          <w:tcPr>
            <w:tcW w:type="dxa" w:w="2160"/>
            <w:vAlign w:val="center"/>
            <w:shd w:fill="17365D"/>
          </w:tcPr>
          <w:p>
            <w:pPr>
              <w:spacing w:after="0" w:before="0"/>
              <w:jc w:val="left"/>
            </w:pPr>
            <w:r/>
            <w:r>
              <w:rPr>
                <w:rFonts w:ascii="Calibri" w:hAnsi="Calibri"/>
                <w:b/>
                <w:color w:val="FFFFFF"/>
                <w:sz w:val="16"/>
              </w:rPr>
              <w:t>Fuente jurídica</w:t>
            </w:r>
          </w:p>
        </w:tc>
        <w:tc>
          <w:tcPr>
            <w:tcW w:type="dxa" w:w="3312"/>
            <w:vAlign w:val="center"/>
            <w:shd w:fill="17365D"/>
          </w:tcPr>
          <w:p>
            <w:pPr>
              <w:spacing w:after="0" w:before="0"/>
              <w:jc w:val="left"/>
            </w:pPr>
            <w:r/>
            <w:r>
              <w:rPr>
                <w:rFonts w:ascii="Calibri" w:hAnsi="Calibri"/>
                <w:b/>
                <w:color w:val="FFFFFF"/>
                <w:sz w:val="16"/>
              </w:rPr>
              <w:t>Relevancia</w:t>
            </w:r>
          </w:p>
        </w:tc>
        <w:tc>
          <w:tcPr>
            <w:tcW w:type="dxa" w:w="4176"/>
            <w:vAlign w:val="center"/>
            <w:shd w:fill="17365D"/>
          </w:tcPr>
          <w:p>
            <w:pPr>
              <w:spacing w:after="0" w:before="0"/>
              <w:jc w:val="left"/>
            </w:pPr>
            <w:r/>
            <w:r>
              <w:rPr>
                <w:rFonts w:ascii="Calibri" w:hAnsi="Calibri"/>
                <w:b/>
                <w:color w:val="FFFFFF"/>
                <w:sz w:val="16"/>
              </w:rPr>
              <w:t>Decisión de diseño</w:t>
            </w:r>
          </w:p>
        </w:tc>
      </w:tr>
      <w:tr>
        <w:tc>
          <w:tcPr>
            <w:tcW w:type="dxa" w:w="2160"/>
            <w:vAlign w:val="center"/>
          </w:tcPr>
          <w:p>
            <w:pPr>
              <w:spacing w:after="0" w:before="0"/>
              <w:jc w:val="left"/>
            </w:pPr>
            <w:r/>
            <w:r>
              <w:rPr>
                <w:rFonts w:ascii="Calibri" w:hAnsi="Calibri"/>
                <w:b w:val="0"/>
                <w:color w:val="232B35"/>
                <w:sz w:val="16"/>
              </w:rPr>
              <w:t>Constitución, art. 15</w:t>
            </w:r>
          </w:p>
        </w:tc>
        <w:tc>
          <w:tcPr>
            <w:tcW w:type="dxa" w:w="3312"/>
            <w:vAlign w:val="center"/>
          </w:tcPr>
          <w:p>
            <w:pPr>
              <w:spacing w:after="0" w:before="0"/>
              <w:jc w:val="left"/>
            </w:pPr>
            <w:r/>
            <w:r>
              <w:rPr>
                <w:rFonts w:ascii="Calibri" w:hAnsi="Calibri"/>
                <w:b w:val="0"/>
                <w:color w:val="232B35"/>
                <w:sz w:val="16"/>
              </w:rPr>
              <w:t>Intimidad, habeas data.</w:t>
            </w:r>
          </w:p>
        </w:tc>
        <w:tc>
          <w:tcPr>
            <w:tcW w:type="dxa" w:w="4176"/>
            <w:vAlign w:val="center"/>
          </w:tcPr>
          <w:p>
            <w:pPr>
              <w:spacing w:after="0" w:before="0"/>
              <w:jc w:val="left"/>
            </w:pPr>
            <w:r/>
            <w:r>
              <w:rPr>
                <w:rFonts w:ascii="Calibri" w:hAnsi="Calibri"/>
                <w:b w:val="0"/>
                <w:color w:val="232B35"/>
                <w:sz w:val="16"/>
              </w:rPr>
              <w:t>Control del titular, transparencia y acceso limitado.</w:t>
            </w:r>
          </w:p>
        </w:tc>
      </w:tr>
      <w:tr>
        <w:tc>
          <w:tcPr>
            <w:tcW w:type="dxa" w:w="2160"/>
            <w:vAlign w:val="center"/>
            <w:shd w:fill="F7FAFC"/>
          </w:tcPr>
          <w:p>
            <w:pPr>
              <w:spacing w:after="0" w:before="0"/>
              <w:jc w:val="left"/>
            </w:pPr>
            <w:r/>
            <w:r>
              <w:rPr>
                <w:rFonts w:ascii="Calibri" w:hAnsi="Calibri"/>
                <w:b w:val="0"/>
                <w:color w:val="232B35"/>
                <w:sz w:val="16"/>
              </w:rPr>
              <w:t>Ley 1581 de 2012</w:t>
            </w:r>
          </w:p>
        </w:tc>
        <w:tc>
          <w:tcPr>
            <w:tcW w:type="dxa" w:w="3312"/>
            <w:vAlign w:val="center"/>
            <w:shd w:fill="F7FAFC"/>
          </w:tcPr>
          <w:p>
            <w:pPr>
              <w:spacing w:after="0" w:before="0"/>
              <w:jc w:val="left"/>
            </w:pPr>
            <w:r/>
            <w:r>
              <w:rPr>
                <w:rFonts w:ascii="Calibri" w:hAnsi="Calibri"/>
                <w:b w:val="0"/>
                <w:color w:val="232B35"/>
                <w:sz w:val="16"/>
              </w:rPr>
              <w:t>Tratamiento de datos personales.</w:t>
            </w:r>
          </w:p>
        </w:tc>
        <w:tc>
          <w:tcPr>
            <w:tcW w:type="dxa" w:w="4176"/>
            <w:vAlign w:val="center"/>
            <w:shd w:fill="F7FAFC"/>
          </w:tcPr>
          <w:p>
            <w:pPr>
              <w:spacing w:after="0" w:before="0"/>
              <w:jc w:val="left"/>
            </w:pPr>
            <w:r/>
            <w:r>
              <w:rPr>
                <w:rFonts w:ascii="Calibri" w:hAnsi="Calibri"/>
                <w:b w:val="0"/>
                <w:color w:val="232B35"/>
                <w:sz w:val="16"/>
              </w:rPr>
              <w:t>Finalidad, autorización/habilitación, minimización, derechos del titular.</w:t>
            </w:r>
          </w:p>
        </w:tc>
      </w:tr>
      <w:tr>
        <w:tc>
          <w:tcPr>
            <w:tcW w:type="dxa" w:w="2160"/>
            <w:vAlign w:val="center"/>
          </w:tcPr>
          <w:p>
            <w:pPr>
              <w:spacing w:after="0" w:before="0"/>
              <w:jc w:val="left"/>
            </w:pPr>
            <w:r/>
            <w:r>
              <w:rPr>
                <w:rFonts w:ascii="Calibri" w:hAnsi="Calibri"/>
                <w:b w:val="0"/>
                <w:color w:val="232B35"/>
                <w:sz w:val="16"/>
              </w:rPr>
              <w:t>Decreto 1074 de 2015</w:t>
            </w:r>
          </w:p>
        </w:tc>
        <w:tc>
          <w:tcPr>
            <w:tcW w:type="dxa" w:w="3312"/>
            <w:vAlign w:val="center"/>
          </w:tcPr>
          <w:p>
            <w:pPr>
              <w:spacing w:after="0" w:before="0"/>
              <w:jc w:val="left"/>
            </w:pPr>
            <w:r/>
            <w:r>
              <w:rPr>
                <w:rFonts w:ascii="Calibri" w:hAnsi="Calibri"/>
                <w:b w:val="0"/>
                <w:color w:val="232B35"/>
                <w:sz w:val="16"/>
              </w:rPr>
              <w:t>Reglamentación y roles responsable/encargado.</w:t>
            </w:r>
          </w:p>
        </w:tc>
        <w:tc>
          <w:tcPr>
            <w:tcW w:type="dxa" w:w="4176"/>
            <w:vAlign w:val="center"/>
          </w:tcPr>
          <w:p>
            <w:pPr>
              <w:spacing w:after="0" w:before="0"/>
              <w:jc w:val="left"/>
            </w:pPr>
            <w:r/>
            <w:r>
              <w:rPr>
                <w:rFonts w:ascii="Calibri" w:hAnsi="Calibri"/>
                <w:b w:val="0"/>
                <w:color w:val="232B35"/>
                <w:sz w:val="16"/>
              </w:rPr>
              <w:t>Políticas, contratos y seguridad.</w:t>
            </w:r>
          </w:p>
        </w:tc>
      </w:tr>
      <w:tr>
        <w:tc>
          <w:tcPr>
            <w:tcW w:type="dxa" w:w="2160"/>
            <w:vAlign w:val="center"/>
            <w:shd w:fill="F7FAFC"/>
          </w:tcPr>
          <w:p>
            <w:pPr>
              <w:spacing w:after="0" w:before="0"/>
              <w:jc w:val="left"/>
            </w:pPr>
            <w:r/>
            <w:r>
              <w:rPr>
                <w:rFonts w:ascii="Calibri" w:hAnsi="Calibri"/>
                <w:b w:val="0"/>
                <w:color w:val="232B35"/>
                <w:sz w:val="16"/>
              </w:rPr>
              <w:t>Ley 1098 de 2006</w:t>
            </w:r>
          </w:p>
        </w:tc>
        <w:tc>
          <w:tcPr>
            <w:tcW w:type="dxa" w:w="3312"/>
            <w:vAlign w:val="center"/>
            <w:shd w:fill="F7FAFC"/>
          </w:tcPr>
          <w:p>
            <w:pPr>
              <w:spacing w:after="0" w:before="0"/>
              <w:jc w:val="left"/>
            </w:pPr>
            <w:r/>
            <w:r>
              <w:rPr>
                <w:rFonts w:ascii="Calibri" w:hAnsi="Calibri"/>
                <w:b w:val="0"/>
                <w:color w:val="232B35"/>
                <w:sz w:val="16"/>
              </w:rPr>
              <w:t>Protección reforzada de NNA.</w:t>
            </w:r>
          </w:p>
        </w:tc>
        <w:tc>
          <w:tcPr>
            <w:tcW w:type="dxa" w:w="4176"/>
            <w:vAlign w:val="center"/>
            <w:shd w:fill="F7FAFC"/>
          </w:tcPr>
          <w:p>
            <w:pPr>
              <w:spacing w:after="0" w:before="0"/>
              <w:jc w:val="left"/>
            </w:pPr>
            <w:r/>
            <w:r>
              <w:rPr>
                <w:rFonts w:ascii="Calibri" w:hAnsi="Calibri"/>
                <w:b w:val="0"/>
                <w:color w:val="232B35"/>
                <w:sz w:val="16"/>
              </w:rPr>
              <w:t>Excluir menores reales del MVP; limitar exposición.</w:t>
            </w:r>
          </w:p>
        </w:tc>
      </w:tr>
      <w:tr>
        <w:tc>
          <w:tcPr>
            <w:tcW w:type="dxa" w:w="2160"/>
            <w:vAlign w:val="center"/>
          </w:tcPr>
          <w:p>
            <w:pPr>
              <w:spacing w:after="0" w:before="0"/>
              <w:jc w:val="left"/>
            </w:pPr>
            <w:r/>
            <w:r>
              <w:rPr>
                <w:rFonts w:ascii="Calibri" w:hAnsi="Calibri"/>
                <w:b w:val="0"/>
                <w:color w:val="232B35"/>
                <w:sz w:val="16"/>
              </w:rPr>
              <w:t>Ley 971 de 2005</w:t>
            </w:r>
          </w:p>
        </w:tc>
        <w:tc>
          <w:tcPr>
            <w:tcW w:type="dxa" w:w="3312"/>
            <w:vAlign w:val="center"/>
          </w:tcPr>
          <w:p>
            <w:pPr>
              <w:spacing w:after="0" w:before="0"/>
              <w:jc w:val="left"/>
            </w:pPr>
            <w:r/>
            <w:r>
              <w:rPr>
                <w:rFonts w:ascii="Calibri" w:hAnsi="Calibri"/>
                <w:b w:val="0"/>
                <w:color w:val="232B35"/>
                <w:sz w:val="16"/>
              </w:rPr>
              <w:t>Mecanismo de Búsqueda Urgente.</w:t>
            </w:r>
          </w:p>
        </w:tc>
        <w:tc>
          <w:tcPr>
            <w:tcW w:type="dxa" w:w="4176"/>
            <w:vAlign w:val="center"/>
          </w:tcPr>
          <w:p>
            <w:pPr>
              <w:spacing w:after="0" w:before="0"/>
              <w:jc w:val="left"/>
            </w:pPr>
            <w:r/>
            <w:r>
              <w:rPr>
                <w:rFonts w:ascii="Calibri" w:hAnsi="Calibri"/>
                <w:b w:val="0"/>
                <w:color w:val="232B35"/>
                <w:sz w:val="16"/>
              </w:rPr>
              <w:t>No esperar 72 h por diseño.</w:t>
            </w:r>
          </w:p>
        </w:tc>
      </w:tr>
      <w:tr>
        <w:tc>
          <w:tcPr>
            <w:tcW w:type="dxa" w:w="2160"/>
            <w:vAlign w:val="center"/>
            <w:shd w:fill="F7FAFC"/>
          </w:tcPr>
          <w:p>
            <w:pPr>
              <w:spacing w:after="0" w:before="0"/>
              <w:jc w:val="left"/>
            </w:pPr>
            <w:r/>
            <w:r>
              <w:rPr>
                <w:rFonts w:ascii="Calibri" w:hAnsi="Calibri"/>
                <w:b w:val="0"/>
                <w:color w:val="232B35"/>
                <w:sz w:val="16"/>
              </w:rPr>
              <w:t>Ley 2326 de 2023 / Decreto 1428 de 2024</w:t>
            </w:r>
          </w:p>
        </w:tc>
        <w:tc>
          <w:tcPr>
            <w:tcW w:type="dxa" w:w="3312"/>
            <w:vAlign w:val="center"/>
            <w:shd w:fill="F7FAFC"/>
          </w:tcPr>
          <w:p>
            <w:pPr>
              <w:spacing w:after="0" w:before="0"/>
              <w:jc w:val="left"/>
            </w:pPr>
            <w:r/>
            <w:r>
              <w:rPr>
                <w:rFonts w:ascii="Calibri" w:hAnsi="Calibri"/>
                <w:b w:val="0"/>
                <w:color w:val="232B35"/>
                <w:sz w:val="16"/>
              </w:rPr>
              <w:t>Alerta Rosa e interoperabilidad.</w:t>
            </w:r>
          </w:p>
        </w:tc>
        <w:tc>
          <w:tcPr>
            <w:tcW w:type="dxa" w:w="4176"/>
            <w:vAlign w:val="center"/>
            <w:shd w:fill="F7FAFC"/>
          </w:tcPr>
          <w:p>
            <w:pPr>
              <w:spacing w:after="0" w:before="0"/>
              <w:jc w:val="left"/>
            </w:pPr>
            <w:r/>
            <w:r>
              <w:rPr>
                <w:rFonts w:ascii="Calibri" w:hAnsi="Calibri"/>
                <w:b w:val="0"/>
                <w:color w:val="232B35"/>
                <w:sz w:val="16"/>
              </w:rPr>
              <w:t>Adaptadores institucionales futuros, no acceso informal.</w:t>
            </w:r>
          </w:p>
        </w:tc>
      </w:tr>
    </w:tbl>
    <w:p>
      <w:pPr>
        <w:spacing w:after="20"/>
      </w:pPr>
    </w:p>
    <w:p>
      <w:pPr>
        <w:pStyle w:val="BodyAcademic"/>
        <w:jc w:val="both"/>
      </w:pPr>
      <w:r>
        <w:t>Una emergencia no crea una excepción universal de privacidad. El proyecto aplicará consentimiento granular, purpose limitation, data minimization, storage limitation, progressive disclosure, revocación y auditoría. Las solicitudes institucionales usarán un legal gateway separado. Transferencia internacional, cadena de custodia, preservación de evidencia y plazos de retención del incident hold requieren revisión jurídica profesional antes de despliegue real.</w:t>
      </w:r>
    </w:p>
    <w:p>
      <w:pPr>
        <w:pStyle w:val="Ttulo3"/>
      </w:pPr>
      <w:r>
        <w:t>1.6.6 Human-Centered Design under Stress</w:t>
      </w:r>
    </w:p>
    <w:p>
      <w:pPr>
        <w:pStyle w:val="BodyAcademic"/>
        <w:jc w:val="both"/>
      </w:pPr>
      <w:r>
        <w:t>NIST, a partir del Protective Action Decision Model, muestra que antes de actuar una persona debe percibir la señal, prestarle atención, comprenderla, creerla, personalizar el riesgo y seleccionar una acción [27]. La ambigüedad puede producir búsqueda adicional de información y consumir tiempo crítico. ISO 9241-210 aporta el marco general de diseño centrado en personas [44].</w:t>
      </w:r>
    </w:p>
    <w:p>
      <w:pPr>
        <w:pStyle w:val="BodyAcademic"/>
        <w:jc w:val="both"/>
      </w:pPr>
      <w:r>
        <w:t>El modo de emergencia reduce la interfaz a acciones inequívocas: “Estoy bien”, “Necesito ayuda” y “No puedo salir”. El diseño no dependerá exclusivamente del color; combinará texto, iconografía, vibración/sonido cuando sea posible y objetivos táctiles grandes. La evaluación utilizará tareas simuladas y no provocará peligro ni estrés clínico real.</w:t>
      </w:r>
    </w:p>
    <w:p>
      <w:pPr>
        <w:pStyle w:val="Ttulo3"/>
      </w:pPr>
      <w:r>
        <w:t>1.6.7 Emergency Location Vault y retención deslizante</w:t>
      </w:r>
    </w:p>
    <w:p>
      <w:pPr>
        <w:pStyle w:val="BodyAcademic"/>
        <w:jc w:val="both"/>
      </w:pPr>
      <w:r>
        <w:t>La “caja negra personal” se redefine como Emergency Location Vault: una bóveda de contexto de emergencia que conserva checkpoints discretos, cifrados y temporales. No registra audio, mensajes privados, fotografías, contenido de WhatsApp, historial de aplicaciones ni ubicación segundo a segundo. Cada punto contiene solo lo necesario para evaluar utilidad: timestamp, latitud/longitud cifrada, precisión, batería, conectividad y, cuando aplique, estado de emergencia.</w:t>
      </w:r>
    </w:p>
    <w:p>
      <w:pPr>
        <w:pStyle w:val="BodyAcademic"/>
        <w:jc w:val="both"/>
      </w:pPr>
      <w:r>
        <w:t>Para el MVP se adopta una ventana móvil de 24 horas como línea base, no como intervalo óptimo demostrado. Cada checkpoint tiene su propio expires_at; un worker elimina únicamente los registros vencidos. No existe un “borrado total del día”. Si ocurre un SOS, evento verificado o caso legítimamente activado, solo el subconjunto pertinente puede entrar en incident hold temporal con motivo, actor, fecha de inicio, fecha máxima y auditoría.</w:t>
      </w:r>
    </w:p>
    <w:p>
      <w:pPr>
        <w:spacing w:before="80" w:after="40"/>
        <w:jc w:val="center"/>
      </w:pPr>
      <w:r>
        <w:drawing>
          <wp:inline xmlns:a="http://schemas.openxmlformats.org/drawingml/2006/main" xmlns:pic="http://schemas.openxmlformats.org/drawingml/2006/picture">
            <wp:extent cx="5532120" cy="5381927"/>
            <wp:docPr id="6" name="Picture 6"/>
            <wp:cNvGraphicFramePr>
              <a:graphicFrameLocks noChangeAspect="1"/>
            </wp:cNvGraphicFramePr>
            <a:graphic>
              <a:graphicData uri="http://schemas.openxmlformats.org/drawingml/2006/picture">
                <pic:pic>
                  <pic:nvPicPr>
                    <pic:cNvPr id="0" name="05_vault_retencion_deslizante.png"/>
                    <pic:cNvPicPr/>
                  </pic:nvPicPr>
                  <pic:blipFill>
                    <a:blip r:embed="rId22"/>
                    <a:stretch>
                      <a:fillRect/>
                    </a:stretch>
                  </pic:blipFill>
                  <pic:spPr>
                    <a:xfrm>
                      <a:off x="0" y="0"/>
                      <a:ext cx="5532120" cy="5381927"/>
                    </a:xfrm>
                    <a:prstGeom prst="rect"/>
                  </pic:spPr>
                </pic:pic>
              </a:graphicData>
            </a:graphic>
          </wp:inline>
        </w:drawing>
      </w:r>
    </w:p>
    <w:p>
      <w:pPr>
        <w:pStyle w:val="CaptionAcademic"/>
        <w:jc w:val="center"/>
      </w:pPr>
      <w:r>
        <w:t>Figura 5. Retención deslizante del Emergency Location Vault e incident hold temporal.</w:t>
      </w:r>
    </w:p>
    <w:p>
      <w:pPr>
        <w:pStyle w:val="BodyAcademic"/>
        <w:jc w:val="both"/>
      </w:pPr>
      <w:r>
        <w:t>La arquitectura contempla además una bóveda local cifrada en el dispositivo para checkpoints aún no sincronizados. El teléfono no se conecta directamente a la base de datos central: utiliza HTTPS contra la API, que aplica autenticación y políticas antes de acceder a PostgreSQL/PostGIS. Se conservarán created_at y synced_at para medir el retraso de sincronización cuando la conectividad desaparezca y regrese.</w:t>
      </w:r>
    </w:p>
    <w:p>
      <w:pPr>
        <w:pStyle w:val="Ttulo3"/>
      </w:pPr>
      <w:r>
        <w:t>1.6.8 Muestreo adaptativo: utilidad, batería, privacidad y datos</w:t>
      </w:r>
    </w:p>
    <w:p>
      <w:pPr>
        <w:pStyle w:val="BodyAcademic"/>
        <w:jc w:val="both"/>
      </w:pPr>
      <w:r>
        <w:t>Android documenta impacto energético y restricciones de ubicación en segundo plano [39]; Apple ofrece mecanismos de menor consumo y también limita la ejecución background. Por ello no se adopta GPS continuo. La frecuencia se evaluará experimentalmente con intervalos de 30 s, 1, 5, 10 y 15 min, estrategias por movimiento y un modo adaptativo. El criterio será multicriterio: batería, datos, error del último punto, antigüedad, cantidad de registros y exposición de privacidad.</w:t>
      </w:r>
    </w:p>
    <w:p>
      <w:pPr>
        <w:spacing w:before="80" w:after="40"/>
        <w:jc w:val="center"/>
      </w:pPr>
      <w:r>
        <w:drawing>
          <wp:inline xmlns:a="http://schemas.openxmlformats.org/drawingml/2006/main" xmlns:pic="http://schemas.openxmlformats.org/drawingml/2006/picture">
            <wp:extent cx="4937760" cy="6923672"/>
            <wp:docPr id="7" name="Picture 7"/>
            <wp:cNvGraphicFramePr>
              <a:graphicFrameLocks noChangeAspect="1"/>
            </wp:cNvGraphicFramePr>
            <a:graphic>
              <a:graphicData uri="http://schemas.openxmlformats.org/drawingml/2006/picture">
                <pic:pic>
                  <pic:nvPicPr>
                    <pic:cNvPr id="0" name="06_adaptive_sampling.png"/>
                    <pic:cNvPicPr/>
                  </pic:nvPicPr>
                  <pic:blipFill>
                    <a:blip r:embed="rId23"/>
                    <a:stretch>
                      <a:fillRect/>
                    </a:stretch>
                  </pic:blipFill>
                  <pic:spPr>
                    <a:xfrm>
                      <a:off x="0" y="0"/>
                      <a:ext cx="4937760" cy="6923672"/>
                    </a:xfrm>
                    <a:prstGeom prst="rect"/>
                  </pic:spPr>
                </pic:pic>
              </a:graphicData>
            </a:graphic>
          </wp:inline>
        </w:drawing>
      </w:r>
    </w:p>
    <w:p>
      <w:pPr>
        <w:pStyle w:val="CaptionAcademic"/>
        <w:jc w:val="center"/>
      </w:pPr>
      <w:r>
        <w:t>Figura 6. Estrategia de Adaptive Emergency Sampling.</w:t>
      </w:r>
    </w:p>
    <w:p>
      <w:pPr>
        <w:pStyle w:val="Ttulo3"/>
      </w:pPr>
      <w:r>
        <w:t>1.6.9 Motor de disparadores, filtros y check-in automático</w:t>
      </w:r>
    </w:p>
    <w:p>
      <w:pPr>
        <w:pStyle w:val="BodyAcademic"/>
        <w:jc w:val="both"/>
      </w:pPr>
      <w:r>
        <w:t>El check-in puede originarse de tres familias de disparadores: (1) un evento oficial relevante; (2) una solicitud de verificación de un contacto autorizado; o (3) una acción directa del usuario, como SOS o Personal Safety Mode. Un sismo no activará el flujo únicamente por magnitud: se evaluarán fuente, vigencia, magnitud, distancia, profundidad, área/polígono de afectación, severidad oficial y ubicación/contexto del usuario. Los umbrales serán parametrizables y no se presentarán como verdades universales.</w:t>
      </w:r>
    </w:p>
    <w:p>
      <w:pPr>
        <w:spacing w:before="80" w:after="40"/>
        <w:jc w:val="center"/>
      </w:pPr>
      <w:r>
        <w:drawing>
          <wp:inline xmlns:a="http://schemas.openxmlformats.org/drawingml/2006/main" xmlns:pic="http://schemas.openxmlformats.org/drawingml/2006/picture">
            <wp:extent cx="5120640" cy="4178224"/>
            <wp:docPr id="8" name="Picture 8"/>
            <wp:cNvGraphicFramePr>
              <a:graphicFrameLocks noChangeAspect="1"/>
            </wp:cNvGraphicFramePr>
            <a:graphic>
              <a:graphicData uri="http://schemas.openxmlformats.org/drawingml/2006/picture">
                <pic:pic>
                  <pic:nvPicPr>
                    <pic:cNvPr id="0" name="02_motor_disparadores.png"/>
                    <pic:cNvPicPr/>
                  </pic:nvPicPr>
                  <pic:blipFill>
                    <a:blip r:embed="rId24"/>
                    <a:stretch>
                      <a:fillRect/>
                    </a:stretch>
                  </pic:blipFill>
                  <pic:spPr>
                    <a:xfrm>
                      <a:off x="0" y="0"/>
                      <a:ext cx="5120640" cy="4178224"/>
                    </a:xfrm>
                    <a:prstGeom prst="rect"/>
                  </pic:spPr>
                </pic:pic>
              </a:graphicData>
            </a:graphic>
          </wp:inline>
        </w:drawing>
      </w:r>
    </w:p>
    <w:p>
      <w:pPr>
        <w:pStyle w:val="CaptionAcademic"/>
        <w:jc w:val="center"/>
      </w:pPr>
      <w:r>
        <w:t>Figura 7. Motor de disparadores y check-in automático.</w:t>
      </w:r>
    </w:p>
    <w:p>
      <w:pPr>
        <w:pStyle w:val="Ttulo3"/>
      </w:pPr>
      <w:r>
        <w:t>1.6.10 Quórum de confianza y máquina de estados</w:t>
      </w:r>
    </w:p>
    <w:p>
      <w:pPr>
        <w:pStyle w:val="BodyAcademic"/>
        <w:jc w:val="both"/>
      </w:pPr>
      <w:r>
        <w:t>Cuando la solicitud de verificación nace únicamente de un familiar, la política puede exigir un Trusted Quorum N-de-M antes de liberar el último checkpoint. Por ejemplo, el usuario puede configurar tres contactos —madre, pareja y amigo— y requerir confirmación de al menos dos. El quórum no se aplica ciegamente: un SOS manual o un evento oficial grave pueden activar una política distinta previamente autorizada.</w:t>
      </w:r>
    </w:p>
    <w:p>
      <w:pPr>
        <w:spacing w:before="80" w:after="40"/>
        <w:jc w:val="center"/>
      </w:pPr>
      <w:r>
        <w:drawing>
          <wp:inline xmlns:a="http://schemas.openxmlformats.org/drawingml/2006/main" xmlns:pic="http://schemas.openxmlformats.org/drawingml/2006/picture">
            <wp:extent cx="4937760" cy="6330640"/>
            <wp:docPr id="9" name="Picture 9"/>
            <wp:cNvGraphicFramePr>
              <a:graphicFrameLocks noChangeAspect="1"/>
            </wp:cNvGraphicFramePr>
            <a:graphic>
              <a:graphicData uri="http://schemas.openxmlformats.org/drawingml/2006/picture">
                <pic:pic>
                  <pic:nvPicPr>
                    <pic:cNvPr id="0" name="04_trusted_quorum.png"/>
                    <pic:cNvPicPr/>
                  </pic:nvPicPr>
                  <pic:blipFill>
                    <a:blip r:embed="rId25"/>
                    <a:stretch>
                      <a:fillRect/>
                    </a:stretch>
                  </pic:blipFill>
                  <pic:spPr>
                    <a:xfrm>
                      <a:off x="0" y="0"/>
                      <a:ext cx="4937760" cy="6330640"/>
                    </a:xfrm>
                    <a:prstGeom prst="rect"/>
                  </pic:spPr>
                </pic:pic>
              </a:graphicData>
            </a:graphic>
          </wp:inline>
        </w:drawing>
      </w:r>
    </w:p>
    <w:p>
      <w:pPr>
        <w:pStyle w:val="CaptionAcademic"/>
        <w:jc w:val="center"/>
      </w:pPr>
      <w:r>
        <w:t>Figura 8. Quórum N-de-M para solicitudes familiares de verificación.</w:t>
      </w:r>
    </w:p>
    <w:p>
      <w:pPr>
        <w:pStyle w:val="BodyAcademic"/>
        <w:jc w:val="both"/>
      </w:pPr>
      <w:r>
        <w:t>Los estados se separan por significado: SAFE confirma bienestar; HELP_REQUIRED y UNABLE_TO_EXIT son respuestas directas; NO_RESPONSE significa únicamente ausencia de confirmación; INSTITUTIONAL_REFERENCE_ADDED indica que existe una referencia institucional; LOCATED_SAFE y LOCATED_HELP_REQUIRED representan verificaciones posteriores. El sistema no crea automáticamente estados KIDNAPPED, MISSING o DEAD por falta de respuesta.</w:t>
      </w:r>
    </w:p>
    <w:p>
      <w:pPr>
        <w:spacing w:before="80" w:after="40"/>
        <w:jc w:val="center"/>
      </w:pPr>
      <w:r>
        <w:drawing>
          <wp:inline xmlns:a="http://schemas.openxmlformats.org/drawingml/2006/main" xmlns:pic="http://schemas.openxmlformats.org/drawingml/2006/picture">
            <wp:extent cx="5715000" cy="938340"/>
            <wp:docPr id="10" name="Picture 10"/>
            <wp:cNvGraphicFramePr>
              <a:graphicFrameLocks noChangeAspect="1"/>
            </wp:cNvGraphicFramePr>
            <a:graphic>
              <a:graphicData uri="http://schemas.openxmlformats.org/drawingml/2006/picture">
                <pic:pic>
                  <pic:nvPicPr>
                    <pic:cNvPr id="0" name="03_maquina_estados.png"/>
                    <pic:cNvPicPr/>
                  </pic:nvPicPr>
                  <pic:blipFill>
                    <a:blip r:embed="rId26"/>
                    <a:stretch>
                      <a:fillRect/>
                    </a:stretch>
                  </pic:blipFill>
                  <pic:spPr>
                    <a:xfrm>
                      <a:off x="0" y="0"/>
                      <a:ext cx="5715000" cy="938340"/>
                    </a:xfrm>
                    <a:prstGeom prst="rect"/>
                  </pic:spPr>
                </pic:pic>
              </a:graphicData>
            </a:graphic>
          </wp:inline>
        </w:drawing>
      </w:r>
    </w:p>
    <w:p>
      <w:pPr>
        <w:pStyle w:val="CaptionAcademic"/>
        <w:jc w:val="center"/>
      </w:pPr>
      <w:r>
        <w:t>Figura 9. Máquina de estados de persona/caso y prohibición de inferencias automáticas.</w:t>
      </w:r>
    </w:p>
    <w:p>
      <w:pPr>
        <w:pStyle w:val="Ttulo3"/>
      </w:pPr>
      <w:r>
        <w:t>1.6.11 Personal Safety Mode</w:t>
      </w:r>
    </w:p>
    <w:p>
      <w:pPr>
        <w:pStyle w:val="BodyAcademic"/>
        <w:jc w:val="both"/>
      </w:pPr>
      <w:r>
        <w:t>El Personal Safety Mode responde a vulnerabilidad inmediata, no a una denuncia formal de acoso. Si una usuaria percibe que alguien la sigue o que se encuentra en una situación insegura, puede activar el modo sin esperar a demostrar un delito. El sistema puede aumentar temporalmente la frecuencia de checkpoints, notificar contactos preseleccionados, iniciar un Safety Journey y solicitar check-ins. Si se activa SOS o deja de responder, se aplica la política de escalamiento; la app no acusa a terceros ni concluye que existe secuestro, agresión o acoso probado.</w:t>
      </w:r>
    </w:p>
    <w:p>
      <w:pPr>
        <w:pStyle w:val="Ttulo3"/>
      </w:pPr>
      <w:r>
        <w:t>1.6.12 Comunicación multicanal, P2P y DTN</w:t>
      </w:r>
    </w:p>
    <w:p>
      <w:pPr>
        <w:pStyle w:val="BodyAcademic"/>
        <w:jc w:val="both"/>
      </w:pPr>
      <w:r>
        <w:t>La estrategia usa datos/push como canal primario; SMS cuando exista cobertura celular sin IP; P2P oportunista y store-and-forward como componente experimental; y sincronización diferida cuando reaparece conectividad. Nearby Connections ofrece posibilidades P2P offline en Android [32]. RFC 9171 aporta el marco conceptual de Bundle Protocol para redes interrumpidas [33]. En iOS existen restricciones significativas de background y evolución de APIs [34], [35], por lo que no se promete una red mesh universal silenciosa Android+iOS.</w:t>
      </w:r>
    </w:p>
    <w:p>
      <w:pPr>
        <w:spacing w:before="80" w:after="40"/>
        <w:jc w:val="center"/>
      </w:pPr>
      <w:r>
        <w:drawing>
          <wp:inline xmlns:a="http://schemas.openxmlformats.org/drawingml/2006/main" xmlns:pic="http://schemas.openxmlformats.org/drawingml/2006/picture">
            <wp:extent cx="5623560" cy="629785"/>
            <wp:docPr id="11" name="Picture 11"/>
            <wp:cNvGraphicFramePr>
              <a:graphicFrameLocks noChangeAspect="1"/>
            </wp:cNvGraphicFramePr>
            <a:graphic>
              <a:graphicData uri="http://schemas.openxmlformats.org/drawingml/2006/picture">
                <pic:pic>
                  <pic:nvPicPr>
                    <pic:cNvPr id="0" name="07_multicanal_dtn.png"/>
                    <pic:cNvPicPr/>
                  </pic:nvPicPr>
                  <pic:blipFill>
                    <a:blip r:embed="rId27"/>
                    <a:stretch>
                      <a:fillRect/>
                    </a:stretch>
                  </pic:blipFill>
                  <pic:spPr>
                    <a:xfrm>
                      <a:off x="0" y="0"/>
                      <a:ext cx="5623560" cy="629785"/>
                    </a:xfrm>
                    <a:prstGeom prst="rect"/>
                  </pic:spPr>
                </pic:pic>
              </a:graphicData>
            </a:graphic>
          </wp:inline>
        </w:drawing>
      </w:r>
    </w:p>
    <w:p>
      <w:pPr>
        <w:pStyle w:val="CaptionAcademic"/>
        <w:jc w:val="center"/>
      </w:pPr>
      <w:r>
        <w:t>Figura 10. Degradación elegante de canales y store-and-forward.</w:t>
      </w:r>
    </w:p>
    <w:p>
      <w:pPr>
        <w:pStyle w:val="Ttulo3"/>
      </w:pPr>
      <w:r>
        <w:t>1.6.13 Arquitectura de software, casos de uso y datos</w:t>
      </w:r>
    </w:p>
    <w:p>
      <w:pPr>
        <w:pStyle w:val="BodyAcademic"/>
        <w:jc w:val="both"/>
      </w:pPr>
      <w:r>
        <w:t>Para el MVP se propone un monolito modular orientado a eventos. La decisión reduce complejidad operacional frente a microservicios y mantiene límites de dominio que pueden extraerse posteriormente si volumen o disponibilidad lo justifican. Los módulos principales son Identity &amp; Device, Trusted Circle, Consent/Policy, Emergency Context Engine, Emergency Location Vault, Alert Orchestrator, Case/State Engine, Welfare Check, Community Verification, Audit &amp; Abuse Detection e Institutional Adapters.</w:t>
      </w:r>
    </w:p>
    <w:p>
      <w:pPr>
        <w:spacing w:before="80" w:after="40"/>
        <w:jc w:val="center"/>
      </w:pPr>
      <w:r>
        <w:drawing>
          <wp:inline xmlns:a="http://schemas.openxmlformats.org/drawingml/2006/main" xmlns:pic="http://schemas.openxmlformats.org/drawingml/2006/picture">
            <wp:extent cx="5715000" cy="1669950"/>
            <wp:docPr id="12" name="Picture 12"/>
            <wp:cNvGraphicFramePr>
              <a:graphicFrameLocks noChangeAspect="1"/>
            </wp:cNvGraphicFramePr>
            <a:graphic>
              <a:graphicData uri="http://schemas.openxmlformats.org/drawingml/2006/picture">
                <pic:pic>
                  <pic:nvPicPr>
                    <pic:cNvPr id="0" name="08_arquitectura_logica.png"/>
                    <pic:cNvPicPr/>
                  </pic:nvPicPr>
                  <pic:blipFill>
                    <a:blip r:embed="rId28"/>
                    <a:stretch>
                      <a:fillRect/>
                    </a:stretch>
                  </pic:blipFill>
                  <pic:spPr>
                    <a:xfrm>
                      <a:off x="0" y="0"/>
                      <a:ext cx="5715000" cy="1669950"/>
                    </a:xfrm>
                    <a:prstGeom prst="rect"/>
                  </pic:spPr>
                </pic:pic>
              </a:graphicData>
            </a:graphic>
          </wp:inline>
        </w:drawing>
      </w:r>
    </w:p>
    <w:p>
      <w:pPr>
        <w:pStyle w:val="CaptionAcademic"/>
        <w:jc w:val="center"/>
      </w:pPr>
      <w:r>
        <w:t>Figura 11. Arquitectura lógica del prototipo.</w:t>
      </w:r>
    </w:p>
    <w:p>
      <w:pPr>
        <w:spacing w:before="80" w:after="40"/>
        <w:jc w:val="center"/>
      </w:pPr>
      <w:r>
        <w:drawing>
          <wp:inline xmlns:a="http://schemas.openxmlformats.org/drawingml/2006/main" xmlns:pic="http://schemas.openxmlformats.org/drawingml/2006/picture">
            <wp:extent cx="5623560" cy="5609911"/>
            <wp:docPr id="13" name="Picture 13"/>
            <wp:cNvGraphicFramePr>
              <a:graphicFrameLocks noChangeAspect="1"/>
            </wp:cNvGraphicFramePr>
            <a:graphic>
              <a:graphicData uri="http://schemas.openxmlformats.org/drawingml/2006/picture">
                <pic:pic>
                  <pic:nvPicPr>
                    <pic:cNvPr id="0" name="09_casos_uso.png"/>
                    <pic:cNvPicPr/>
                  </pic:nvPicPr>
                  <pic:blipFill>
                    <a:blip r:embed="rId29"/>
                    <a:stretch>
                      <a:fillRect/>
                    </a:stretch>
                  </pic:blipFill>
                  <pic:spPr>
                    <a:xfrm>
                      <a:off x="0" y="0"/>
                      <a:ext cx="5623560" cy="5609911"/>
                    </a:xfrm>
                    <a:prstGeom prst="rect"/>
                  </pic:spPr>
                </pic:pic>
              </a:graphicData>
            </a:graphic>
          </wp:inline>
        </w:drawing>
      </w:r>
    </w:p>
    <w:p>
      <w:pPr>
        <w:pStyle w:val="CaptionAcademic"/>
        <w:jc w:val="center"/>
      </w:pPr>
      <w:r>
        <w:t>Figura 12. Actores y casos de uso principales.</w:t>
      </w:r>
    </w:p>
    <w:p>
      <w:pPr>
        <w:spacing w:before="80" w:after="40"/>
        <w:jc w:val="center"/>
      </w:pPr>
      <w:r>
        <w:drawing>
          <wp:inline xmlns:a="http://schemas.openxmlformats.org/drawingml/2006/main" xmlns:pic="http://schemas.openxmlformats.org/drawingml/2006/picture">
            <wp:extent cx="5715000" cy="3423946"/>
            <wp:docPr id="14" name="Picture 14"/>
            <wp:cNvGraphicFramePr>
              <a:graphicFrameLocks noChangeAspect="1"/>
            </wp:cNvGraphicFramePr>
            <a:graphic>
              <a:graphicData uri="http://schemas.openxmlformats.org/drawingml/2006/picture">
                <pic:pic>
                  <pic:nvPicPr>
                    <pic:cNvPr id="0" name="10_modelo_datos.png"/>
                    <pic:cNvPicPr/>
                  </pic:nvPicPr>
                  <pic:blipFill>
                    <a:blip r:embed="rId30"/>
                    <a:stretch>
                      <a:fillRect/>
                    </a:stretch>
                  </pic:blipFill>
                  <pic:spPr>
                    <a:xfrm>
                      <a:off x="0" y="0"/>
                      <a:ext cx="5715000" cy="3423946"/>
                    </a:xfrm>
                    <a:prstGeom prst="rect"/>
                  </pic:spPr>
                </pic:pic>
              </a:graphicData>
            </a:graphic>
          </wp:inline>
        </w:drawing>
      </w:r>
    </w:p>
    <w:p>
      <w:pPr>
        <w:pStyle w:val="CaptionAcademic"/>
        <w:jc w:val="center"/>
      </w:pPr>
      <w:r>
        <w:t>Figura 13. Modelo conceptual de datos y relaciones.</w:t>
      </w:r>
    </w:p>
    <w:p>
      <w:pPr>
        <w:pStyle w:val="Ttulo3"/>
      </w:pPr>
      <w:r>
        <w:t>1.6.14 Integraciones oficiales y procedencia de datos</w:t>
      </w:r>
    </w:p>
    <w:tbl>
      <w:tblPr>
        <w:tblStyle w:val="Tablaconcuadrcula"/>
        <w:tblW w:type="auto" w:w="0"/>
        <w:jc w:val="center"/>
        <w:tblLook w:firstColumn="1" w:firstRow="1" w:lastColumn="0" w:lastRow="0" w:noHBand="0" w:noVBand="1" w:val="04A0"/>
      </w:tblPr>
      <w:tblGrid>
        <w:gridCol w:w="2282"/>
        <w:gridCol w:w="2282"/>
        <w:gridCol w:w="2282"/>
        <w:gridCol w:w="2282"/>
      </w:tblGrid>
      <w:tr>
        <w:tc>
          <w:tcPr>
            <w:tcW w:type="dxa" w:w="1584"/>
            <w:vAlign w:val="center"/>
            <w:shd w:fill="17365D"/>
          </w:tcPr>
          <w:p>
            <w:pPr>
              <w:spacing w:after="0" w:before="0"/>
              <w:jc w:val="left"/>
            </w:pPr>
            <w:r/>
            <w:r>
              <w:rPr>
                <w:rFonts w:ascii="Calibri" w:hAnsi="Calibri"/>
                <w:b/>
                <w:color w:val="FFFFFF"/>
                <w:sz w:val="15"/>
              </w:rPr>
              <w:t>Fuente</w:t>
            </w:r>
          </w:p>
        </w:tc>
        <w:tc>
          <w:tcPr>
            <w:tcW w:type="dxa" w:w="2880"/>
            <w:vAlign w:val="center"/>
            <w:shd w:fill="17365D"/>
          </w:tcPr>
          <w:p>
            <w:pPr>
              <w:spacing w:after="0" w:before="0"/>
              <w:jc w:val="left"/>
            </w:pPr>
            <w:r/>
            <w:r>
              <w:rPr>
                <w:rFonts w:ascii="Calibri" w:hAnsi="Calibri"/>
                <w:b/>
                <w:color w:val="FFFFFF"/>
                <w:sz w:val="15"/>
              </w:rPr>
              <w:t>Acceso identificado</w:t>
            </w:r>
          </w:p>
        </w:tc>
        <w:tc>
          <w:tcPr>
            <w:tcW w:type="dxa" w:w="2880"/>
            <w:vAlign w:val="center"/>
            <w:shd w:fill="17365D"/>
          </w:tcPr>
          <w:p>
            <w:pPr>
              <w:spacing w:after="0" w:before="0"/>
              <w:jc w:val="left"/>
            </w:pPr>
            <w:r/>
            <w:r>
              <w:rPr>
                <w:rFonts w:ascii="Calibri" w:hAnsi="Calibri"/>
                <w:b/>
                <w:color w:val="FFFFFF"/>
                <w:sz w:val="15"/>
              </w:rPr>
              <w:t>Uso en prototipo</w:t>
            </w:r>
          </w:p>
        </w:tc>
        <w:tc>
          <w:tcPr>
            <w:tcW w:type="dxa" w:w="2448"/>
            <w:vAlign w:val="center"/>
            <w:shd w:fill="17365D"/>
          </w:tcPr>
          <w:p>
            <w:pPr>
              <w:spacing w:after="0" w:before="0"/>
              <w:jc w:val="left"/>
            </w:pPr>
            <w:r/>
            <w:r>
              <w:rPr>
                <w:rFonts w:ascii="Calibri" w:hAnsi="Calibri"/>
                <w:b/>
                <w:color w:val="FFFFFF"/>
                <w:sz w:val="15"/>
              </w:rPr>
              <w:t>Restricción</w:t>
            </w:r>
          </w:p>
        </w:tc>
      </w:tr>
      <w:tr>
        <w:tc>
          <w:tcPr>
            <w:tcW w:type="dxa" w:w="1584"/>
            <w:vAlign w:val="center"/>
          </w:tcPr>
          <w:p>
            <w:pPr>
              <w:spacing w:after="0" w:before="0"/>
              <w:jc w:val="left"/>
            </w:pPr>
            <w:r/>
            <w:r>
              <w:rPr>
                <w:rFonts w:ascii="Calibri" w:hAnsi="Calibri"/>
                <w:b w:val="0"/>
                <w:color w:val="232B35"/>
                <w:sz w:val="15"/>
              </w:rPr>
              <w:t>SGC</w:t>
            </w:r>
          </w:p>
        </w:tc>
        <w:tc>
          <w:tcPr>
            <w:tcW w:type="dxa" w:w="2880"/>
            <w:vAlign w:val="center"/>
          </w:tcPr>
          <w:p>
            <w:pPr>
              <w:spacing w:after="0" w:before="0"/>
              <w:jc w:val="left"/>
            </w:pPr>
            <w:r/>
            <w:r>
              <w:rPr>
                <w:rFonts w:ascii="Calibri" w:hAnsi="Calibri"/>
                <w:b w:val="0"/>
                <w:color w:val="232B35"/>
                <w:sz w:val="15"/>
              </w:rPr>
              <w:t>Servicios/visores geoespaciales oficiales; capas JSON/GeoJSON disponibles según servicio.</w:t>
            </w:r>
          </w:p>
        </w:tc>
        <w:tc>
          <w:tcPr>
            <w:tcW w:type="dxa" w:w="2880"/>
            <w:vAlign w:val="center"/>
          </w:tcPr>
          <w:p>
            <w:pPr>
              <w:spacing w:after="0" w:before="0"/>
              <w:jc w:val="left"/>
            </w:pPr>
            <w:r/>
            <w:r>
              <w:rPr>
                <w:rFonts w:ascii="Calibri" w:hAnsi="Calibri"/>
                <w:b w:val="0"/>
                <w:color w:val="232B35"/>
                <w:sz w:val="15"/>
              </w:rPr>
              <w:t>Ingesta real de evento sísmico o dataset versionado.</w:t>
            </w:r>
          </w:p>
        </w:tc>
        <w:tc>
          <w:tcPr>
            <w:tcW w:type="dxa" w:w="2448"/>
            <w:vAlign w:val="center"/>
          </w:tcPr>
          <w:p>
            <w:pPr>
              <w:spacing w:after="0" w:before="0"/>
              <w:jc w:val="left"/>
            </w:pPr>
            <w:r/>
            <w:r>
              <w:rPr>
                <w:rFonts w:ascii="Calibri" w:hAnsi="Calibri"/>
                <w:b w:val="0"/>
                <w:color w:val="232B35"/>
                <w:sz w:val="15"/>
              </w:rPr>
              <w:t>Validar contrato y frecuencia antes de producción.</w:t>
            </w:r>
          </w:p>
        </w:tc>
      </w:tr>
      <w:tr>
        <w:tc>
          <w:tcPr>
            <w:tcW w:type="dxa" w:w="1584"/>
            <w:vAlign w:val="center"/>
            <w:shd w:fill="F7FAFC"/>
          </w:tcPr>
          <w:p>
            <w:pPr>
              <w:spacing w:after="0" w:before="0"/>
              <w:jc w:val="left"/>
            </w:pPr>
            <w:r/>
            <w:r>
              <w:rPr>
                <w:rFonts w:ascii="Calibri" w:hAnsi="Calibri"/>
                <w:b w:val="0"/>
                <w:color w:val="232B35"/>
                <w:sz w:val="15"/>
              </w:rPr>
              <w:t>IDEAM / FEWS</w:t>
            </w:r>
          </w:p>
        </w:tc>
        <w:tc>
          <w:tcPr>
            <w:tcW w:type="dxa" w:w="2880"/>
            <w:vAlign w:val="center"/>
            <w:shd w:fill="F7FAFC"/>
          </w:tcPr>
          <w:p>
            <w:pPr>
              <w:spacing w:after="0" w:before="0"/>
              <w:jc w:val="left"/>
            </w:pPr>
            <w:r/>
            <w:r>
              <w:rPr>
                <w:rFonts w:ascii="Calibri" w:hAnsi="Calibri"/>
                <w:b w:val="0"/>
                <w:color w:val="232B35"/>
                <w:sz w:val="15"/>
              </w:rPr>
              <w:t>Datos abiertos, capas y productos hidrometeorológicos.</w:t>
            </w:r>
          </w:p>
        </w:tc>
        <w:tc>
          <w:tcPr>
            <w:tcW w:type="dxa" w:w="2880"/>
            <w:vAlign w:val="center"/>
            <w:shd w:fill="F7FAFC"/>
          </w:tcPr>
          <w:p>
            <w:pPr>
              <w:spacing w:after="0" w:before="0"/>
              <w:jc w:val="left"/>
            </w:pPr>
            <w:r/>
            <w:r>
              <w:rPr>
                <w:rFonts w:ascii="Calibri" w:hAnsi="Calibri"/>
                <w:b w:val="0"/>
                <w:color w:val="232B35"/>
                <w:sz w:val="15"/>
              </w:rPr>
              <w:t>Escenarios de deslizamiento/inundación cuando endpoint sea documentado; de lo contrario dataset oficial versionado.</w:t>
            </w:r>
          </w:p>
        </w:tc>
        <w:tc>
          <w:tcPr>
            <w:tcW w:type="dxa" w:w="2448"/>
            <w:vAlign w:val="center"/>
            <w:shd w:fill="F7FAFC"/>
          </w:tcPr>
          <w:p>
            <w:pPr>
              <w:spacing w:after="0" w:before="0"/>
              <w:jc w:val="left"/>
            </w:pPr>
            <w:r/>
            <w:r>
              <w:rPr>
                <w:rFonts w:ascii="Calibri" w:hAnsi="Calibri"/>
                <w:b w:val="0"/>
                <w:color w:val="232B35"/>
                <w:sz w:val="15"/>
              </w:rPr>
              <w:t>No asumir API estable si solo existe visor.</w:t>
            </w:r>
          </w:p>
        </w:tc>
      </w:tr>
      <w:tr>
        <w:tc>
          <w:tcPr>
            <w:tcW w:type="dxa" w:w="1584"/>
            <w:vAlign w:val="center"/>
          </w:tcPr>
          <w:p>
            <w:pPr>
              <w:spacing w:after="0" w:before="0"/>
              <w:jc w:val="left"/>
            </w:pPr>
            <w:r/>
            <w:r>
              <w:rPr>
                <w:rFonts w:ascii="Calibri" w:hAnsi="Calibri"/>
                <w:b w:val="0"/>
                <w:color w:val="232B35"/>
                <w:sz w:val="15"/>
              </w:rPr>
              <w:t>UNGRD</w:t>
            </w:r>
          </w:p>
        </w:tc>
        <w:tc>
          <w:tcPr>
            <w:tcW w:type="dxa" w:w="2880"/>
            <w:vAlign w:val="center"/>
          </w:tcPr>
          <w:p>
            <w:pPr>
              <w:spacing w:after="0" w:before="0"/>
              <w:jc w:val="left"/>
            </w:pPr>
            <w:r/>
            <w:r>
              <w:rPr>
                <w:rFonts w:ascii="Calibri" w:hAnsi="Calibri"/>
                <w:b w:val="0"/>
                <w:color w:val="232B35"/>
                <w:sz w:val="15"/>
              </w:rPr>
              <w:t>Portal y reportes institucionales.</w:t>
            </w:r>
          </w:p>
        </w:tc>
        <w:tc>
          <w:tcPr>
            <w:tcW w:type="dxa" w:w="2880"/>
            <w:vAlign w:val="center"/>
          </w:tcPr>
          <w:p>
            <w:pPr>
              <w:spacing w:after="0" w:before="0"/>
              <w:jc w:val="left"/>
            </w:pPr>
            <w:r/>
            <w:r>
              <w:rPr>
                <w:rFonts w:ascii="Calibri" w:hAnsi="Calibri"/>
                <w:b w:val="0"/>
                <w:color w:val="232B35"/>
                <w:sz w:val="15"/>
              </w:rPr>
              <w:t>Contexto y validación manual/adaptador futuro.</w:t>
            </w:r>
          </w:p>
        </w:tc>
        <w:tc>
          <w:tcPr>
            <w:tcW w:type="dxa" w:w="2448"/>
            <w:vAlign w:val="center"/>
          </w:tcPr>
          <w:p>
            <w:pPr>
              <w:spacing w:after="0" w:before="0"/>
              <w:jc w:val="left"/>
            </w:pPr>
            <w:r/>
            <w:r>
              <w:rPr>
                <w:rFonts w:ascii="Calibri" w:hAnsi="Calibri"/>
                <w:b w:val="0"/>
                <w:color w:val="232B35"/>
                <w:sz w:val="15"/>
              </w:rPr>
              <w:t>No afirmar API pública no documentada.</w:t>
            </w:r>
          </w:p>
        </w:tc>
      </w:tr>
      <w:tr>
        <w:tc>
          <w:tcPr>
            <w:tcW w:type="dxa" w:w="1584"/>
            <w:vAlign w:val="center"/>
            <w:shd w:fill="F7FAFC"/>
          </w:tcPr>
          <w:p>
            <w:pPr>
              <w:spacing w:after="0" w:before="0"/>
              <w:jc w:val="left"/>
            </w:pPr>
            <w:r/>
            <w:r>
              <w:rPr>
                <w:rFonts w:ascii="Calibri" w:hAnsi="Calibri"/>
                <w:b w:val="0"/>
                <w:color w:val="232B35"/>
                <w:sz w:val="15"/>
              </w:rPr>
              <w:t>SIRDEC / RND</w:t>
            </w:r>
          </w:p>
        </w:tc>
        <w:tc>
          <w:tcPr>
            <w:tcW w:type="dxa" w:w="2880"/>
            <w:vAlign w:val="center"/>
            <w:shd w:fill="F7FAFC"/>
          </w:tcPr>
          <w:p>
            <w:pPr>
              <w:spacing w:after="0" w:before="0"/>
              <w:jc w:val="left"/>
            </w:pPr>
            <w:r/>
            <w:r>
              <w:rPr>
                <w:rFonts w:ascii="Calibri" w:hAnsi="Calibri"/>
                <w:b w:val="0"/>
                <w:color w:val="232B35"/>
                <w:sz w:val="15"/>
              </w:rPr>
              <w:t>Consulta pública + Datos Abiertos; operación restringida.</w:t>
            </w:r>
          </w:p>
        </w:tc>
        <w:tc>
          <w:tcPr>
            <w:tcW w:type="dxa" w:w="2880"/>
            <w:vAlign w:val="center"/>
            <w:shd w:fill="F7FAFC"/>
          </w:tcPr>
          <w:p>
            <w:pPr>
              <w:spacing w:after="0" w:before="0"/>
              <w:jc w:val="left"/>
            </w:pPr>
            <w:r/>
            <w:r>
              <w:rPr>
                <w:rFonts w:ascii="Calibri" w:hAnsi="Calibri"/>
                <w:b w:val="0"/>
                <w:color w:val="232B35"/>
                <w:sz w:val="15"/>
              </w:rPr>
              <w:t>SODA/Open Data para estadística; vínculo a consulta oficial.</w:t>
            </w:r>
          </w:p>
        </w:tc>
        <w:tc>
          <w:tcPr>
            <w:tcW w:type="dxa" w:w="2448"/>
            <w:vAlign w:val="center"/>
            <w:shd w:fill="F7FAFC"/>
          </w:tcPr>
          <w:p>
            <w:pPr>
              <w:spacing w:after="0" w:before="0"/>
              <w:jc w:val="left"/>
            </w:pPr>
            <w:r/>
            <w:r>
              <w:rPr>
                <w:rFonts w:ascii="Calibri" w:hAnsi="Calibri"/>
                <w:b w:val="0"/>
                <w:color w:val="232B35"/>
                <w:sz w:val="15"/>
              </w:rPr>
              <w:t>Interoperabilidad operacional futura requiere autorización/API.</w:t>
            </w:r>
          </w:p>
        </w:tc>
      </w:tr>
      <w:tr>
        <w:tc>
          <w:tcPr>
            <w:tcW w:type="dxa" w:w="1584"/>
            <w:vAlign w:val="center"/>
          </w:tcPr>
          <w:p>
            <w:pPr>
              <w:spacing w:after="0" w:before="0"/>
              <w:jc w:val="left"/>
            </w:pPr>
            <w:r/>
            <w:r>
              <w:rPr>
                <w:rFonts w:ascii="Calibri" w:hAnsi="Calibri"/>
                <w:b w:val="0"/>
                <w:color w:val="232B35"/>
                <w:sz w:val="15"/>
              </w:rPr>
              <w:t>Alerta Rosa / Fiscalía</w:t>
            </w:r>
          </w:p>
        </w:tc>
        <w:tc>
          <w:tcPr>
            <w:tcW w:type="dxa" w:w="2880"/>
            <w:vAlign w:val="center"/>
          </w:tcPr>
          <w:p>
            <w:pPr>
              <w:spacing w:after="0" w:before="0"/>
              <w:jc w:val="left"/>
            </w:pPr>
            <w:r/>
            <w:r>
              <w:rPr>
                <w:rFonts w:ascii="Calibri" w:hAnsi="Calibri"/>
                <w:b w:val="0"/>
                <w:color w:val="232B35"/>
                <w:sz w:val="15"/>
              </w:rPr>
              <w:t>Mecanismo y protocolo institucional.</w:t>
            </w:r>
          </w:p>
        </w:tc>
        <w:tc>
          <w:tcPr>
            <w:tcW w:type="dxa" w:w="2880"/>
            <w:vAlign w:val="center"/>
          </w:tcPr>
          <w:p>
            <w:pPr>
              <w:spacing w:after="0" w:before="0"/>
              <w:jc w:val="left"/>
            </w:pPr>
            <w:r/>
            <w:r>
              <w:rPr>
                <w:rFonts w:ascii="Calibri" w:hAnsi="Calibri"/>
                <w:b w:val="0"/>
                <w:color w:val="232B35"/>
                <w:sz w:val="15"/>
              </w:rPr>
              <w:t>Referencia normativa y mock de flujo.</w:t>
            </w:r>
          </w:p>
        </w:tc>
        <w:tc>
          <w:tcPr>
            <w:tcW w:type="dxa" w:w="2448"/>
            <w:vAlign w:val="center"/>
          </w:tcPr>
          <w:p>
            <w:pPr>
              <w:spacing w:after="0" w:before="0"/>
              <w:jc w:val="left"/>
            </w:pPr>
            <w:r/>
            <w:r>
              <w:rPr>
                <w:rFonts w:ascii="Calibri" w:hAnsi="Calibri"/>
                <w:b w:val="0"/>
                <w:color w:val="232B35"/>
                <w:sz w:val="15"/>
              </w:rPr>
              <w:t>No automatizar reporte sin autorización.</w:t>
            </w:r>
          </w:p>
        </w:tc>
      </w:tr>
      <w:tr>
        <w:tc>
          <w:tcPr>
            <w:tcW w:type="dxa" w:w="1584"/>
            <w:vAlign w:val="center"/>
            <w:shd w:fill="F7FAFC"/>
          </w:tcPr>
          <w:p>
            <w:pPr>
              <w:spacing w:after="0" w:before="0"/>
              <w:jc w:val="left"/>
            </w:pPr>
            <w:r/>
            <w:r>
              <w:rPr>
                <w:rFonts w:ascii="Calibri" w:hAnsi="Calibri"/>
                <w:b w:val="0"/>
                <w:color w:val="232B35"/>
                <w:sz w:val="15"/>
              </w:rPr>
              <w:t>CAP 1.2</w:t>
            </w:r>
          </w:p>
        </w:tc>
        <w:tc>
          <w:tcPr>
            <w:tcW w:type="dxa" w:w="2880"/>
            <w:vAlign w:val="center"/>
            <w:shd w:fill="F7FAFC"/>
          </w:tcPr>
          <w:p>
            <w:pPr>
              <w:spacing w:after="0" w:before="0"/>
              <w:jc w:val="left"/>
            </w:pPr>
            <w:r/>
            <w:r>
              <w:rPr>
                <w:rFonts w:ascii="Calibri" w:hAnsi="Calibri"/>
                <w:b w:val="0"/>
                <w:color w:val="232B35"/>
                <w:sz w:val="15"/>
              </w:rPr>
              <w:t>Estándar abierto OASIS.</w:t>
            </w:r>
          </w:p>
        </w:tc>
        <w:tc>
          <w:tcPr>
            <w:tcW w:type="dxa" w:w="2880"/>
            <w:vAlign w:val="center"/>
            <w:shd w:fill="F7FAFC"/>
          </w:tcPr>
          <w:p>
            <w:pPr>
              <w:spacing w:after="0" w:before="0"/>
              <w:jc w:val="left"/>
            </w:pPr>
            <w:r/>
            <w:r>
              <w:rPr>
                <w:rFonts w:ascii="Calibri" w:hAnsi="Calibri"/>
                <w:b w:val="0"/>
                <w:color w:val="232B35"/>
                <w:sz w:val="15"/>
              </w:rPr>
              <w:t>Modelo canónico interno.</w:t>
            </w:r>
          </w:p>
        </w:tc>
        <w:tc>
          <w:tcPr>
            <w:tcW w:type="dxa" w:w="2448"/>
            <w:vAlign w:val="center"/>
            <w:shd w:fill="F7FAFC"/>
          </w:tcPr>
          <w:p>
            <w:pPr>
              <w:spacing w:after="0" w:before="0"/>
              <w:jc w:val="left"/>
            </w:pPr>
            <w:r/>
            <w:r>
              <w:rPr>
                <w:rFonts w:ascii="Calibri" w:hAnsi="Calibri"/>
                <w:b w:val="0"/>
                <w:color w:val="232B35"/>
                <w:sz w:val="15"/>
              </w:rPr>
              <w:t>No implica que toda fuente colombiana publique CAP.</w:t>
            </w:r>
          </w:p>
        </w:tc>
      </w:tr>
    </w:tbl>
    <w:p>
      <w:pPr>
        <w:spacing w:after="20"/>
      </w:pPr>
    </w:p>
    <w:p>
      <w:pPr>
        <w:pStyle w:val="Ttulo3"/>
      </w:pPr>
      <w:r>
        <w:t>1.6.15 Arquitectura de infraestructura, continuidad y alta disponibilidad</w:t>
      </w:r>
    </w:p>
    <w:p>
      <w:pPr>
        <w:pStyle w:val="BodyAcademic"/>
        <w:jc w:val="both"/>
      </w:pPr>
      <w:r>
        <w:t>La arquitectura objetivo asume que el propio desastre puede afectar la región donde opera el servicio. En producción se plantea una región primaria multi-AZ, una región de recuperación, datos replicados, colas durables, secretos gestionados, backups aislados e infraestructura observable. En el MVP, esa arquitectura se diseña y se prueba de forma controlada mediante Docker; las máquinas virtuales se utilizarán solo cuando ayuden a reproducir aislamiento de red o escenarios de failover.</w:t>
      </w:r>
    </w:p>
    <w:p>
      <w:pPr>
        <w:spacing w:before="80" w:after="40"/>
        <w:jc w:val="center"/>
      </w:pPr>
      <w:r>
        <w:drawing>
          <wp:inline xmlns:a="http://schemas.openxmlformats.org/drawingml/2006/main" xmlns:pic="http://schemas.openxmlformats.org/drawingml/2006/picture">
            <wp:extent cx="5669280" cy="4299637"/>
            <wp:docPr id="15" name="Picture 15"/>
            <wp:cNvGraphicFramePr>
              <a:graphicFrameLocks noChangeAspect="1"/>
            </wp:cNvGraphicFramePr>
            <a:graphic>
              <a:graphicData uri="http://schemas.openxmlformats.org/drawingml/2006/picture">
                <pic:pic>
                  <pic:nvPicPr>
                    <pic:cNvPr id="0" name="13_infraestructura_entornos.png"/>
                    <pic:cNvPicPr/>
                  </pic:nvPicPr>
                  <pic:blipFill>
                    <a:blip r:embed="rId31"/>
                    <a:stretch>
                      <a:fillRect/>
                    </a:stretch>
                  </pic:blipFill>
                  <pic:spPr>
                    <a:xfrm>
                      <a:off x="0" y="0"/>
                      <a:ext cx="5669280" cy="4299637"/>
                    </a:xfrm>
                    <a:prstGeom prst="rect"/>
                  </pic:spPr>
                </pic:pic>
              </a:graphicData>
            </a:graphic>
          </wp:inline>
        </w:drawing>
      </w:r>
    </w:p>
    <w:p>
      <w:pPr>
        <w:pStyle w:val="CaptionAcademic"/>
        <w:jc w:val="center"/>
      </w:pPr>
      <w:r>
        <w:t>Figura 14. Infraestructura de desarrollo/pruebas y arquitectura objetivo de alta disponibilidad/DR.</w:t>
      </w:r>
    </w:p>
    <w:tbl>
      <w:tblPr>
        <w:tblStyle w:val="Tablaconcuadrcula"/>
        <w:tblW w:type="auto" w:w="0"/>
        <w:jc w:val="center"/>
        <w:tblLook w:firstColumn="1" w:firstRow="1" w:lastColumn="0" w:lastRow="0" w:noHBand="0" w:noVBand="1" w:val="04A0"/>
      </w:tblPr>
      <w:tblGrid>
        <w:gridCol w:w="2282"/>
        <w:gridCol w:w="2282"/>
        <w:gridCol w:w="2282"/>
        <w:gridCol w:w="2282"/>
      </w:tblGrid>
      <w:tr>
        <w:tc>
          <w:tcPr>
            <w:tcW w:type="dxa" w:w="2880"/>
            <w:vAlign w:val="center"/>
            <w:shd w:fill="17365D"/>
          </w:tcPr>
          <w:p>
            <w:pPr>
              <w:spacing w:after="0" w:before="0"/>
              <w:jc w:val="left"/>
            </w:pPr>
            <w:r/>
            <w:r>
              <w:rPr>
                <w:rFonts w:ascii="Calibri" w:hAnsi="Calibri"/>
                <w:b/>
                <w:color w:val="FFFFFF"/>
                <w:sz w:val="16"/>
              </w:rPr>
              <w:t>Servicio</w:t>
            </w:r>
          </w:p>
        </w:tc>
        <w:tc>
          <w:tcPr>
            <w:tcW w:type="dxa" w:w="1584"/>
            <w:vAlign w:val="center"/>
            <w:shd w:fill="17365D"/>
          </w:tcPr>
          <w:p>
            <w:pPr>
              <w:spacing w:after="0" w:before="0"/>
              <w:jc w:val="left"/>
            </w:pPr>
            <w:r/>
            <w:r>
              <w:rPr>
                <w:rFonts w:ascii="Calibri" w:hAnsi="Calibri"/>
                <w:b/>
                <w:color w:val="FFFFFF"/>
                <w:sz w:val="16"/>
              </w:rPr>
              <w:t>RTO de diseño</w:t>
            </w:r>
          </w:p>
        </w:tc>
        <w:tc>
          <w:tcPr>
            <w:tcW w:type="dxa" w:w="1584"/>
            <w:vAlign w:val="center"/>
            <w:shd w:fill="17365D"/>
          </w:tcPr>
          <w:p>
            <w:pPr>
              <w:spacing w:after="0" w:before="0"/>
              <w:jc w:val="left"/>
            </w:pPr>
            <w:r/>
            <w:r>
              <w:rPr>
                <w:rFonts w:ascii="Calibri" w:hAnsi="Calibri"/>
                <w:b/>
                <w:color w:val="FFFFFF"/>
                <w:sz w:val="16"/>
              </w:rPr>
              <w:t>RPO de diseño</w:t>
            </w:r>
          </w:p>
        </w:tc>
        <w:tc>
          <w:tcPr>
            <w:tcW w:type="dxa" w:w="3744"/>
            <w:vAlign w:val="center"/>
            <w:shd w:fill="17365D"/>
          </w:tcPr>
          <w:p>
            <w:pPr>
              <w:spacing w:after="0" w:before="0"/>
              <w:jc w:val="left"/>
            </w:pPr>
            <w:r/>
            <w:r>
              <w:rPr>
                <w:rFonts w:ascii="Calibri" w:hAnsi="Calibri"/>
                <w:b/>
                <w:color w:val="FFFFFF"/>
                <w:sz w:val="16"/>
              </w:rPr>
              <w:t>Justificación</w:t>
            </w:r>
          </w:p>
        </w:tc>
      </w:tr>
      <w:tr>
        <w:tc>
          <w:tcPr>
            <w:tcW w:type="dxa" w:w="2880"/>
            <w:vAlign w:val="center"/>
          </w:tcPr>
          <w:p>
            <w:pPr>
              <w:spacing w:after="0" w:before="0"/>
              <w:jc w:val="left"/>
            </w:pPr>
            <w:r/>
            <w:r>
              <w:rPr>
                <w:rFonts w:ascii="Calibri" w:hAnsi="Calibri"/>
                <w:b w:val="0"/>
                <w:color w:val="232B35"/>
                <w:sz w:val="16"/>
              </w:rPr>
              <w:t>Ingesta de eventos / alertas</w:t>
            </w:r>
          </w:p>
        </w:tc>
        <w:tc>
          <w:tcPr>
            <w:tcW w:type="dxa" w:w="1584"/>
            <w:vAlign w:val="center"/>
          </w:tcPr>
          <w:p>
            <w:pPr>
              <w:spacing w:after="0" w:before="0"/>
              <w:jc w:val="left"/>
            </w:pPr>
            <w:r/>
            <w:r>
              <w:rPr>
                <w:rFonts w:ascii="Calibri" w:hAnsi="Calibri"/>
                <w:b w:val="0"/>
                <w:color w:val="232B35"/>
                <w:sz w:val="16"/>
              </w:rPr>
              <w:t>≤ 5 min</w:t>
            </w:r>
          </w:p>
        </w:tc>
        <w:tc>
          <w:tcPr>
            <w:tcW w:type="dxa" w:w="1584"/>
            <w:vAlign w:val="center"/>
          </w:tcPr>
          <w:p>
            <w:pPr>
              <w:spacing w:after="0" w:before="0"/>
              <w:jc w:val="left"/>
            </w:pPr>
            <w:r/>
            <w:r>
              <w:rPr>
                <w:rFonts w:ascii="Calibri" w:hAnsi="Calibri"/>
                <w:b w:val="0"/>
                <w:color w:val="232B35"/>
                <w:sz w:val="16"/>
              </w:rPr>
              <w:t>≤ 1 min</w:t>
            </w:r>
          </w:p>
        </w:tc>
        <w:tc>
          <w:tcPr>
            <w:tcW w:type="dxa" w:w="3744"/>
            <w:vAlign w:val="center"/>
          </w:tcPr>
          <w:p>
            <w:pPr>
              <w:spacing w:after="0" w:before="0"/>
              <w:jc w:val="left"/>
            </w:pPr>
            <w:r/>
            <w:r>
              <w:rPr>
                <w:rFonts w:ascii="Calibri" w:hAnsi="Calibri"/>
                <w:b w:val="0"/>
                <w:color w:val="232B35"/>
                <w:sz w:val="16"/>
              </w:rPr>
              <w:t>Función crítica; evitar pérdida de alertas recientes.</w:t>
            </w:r>
          </w:p>
        </w:tc>
      </w:tr>
      <w:tr>
        <w:tc>
          <w:tcPr>
            <w:tcW w:type="dxa" w:w="2880"/>
            <w:vAlign w:val="center"/>
            <w:shd w:fill="F7FAFC"/>
          </w:tcPr>
          <w:p>
            <w:pPr>
              <w:spacing w:after="0" w:before="0"/>
              <w:jc w:val="left"/>
            </w:pPr>
            <w:r/>
            <w:r>
              <w:rPr>
                <w:rFonts w:ascii="Calibri" w:hAnsi="Calibri"/>
                <w:b w:val="0"/>
                <w:color w:val="232B35"/>
                <w:sz w:val="16"/>
              </w:rPr>
              <w:t>Emergency Location Vault</w:t>
            </w:r>
          </w:p>
        </w:tc>
        <w:tc>
          <w:tcPr>
            <w:tcW w:type="dxa" w:w="1584"/>
            <w:vAlign w:val="center"/>
            <w:shd w:fill="F7FAFC"/>
          </w:tcPr>
          <w:p>
            <w:pPr>
              <w:spacing w:after="0" w:before="0"/>
              <w:jc w:val="left"/>
            </w:pPr>
            <w:r/>
            <w:r>
              <w:rPr>
                <w:rFonts w:ascii="Calibri" w:hAnsi="Calibri"/>
                <w:b w:val="0"/>
                <w:color w:val="232B35"/>
                <w:sz w:val="16"/>
              </w:rPr>
              <w:t>≤ 15 min</w:t>
            </w:r>
          </w:p>
        </w:tc>
        <w:tc>
          <w:tcPr>
            <w:tcW w:type="dxa" w:w="1584"/>
            <w:vAlign w:val="center"/>
            <w:shd w:fill="F7FAFC"/>
          </w:tcPr>
          <w:p>
            <w:pPr>
              <w:spacing w:after="0" w:before="0"/>
              <w:jc w:val="left"/>
            </w:pPr>
            <w:r/>
            <w:r>
              <w:rPr>
                <w:rFonts w:ascii="Calibri" w:hAnsi="Calibri"/>
                <w:b w:val="0"/>
                <w:color w:val="232B35"/>
                <w:sz w:val="16"/>
              </w:rPr>
              <w:t>≤ 5 min</w:t>
            </w:r>
          </w:p>
        </w:tc>
        <w:tc>
          <w:tcPr>
            <w:tcW w:type="dxa" w:w="3744"/>
            <w:vAlign w:val="center"/>
            <w:shd w:fill="F7FAFC"/>
          </w:tcPr>
          <w:p>
            <w:pPr>
              <w:spacing w:after="0" w:before="0"/>
              <w:jc w:val="left"/>
            </w:pPr>
            <w:r/>
            <w:r>
              <w:rPr>
                <w:rFonts w:ascii="Calibri" w:hAnsi="Calibri"/>
                <w:b w:val="0"/>
                <w:color w:val="232B35"/>
                <w:sz w:val="16"/>
              </w:rPr>
              <w:t>Recuperar una referencia suficientemente reciente.</w:t>
            </w:r>
          </w:p>
        </w:tc>
      </w:tr>
      <w:tr>
        <w:tc>
          <w:tcPr>
            <w:tcW w:type="dxa" w:w="2880"/>
            <w:vAlign w:val="center"/>
          </w:tcPr>
          <w:p>
            <w:pPr>
              <w:spacing w:after="0" w:before="0"/>
              <w:jc w:val="left"/>
            </w:pPr>
            <w:r/>
            <w:r>
              <w:rPr>
                <w:rFonts w:ascii="Calibri" w:hAnsi="Calibri"/>
                <w:b w:val="0"/>
                <w:color w:val="232B35"/>
                <w:sz w:val="16"/>
              </w:rPr>
              <w:t>Consent / Policy / Trusted Circle</w:t>
            </w:r>
          </w:p>
        </w:tc>
        <w:tc>
          <w:tcPr>
            <w:tcW w:type="dxa" w:w="1584"/>
            <w:vAlign w:val="center"/>
          </w:tcPr>
          <w:p>
            <w:pPr>
              <w:spacing w:after="0" w:before="0"/>
              <w:jc w:val="left"/>
            </w:pPr>
            <w:r/>
            <w:r>
              <w:rPr>
                <w:rFonts w:ascii="Calibri" w:hAnsi="Calibri"/>
                <w:b w:val="0"/>
                <w:color w:val="232B35"/>
                <w:sz w:val="16"/>
              </w:rPr>
              <w:t>≤ 30 min</w:t>
            </w:r>
          </w:p>
        </w:tc>
        <w:tc>
          <w:tcPr>
            <w:tcW w:type="dxa" w:w="1584"/>
            <w:vAlign w:val="center"/>
          </w:tcPr>
          <w:p>
            <w:pPr>
              <w:spacing w:after="0" w:before="0"/>
              <w:jc w:val="left"/>
            </w:pPr>
            <w:r/>
            <w:r>
              <w:rPr>
                <w:rFonts w:ascii="Calibri" w:hAnsi="Calibri"/>
                <w:b w:val="0"/>
                <w:color w:val="232B35"/>
                <w:sz w:val="16"/>
              </w:rPr>
              <w:t>≤ 15 min</w:t>
            </w:r>
          </w:p>
        </w:tc>
        <w:tc>
          <w:tcPr>
            <w:tcW w:type="dxa" w:w="3744"/>
            <w:vAlign w:val="center"/>
          </w:tcPr>
          <w:p>
            <w:pPr>
              <w:spacing w:after="0" w:before="0"/>
              <w:jc w:val="left"/>
            </w:pPr>
            <w:r/>
            <w:r>
              <w:rPr>
                <w:rFonts w:ascii="Calibri" w:hAnsi="Calibri"/>
                <w:b w:val="0"/>
                <w:color w:val="232B35"/>
                <w:sz w:val="16"/>
              </w:rPr>
              <w:t>Debe restablecerse antes de liberar información.</w:t>
            </w:r>
          </w:p>
        </w:tc>
      </w:tr>
      <w:tr>
        <w:tc>
          <w:tcPr>
            <w:tcW w:type="dxa" w:w="2880"/>
            <w:vAlign w:val="center"/>
            <w:shd w:fill="F7FAFC"/>
          </w:tcPr>
          <w:p>
            <w:pPr>
              <w:spacing w:after="0" w:before="0"/>
              <w:jc w:val="left"/>
            </w:pPr>
            <w:r/>
            <w:r>
              <w:rPr>
                <w:rFonts w:ascii="Calibri" w:hAnsi="Calibri"/>
                <w:b w:val="0"/>
                <w:color w:val="232B35"/>
                <w:sz w:val="16"/>
              </w:rPr>
              <w:t>Welfare Check / verificaciones</w:t>
            </w:r>
          </w:p>
        </w:tc>
        <w:tc>
          <w:tcPr>
            <w:tcW w:type="dxa" w:w="1584"/>
            <w:vAlign w:val="center"/>
            <w:shd w:fill="F7FAFC"/>
          </w:tcPr>
          <w:p>
            <w:pPr>
              <w:spacing w:after="0" w:before="0"/>
              <w:jc w:val="left"/>
            </w:pPr>
            <w:r/>
            <w:r>
              <w:rPr>
                <w:rFonts w:ascii="Calibri" w:hAnsi="Calibri"/>
                <w:b w:val="0"/>
                <w:color w:val="232B35"/>
                <w:sz w:val="16"/>
              </w:rPr>
              <w:t>≤ 15 min</w:t>
            </w:r>
          </w:p>
        </w:tc>
        <w:tc>
          <w:tcPr>
            <w:tcW w:type="dxa" w:w="1584"/>
            <w:vAlign w:val="center"/>
            <w:shd w:fill="F7FAFC"/>
          </w:tcPr>
          <w:p>
            <w:pPr>
              <w:spacing w:after="0" w:before="0"/>
              <w:jc w:val="left"/>
            </w:pPr>
            <w:r/>
            <w:r>
              <w:rPr>
                <w:rFonts w:ascii="Calibri" w:hAnsi="Calibri"/>
                <w:b w:val="0"/>
                <w:color w:val="232B35"/>
                <w:sz w:val="16"/>
              </w:rPr>
              <w:t>≤ 5 min</w:t>
            </w:r>
          </w:p>
        </w:tc>
        <w:tc>
          <w:tcPr>
            <w:tcW w:type="dxa" w:w="3744"/>
            <w:vAlign w:val="center"/>
            <w:shd w:fill="F7FAFC"/>
          </w:tcPr>
          <w:p>
            <w:pPr>
              <w:spacing w:after="0" w:before="0"/>
              <w:jc w:val="left"/>
            </w:pPr>
            <w:r/>
            <w:r>
              <w:rPr>
                <w:rFonts w:ascii="Calibri" w:hAnsi="Calibri"/>
                <w:b w:val="0"/>
                <w:color w:val="232B35"/>
                <w:sz w:val="16"/>
              </w:rPr>
              <w:t>Impacta tiempo de confirmación.</w:t>
            </w:r>
          </w:p>
        </w:tc>
      </w:tr>
      <w:tr>
        <w:tc>
          <w:tcPr>
            <w:tcW w:type="dxa" w:w="2880"/>
            <w:vAlign w:val="center"/>
          </w:tcPr>
          <w:p>
            <w:pPr>
              <w:spacing w:after="0" w:before="0"/>
              <w:jc w:val="left"/>
            </w:pPr>
            <w:r/>
            <w:r>
              <w:rPr>
                <w:rFonts w:ascii="Calibri" w:hAnsi="Calibri"/>
                <w:b w:val="0"/>
                <w:color w:val="232B35"/>
                <w:sz w:val="16"/>
              </w:rPr>
              <w:t>Analítica / reportes</w:t>
            </w:r>
          </w:p>
        </w:tc>
        <w:tc>
          <w:tcPr>
            <w:tcW w:type="dxa" w:w="1584"/>
            <w:vAlign w:val="center"/>
          </w:tcPr>
          <w:p>
            <w:pPr>
              <w:spacing w:after="0" w:before="0"/>
              <w:jc w:val="left"/>
            </w:pPr>
            <w:r/>
            <w:r>
              <w:rPr>
                <w:rFonts w:ascii="Calibri" w:hAnsi="Calibri"/>
                <w:b w:val="0"/>
                <w:color w:val="232B35"/>
                <w:sz w:val="16"/>
              </w:rPr>
              <w:t>≤ 24 h</w:t>
            </w:r>
          </w:p>
        </w:tc>
        <w:tc>
          <w:tcPr>
            <w:tcW w:type="dxa" w:w="1584"/>
            <w:vAlign w:val="center"/>
          </w:tcPr>
          <w:p>
            <w:pPr>
              <w:spacing w:after="0" w:before="0"/>
              <w:jc w:val="left"/>
            </w:pPr>
            <w:r/>
            <w:r>
              <w:rPr>
                <w:rFonts w:ascii="Calibri" w:hAnsi="Calibri"/>
                <w:b w:val="0"/>
                <w:color w:val="232B35"/>
                <w:sz w:val="16"/>
              </w:rPr>
              <w:t>≤ 24 h</w:t>
            </w:r>
          </w:p>
        </w:tc>
        <w:tc>
          <w:tcPr>
            <w:tcW w:type="dxa" w:w="3744"/>
            <w:vAlign w:val="center"/>
          </w:tcPr>
          <w:p>
            <w:pPr>
              <w:spacing w:after="0" w:before="0"/>
              <w:jc w:val="left"/>
            </w:pPr>
            <w:r/>
            <w:r>
              <w:rPr>
                <w:rFonts w:ascii="Calibri" w:hAnsi="Calibri"/>
                <w:b w:val="0"/>
                <w:color w:val="232B35"/>
                <w:sz w:val="16"/>
              </w:rPr>
              <w:t>No crítica para respuesta inmediata.</w:t>
            </w:r>
          </w:p>
        </w:tc>
      </w:tr>
    </w:tbl>
    <w:p>
      <w:pPr>
        <w:spacing w:after="20"/>
      </w:pPr>
    </w:p>
    <w:p>
      <w:pPr>
        <w:pStyle w:val="BodyAcademic"/>
        <w:jc w:val="both"/>
      </w:pPr>
      <w:r>
        <w:t>Estos valores son objetivos de diseño para experimentación, no SLA contractuales ni requisitos de las normas ISO. El BIA y las pruebas de recuperación podrán ajustarlos.</w:t>
      </w:r>
    </w:p>
    <w:p>
      <w:pPr>
        <w:pStyle w:val="Ttulo3"/>
      </w:pPr>
      <w:r>
        <w:t>1.6.16 Requisitos técnicos y herramientas de desarrollo</w:t>
      </w:r>
    </w:p>
    <w:tbl>
      <w:tblPr>
        <w:tblStyle w:val="Tablaconcuadrcula"/>
        <w:tblW w:type="auto" w:w="0"/>
        <w:jc w:val="center"/>
        <w:tblLook w:firstColumn="1" w:firstRow="1" w:lastColumn="0" w:lastRow="0" w:noHBand="0" w:noVBand="1" w:val="04A0"/>
      </w:tblPr>
      <w:tblGrid>
        <w:gridCol w:w="3043"/>
        <w:gridCol w:w="3043"/>
        <w:gridCol w:w="3043"/>
      </w:tblGrid>
      <w:tr>
        <w:tc>
          <w:tcPr>
            <w:tcW w:type="dxa" w:w="2304"/>
            <w:vAlign w:val="center"/>
            <w:shd w:fill="17365D"/>
          </w:tcPr>
          <w:p>
            <w:pPr>
              <w:spacing w:after="0" w:before="0"/>
              <w:jc w:val="left"/>
            </w:pPr>
            <w:r/>
            <w:r>
              <w:rPr>
                <w:rFonts w:ascii="Calibri" w:hAnsi="Calibri"/>
                <w:b/>
                <w:color w:val="FFFFFF"/>
                <w:sz w:val="16"/>
              </w:rPr>
              <w:t>Componente</w:t>
            </w:r>
          </w:p>
        </w:tc>
        <w:tc>
          <w:tcPr>
            <w:tcW w:type="dxa" w:w="2880"/>
            <w:vAlign w:val="center"/>
            <w:shd w:fill="17365D"/>
          </w:tcPr>
          <w:p>
            <w:pPr>
              <w:spacing w:after="0" w:before="0"/>
              <w:jc w:val="left"/>
            </w:pPr>
            <w:r/>
            <w:r>
              <w:rPr>
                <w:rFonts w:ascii="Calibri" w:hAnsi="Calibri"/>
                <w:b/>
                <w:color w:val="FFFFFF"/>
                <w:sz w:val="16"/>
              </w:rPr>
              <w:t>Tecnología propuesta</w:t>
            </w:r>
          </w:p>
        </w:tc>
        <w:tc>
          <w:tcPr>
            <w:tcW w:type="dxa" w:w="4608"/>
            <w:vAlign w:val="center"/>
            <w:shd w:fill="17365D"/>
          </w:tcPr>
          <w:p>
            <w:pPr>
              <w:spacing w:after="0" w:before="0"/>
              <w:jc w:val="left"/>
            </w:pPr>
            <w:r/>
            <w:r>
              <w:rPr>
                <w:rFonts w:ascii="Calibri" w:hAnsi="Calibri"/>
                <w:b/>
                <w:color w:val="FFFFFF"/>
                <w:sz w:val="16"/>
              </w:rPr>
              <w:t>Motivo</w:t>
            </w:r>
          </w:p>
        </w:tc>
      </w:tr>
      <w:tr>
        <w:tc>
          <w:tcPr>
            <w:tcW w:type="dxa" w:w="2304"/>
            <w:vAlign w:val="center"/>
          </w:tcPr>
          <w:p>
            <w:pPr>
              <w:spacing w:after="0" w:before="0"/>
              <w:jc w:val="left"/>
            </w:pPr>
            <w:r/>
            <w:r>
              <w:rPr>
                <w:rFonts w:ascii="Calibri" w:hAnsi="Calibri"/>
                <w:b w:val="0"/>
                <w:color w:val="232B35"/>
                <w:sz w:val="16"/>
              </w:rPr>
              <w:t>Aplicación móvil</w:t>
            </w:r>
          </w:p>
        </w:tc>
        <w:tc>
          <w:tcPr>
            <w:tcW w:type="dxa" w:w="2880"/>
            <w:vAlign w:val="center"/>
          </w:tcPr>
          <w:p>
            <w:pPr>
              <w:spacing w:after="0" w:before="0"/>
              <w:jc w:val="left"/>
            </w:pPr>
            <w:r/>
            <w:r>
              <w:rPr>
                <w:rFonts w:ascii="Calibri" w:hAnsi="Calibri"/>
                <w:b w:val="0"/>
                <w:color w:val="232B35"/>
                <w:sz w:val="16"/>
              </w:rPr>
              <w:t>Flutter / Dart</w:t>
            </w:r>
          </w:p>
        </w:tc>
        <w:tc>
          <w:tcPr>
            <w:tcW w:type="dxa" w:w="4608"/>
            <w:vAlign w:val="center"/>
          </w:tcPr>
          <w:p>
            <w:pPr>
              <w:spacing w:after="0" w:before="0"/>
              <w:jc w:val="left"/>
            </w:pPr>
            <w:r/>
            <w:r>
              <w:rPr>
                <w:rFonts w:ascii="Calibri" w:hAnsi="Calibri"/>
                <w:b w:val="0"/>
                <w:color w:val="232B35"/>
                <w:sz w:val="16"/>
              </w:rPr>
              <w:t>Una base multiplataforma; UI rápida; acceso a sensores, GPS y notificaciones.</w:t>
            </w:r>
          </w:p>
        </w:tc>
      </w:tr>
      <w:tr>
        <w:tc>
          <w:tcPr>
            <w:tcW w:type="dxa" w:w="2304"/>
            <w:vAlign w:val="center"/>
            <w:shd w:fill="F7FAFC"/>
          </w:tcPr>
          <w:p>
            <w:pPr>
              <w:spacing w:after="0" w:before="0"/>
              <w:jc w:val="left"/>
            </w:pPr>
            <w:r/>
            <w:r>
              <w:rPr>
                <w:rFonts w:ascii="Calibri" w:hAnsi="Calibri"/>
                <w:b w:val="0"/>
                <w:color w:val="232B35"/>
                <w:sz w:val="16"/>
              </w:rPr>
              <w:t>Backend</w:t>
            </w:r>
          </w:p>
        </w:tc>
        <w:tc>
          <w:tcPr>
            <w:tcW w:type="dxa" w:w="2880"/>
            <w:vAlign w:val="center"/>
            <w:shd w:fill="F7FAFC"/>
          </w:tcPr>
          <w:p>
            <w:pPr>
              <w:spacing w:after="0" w:before="0"/>
              <w:jc w:val="left"/>
            </w:pPr>
            <w:r/>
            <w:r>
              <w:rPr>
                <w:rFonts w:ascii="Calibri" w:hAnsi="Calibri"/>
                <w:b w:val="0"/>
                <w:color w:val="232B35"/>
                <w:sz w:val="16"/>
              </w:rPr>
              <w:t>Python / FastAPI</w:t>
            </w:r>
          </w:p>
        </w:tc>
        <w:tc>
          <w:tcPr>
            <w:tcW w:type="dxa" w:w="4608"/>
            <w:vAlign w:val="center"/>
            <w:shd w:fill="F7FAFC"/>
          </w:tcPr>
          <w:p>
            <w:pPr>
              <w:spacing w:after="0" w:before="0"/>
              <w:jc w:val="left"/>
            </w:pPr>
            <w:r/>
            <w:r>
              <w:rPr>
                <w:rFonts w:ascii="Calibri" w:hAnsi="Calibri"/>
                <w:b w:val="0"/>
                <w:color w:val="232B35"/>
                <w:sz w:val="16"/>
              </w:rPr>
              <w:t>Velocidad de desarrollo, APIs, integración de datos, experimentación y pruebas.</w:t>
            </w:r>
          </w:p>
        </w:tc>
      </w:tr>
      <w:tr>
        <w:tc>
          <w:tcPr>
            <w:tcW w:type="dxa" w:w="2304"/>
            <w:vAlign w:val="center"/>
          </w:tcPr>
          <w:p>
            <w:pPr>
              <w:spacing w:after="0" w:before="0"/>
              <w:jc w:val="left"/>
            </w:pPr>
            <w:r/>
            <w:r>
              <w:rPr>
                <w:rFonts w:ascii="Calibri" w:hAnsi="Calibri"/>
                <w:b w:val="0"/>
                <w:color w:val="232B35"/>
                <w:sz w:val="16"/>
              </w:rPr>
              <w:t>Persistencia central</w:t>
            </w:r>
          </w:p>
        </w:tc>
        <w:tc>
          <w:tcPr>
            <w:tcW w:type="dxa" w:w="2880"/>
            <w:vAlign w:val="center"/>
          </w:tcPr>
          <w:p>
            <w:pPr>
              <w:spacing w:after="0" w:before="0"/>
              <w:jc w:val="left"/>
            </w:pPr>
            <w:r/>
            <w:r>
              <w:rPr>
                <w:rFonts w:ascii="Calibri" w:hAnsi="Calibri"/>
                <w:b w:val="0"/>
                <w:color w:val="232B35"/>
                <w:sz w:val="16"/>
              </w:rPr>
              <w:t>PostgreSQL + PostGIS</w:t>
            </w:r>
          </w:p>
        </w:tc>
        <w:tc>
          <w:tcPr>
            <w:tcW w:type="dxa" w:w="4608"/>
            <w:vAlign w:val="center"/>
          </w:tcPr>
          <w:p>
            <w:pPr>
              <w:spacing w:after="0" w:before="0"/>
              <w:jc w:val="left"/>
            </w:pPr>
            <w:r/>
            <w:r>
              <w:rPr>
                <w:rFonts w:ascii="Calibri" w:hAnsi="Calibri"/>
                <w:b w:val="0"/>
                <w:color w:val="232B35"/>
                <w:sz w:val="16"/>
              </w:rPr>
              <w:t>Datos transaccionales y operaciones geoespaciales.</w:t>
            </w:r>
          </w:p>
        </w:tc>
      </w:tr>
      <w:tr>
        <w:tc>
          <w:tcPr>
            <w:tcW w:type="dxa" w:w="2304"/>
            <w:vAlign w:val="center"/>
            <w:shd w:fill="F7FAFC"/>
          </w:tcPr>
          <w:p>
            <w:pPr>
              <w:spacing w:after="0" w:before="0"/>
              <w:jc w:val="left"/>
            </w:pPr>
            <w:r/>
            <w:r>
              <w:rPr>
                <w:rFonts w:ascii="Calibri" w:hAnsi="Calibri"/>
                <w:b w:val="0"/>
                <w:color w:val="232B35"/>
                <w:sz w:val="16"/>
              </w:rPr>
              <w:t>Persistencia local</w:t>
            </w:r>
          </w:p>
        </w:tc>
        <w:tc>
          <w:tcPr>
            <w:tcW w:type="dxa" w:w="2880"/>
            <w:vAlign w:val="center"/>
            <w:shd w:fill="F7FAFC"/>
          </w:tcPr>
          <w:p>
            <w:pPr>
              <w:spacing w:after="0" w:before="0"/>
              <w:jc w:val="left"/>
            </w:pPr>
            <w:r/>
            <w:r>
              <w:rPr>
                <w:rFonts w:ascii="Calibri" w:hAnsi="Calibri"/>
                <w:b w:val="0"/>
                <w:color w:val="232B35"/>
                <w:sz w:val="16"/>
              </w:rPr>
              <w:t>SQLite/almacenamiento seguro cifrado</w:t>
            </w:r>
          </w:p>
        </w:tc>
        <w:tc>
          <w:tcPr>
            <w:tcW w:type="dxa" w:w="4608"/>
            <w:vAlign w:val="center"/>
            <w:shd w:fill="F7FAFC"/>
          </w:tcPr>
          <w:p>
            <w:pPr>
              <w:spacing w:after="0" w:before="0"/>
              <w:jc w:val="left"/>
            </w:pPr>
            <w:r/>
            <w:r>
              <w:rPr>
                <w:rFonts w:ascii="Calibri" w:hAnsi="Calibri"/>
                <w:b w:val="0"/>
                <w:color w:val="232B35"/>
                <w:sz w:val="16"/>
              </w:rPr>
              <w:t>Checkpoints pendientes, configuración y soporte offline.</w:t>
            </w:r>
          </w:p>
        </w:tc>
      </w:tr>
      <w:tr>
        <w:tc>
          <w:tcPr>
            <w:tcW w:type="dxa" w:w="2304"/>
            <w:vAlign w:val="center"/>
          </w:tcPr>
          <w:p>
            <w:pPr>
              <w:spacing w:after="0" w:before="0"/>
              <w:jc w:val="left"/>
            </w:pPr>
            <w:r/>
            <w:r>
              <w:rPr>
                <w:rFonts w:ascii="Calibri" w:hAnsi="Calibri"/>
                <w:b w:val="0"/>
                <w:color w:val="232B35"/>
                <w:sz w:val="16"/>
              </w:rPr>
              <w:t>Cache / tareas</w:t>
            </w:r>
          </w:p>
        </w:tc>
        <w:tc>
          <w:tcPr>
            <w:tcW w:type="dxa" w:w="2880"/>
            <w:vAlign w:val="center"/>
          </w:tcPr>
          <w:p>
            <w:pPr>
              <w:spacing w:after="0" w:before="0"/>
              <w:jc w:val="left"/>
            </w:pPr>
            <w:r/>
            <w:r>
              <w:rPr>
                <w:rFonts w:ascii="Calibri" w:hAnsi="Calibri"/>
                <w:b w:val="0"/>
                <w:color w:val="232B35"/>
                <w:sz w:val="16"/>
              </w:rPr>
              <w:t>Redis + Celery o worker equivalente</w:t>
            </w:r>
          </w:p>
        </w:tc>
        <w:tc>
          <w:tcPr>
            <w:tcW w:type="dxa" w:w="4608"/>
            <w:vAlign w:val="center"/>
          </w:tcPr>
          <w:p>
            <w:pPr>
              <w:spacing w:after="0" w:before="0"/>
              <w:jc w:val="left"/>
            </w:pPr>
            <w:r/>
            <w:r>
              <w:rPr>
                <w:rFonts w:ascii="Calibri" w:hAnsi="Calibri"/>
                <w:b w:val="0"/>
                <w:color w:val="232B35"/>
                <w:sz w:val="16"/>
              </w:rPr>
              <w:t>TTL, rate limit, trabajos asíncronos, reintentos y sincronización.</w:t>
            </w:r>
          </w:p>
        </w:tc>
      </w:tr>
      <w:tr>
        <w:tc>
          <w:tcPr>
            <w:tcW w:type="dxa" w:w="2304"/>
            <w:vAlign w:val="center"/>
            <w:shd w:fill="F7FAFC"/>
          </w:tcPr>
          <w:p>
            <w:pPr>
              <w:spacing w:after="0" w:before="0"/>
              <w:jc w:val="left"/>
            </w:pPr>
            <w:r/>
            <w:r>
              <w:rPr>
                <w:rFonts w:ascii="Calibri" w:hAnsi="Calibri"/>
                <w:b w:val="0"/>
                <w:color w:val="232B35"/>
                <w:sz w:val="16"/>
              </w:rPr>
              <w:t>Notificaciones</w:t>
            </w:r>
          </w:p>
        </w:tc>
        <w:tc>
          <w:tcPr>
            <w:tcW w:type="dxa" w:w="2880"/>
            <w:vAlign w:val="center"/>
            <w:shd w:fill="F7FAFC"/>
          </w:tcPr>
          <w:p>
            <w:pPr>
              <w:spacing w:after="0" w:before="0"/>
              <w:jc w:val="left"/>
            </w:pPr>
            <w:r/>
            <w:r>
              <w:rPr>
                <w:rFonts w:ascii="Calibri" w:hAnsi="Calibri"/>
                <w:b w:val="0"/>
                <w:color w:val="232B35"/>
                <w:sz w:val="16"/>
              </w:rPr>
              <w:t>Firebase Cloud Messaging</w:t>
            </w:r>
          </w:p>
        </w:tc>
        <w:tc>
          <w:tcPr>
            <w:tcW w:type="dxa" w:w="4608"/>
            <w:vAlign w:val="center"/>
            <w:shd w:fill="F7FAFC"/>
          </w:tcPr>
          <w:p>
            <w:pPr>
              <w:spacing w:after="0" w:before="0"/>
              <w:jc w:val="left"/>
            </w:pPr>
            <w:r/>
            <w:r>
              <w:rPr>
                <w:rFonts w:ascii="Calibri" w:hAnsi="Calibri"/>
                <w:b w:val="0"/>
                <w:color w:val="232B35"/>
                <w:sz w:val="16"/>
              </w:rPr>
              <w:t>Push en el prototipo.</w:t>
            </w:r>
          </w:p>
        </w:tc>
      </w:tr>
      <w:tr>
        <w:tc>
          <w:tcPr>
            <w:tcW w:type="dxa" w:w="2304"/>
            <w:vAlign w:val="center"/>
          </w:tcPr>
          <w:p>
            <w:pPr>
              <w:spacing w:after="0" w:before="0"/>
              <w:jc w:val="left"/>
            </w:pPr>
            <w:r/>
            <w:r>
              <w:rPr>
                <w:rFonts w:ascii="Calibri" w:hAnsi="Calibri"/>
                <w:b w:val="0"/>
                <w:color w:val="232B35"/>
                <w:sz w:val="16"/>
              </w:rPr>
              <w:t>Proxy / HA de app</w:t>
            </w:r>
          </w:p>
        </w:tc>
        <w:tc>
          <w:tcPr>
            <w:tcW w:type="dxa" w:w="2880"/>
            <w:vAlign w:val="center"/>
          </w:tcPr>
          <w:p>
            <w:pPr>
              <w:spacing w:after="0" w:before="0"/>
              <w:jc w:val="left"/>
            </w:pPr>
            <w:r/>
            <w:r>
              <w:rPr>
                <w:rFonts w:ascii="Calibri" w:hAnsi="Calibri"/>
                <w:b w:val="0"/>
                <w:color w:val="232B35"/>
                <w:sz w:val="16"/>
              </w:rPr>
              <w:t>Nginx</w:t>
            </w:r>
          </w:p>
        </w:tc>
        <w:tc>
          <w:tcPr>
            <w:tcW w:type="dxa" w:w="4608"/>
            <w:vAlign w:val="center"/>
          </w:tcPr>
          <w:p>
            <w:pPr>
              <w:spacing w:after="0" w:before="0"/>
              <w:jc w:val="left"/>
            </w:pPr>
            <w:r/>
            <w:r>
              <w:rPr>
                <w:rFonts w:ascii="Calibri" w:hAnsi="Calibri"/>
                <w:b w:val="0"/>
                <w:color w:val="232B35"/>
                <w:sz w:val="16"/>
              </w:rPr>
              <w:t>Balanceo local, terminación TLS y simulación de failover.</w:t>
            </w:r>
          </w:p>
        </w:tc>
      </w:tr>
      <w:tr>
        <w:tc>
          <w:tcPr>
            <w:tcW w:type="dxa" w:w="2304"/>
            <w:vAlign w:val="center"/>
            <w:shd w:fill="F7FAFC"/>
          </w:tcPr>
          <w:p>
            <w:pPr>
              <w:spacing w:after="0" w:before="0"/>
              <w:jc w:val="left"/>
            </w:pPr>
            <w:r/>
            <w:r>
              <w:rPr>
                <w:rFonts w:ascii="Calibri" w:hAnsi="Calibri"/>
                <w:b w:val="0"/>
                <w:color w:val="232B35"/>
                <w:sz w:val="16"/>
              </w:rPr>
              <w:t>Contenedores</w:t>
            </w:r>
          </w:p>
        </w:tc>
        <w:tc>
          <w:tcPr>
            <w:tcW w:type="dxa" w:w="2880"/>
            <w:vAlign w:val="center"/>
            <w:shd w:fill="F7FAFC"/>
          </w:tcPr>
          <w:p>
            <w:pPr>
              <w:spacing w:after="0" w:before="0"/>
              <w:jc w:val="left"/>
            </w:pPr>
            <w:r/>
            <w:r>
              <w:rPr>
                <w:rFonts w:ascii="Calibri" w:hAnsi="Calibri"/>
                <w:b w:val="0"/>
                <w:color w:val="232B35"/>
                <w:sz w:val="16"/>
              </w:rPr>
              <w:t>Docker Compose</w:t>
            </w:r>
          </w:p>
        </w:tc>
        <w:tc>
          <w:tcPr>
            <w:tcW w:type="dxa" w:w="4608"/>
            <w:vAlign w:val="center"/>
            <w:shd w:fill="F7FAFC"/>
          </w:tcPr>
          <w:p>
            <w:pPr>
              <w:spacing w:after="0" w:before="0"/>
              <w:jc w:val="left"/>
            </w:pPr>
            <w:r/>
            <w:r>
              <w:rPr>
                <w:rFonts w:ascii="Calibri" w:hAnsi="Calibri"/>
                <w:b w:val="0"/>
                <w:color w:val="232B35"/>
                <w:sz w:val="16"/>
              </w:rPr>
              <w:t>Entornos repetibles y simulación de servicios múltiples sin muchas VMs.</w:t>
            </w:r>
          </w:p>
        </w:tc>
      </w:tr>
      <w:tr>
        <w:tc>
          <w:tcPr>
            <w:tcW w:type="dxa" w:w="2304"/>
            <w:vAlign w:val="center"/>
          </w:tcPr>
          <w:p>
            <w:pPr>
              <w:spacing w:after="0" w:before="0"/>
              <w:jc w:val="left"/>
            </w:pPr>
            <w:r/>
            <w:r>
              <w:rPr>
                <w:rFonts w:ascii="Calibri" w:hAnsi="Calibri"/>
                <w:b w:val="0"/>
                <w:color w:val="232B35"/>
                <w:sz w:val="16"/>
              </w:rPr>
              <w:t>Pruebas de API</w:t>
            </w:r>
          </w:p>
        </w:tc>
        <w:tc>
          <w:tcPr>
            <w:tcW w:type="dxa" w:w="2880"/>
            <w:vAlign w:val="center"/>
          </w:tcPr>
          <w:p>
            <w:pPr>
              <w:spacing w:after="0" w:before="0"/>
              <w:jc w:val="left"/>
            </w:pPr>
            <w:r/>
            <w:r>
              <w:rPr>
                <w:rFonts w:ascii="Calibri" w:hAnsi="Calibri"/>
                <w:b w:val="0"/>
                <w:color w:val="232B35"/>
                <w:sz w:val="16"/>
              </w:rPr>
              <w:t>Postman / Newman</w:t>
            </w:r>
          </w:p>
        </w:tc>
        <w:tc>
          <w:tcPr>
            <w:tcW w:type="dxa" w:w="4608"/>
            <w:vAlign w:val="center"/>
          </w:tcPr>
          <w:p>
            <w:pPr>
              <w:spacing w:after="0" w:before="0"/>
              <w:jc w:val="left"/>
            </w:pPr>
            <w:r/>
            <w:r>
              <w:rPr>
                <w:rFonts w:ascii="Calibri" w:hAnsi="Calibri"/>
                <w:b w:val="0"/>
                <w:color w:val="232B35"/>
                <w:sz w:val="16"/>
              </w:rPr>
              <w:t>Colecciones reproducibles y evidencia de endpoints.</w:t>
            </w:r>
          </w:p>
        </w:tc>
      </w:tr>
      <w:tr>
        <w:tc>
          <w:tcPr>
            <w:tcW w:type="dxa" w:w="2304"/>
            <w:vAlign w:val="center"/>
            <w:shd w:fill="F7FAFC"/>
          </w:tcPr>
          <w:p>
            <w:pPr>
              <w:spacing w:after="0" w:before="0"/>
              <w:jc w:val="left"/>
            </w:pPr>
            <w:r/>
            <w:r>
              <w:rPr>
                <w:rFonts w:ascii="Calibri" w:hAnsi="Calibri"/>
                <w:b w:val="0"/>
                <w:color w:val="232B35"/>
                <w:sz w:val="16"/>
              </w:rPr>
              <w:t>Carga</w:t>
            </w:r>
          </w:p>
        </w:tc>
        <w:tc>
          <w:tcPr>
            <w:tcW w:type="dxa" w:w="2880"/>
            <w:vAlign w:val="center"/>
            <w:shd w:fill="F7FAFC"/>
          </w:tcPr>
          <w:p>
            <w:pPr>
              <w:spacing w:after="0" w:before="0"/>
              <w:jc w:val="left"/>
            </w:pPr>
            <w:r/>
            <w:r>
              <w:rPr>
                <w:rFonts w:ascii="Calibri" w:hAnsi="Calibri"/>
                <w:b w:val="0"/>
                <w:color w:val="232B35"/>
                <w:sz w:val="16"/>
              </w:rPr>
              <w:t>Locust o k6</w:t>
            </w:r>
          </w:p>
        </w:tc>
        <w:tc>
          <w:tcPr>
            <w:tcW w:type="dxa" w:w="4608"/>
            <w:vAlign w:val="center"/>
            <w:shd w:fill="F7FAFC"/>
          </w:tcPr>
          <w:p>
            <w:pPr>
              <w:spacing w:after="0" w:before="0"/>
              <w:jc w:val="left"/>
            </w:pPr>
            <w:r/>
            <w:r>
              <w:rPr>
                <w:rFonts w:ascii="Calibri" w:hAnsi="Calibri"/>
                <w:b w:val="0"/>
                <w:color w:val="232B35"/>
                <w:sz w:val="16"/>
              </w:rPr>
              <w:t>Simulación de concurrencia sin requerir cientos de teléfonos.</w:t>
            </w:r>
          </w:p>
        </w:tc>
      </w:tr>
      <w:tr>
        <w:tc>
          <w:tcPr>
            <w:tcW w:type="dxa" w:w="2304"/>
            <w:vAlign w:val="center"/>
          </w:tcPr>
          <w:p>
            <w:pPr>
              <w:spacing w:after="0" w:before="0"/>
              <w:jc w:val="left"/>
            </w:pPr>
            <w:r/>
            <w:r>
              <w:rPr>
                <w:rFonts w:ascii="Calibri" w:hAnsi="Calibri"/>
                <w:b w:val="0"/>
                <w:color w:val="232B35"/>
                <w:sz w:val="16"/>
              </w:rPr>
              <w:t>Seguridad</w:t>
            </w:r>
          </w:p>
        </w:tc>
        <w:tc>
          <w:tcPr>
            <w:tcW w:type="dxa" w:w="2880"/>
            <w:vAlign w:val="center"/>
          </w:tcPr>
          <w:p>
            <w:pPr>
              <w:spacing w:after="0" w:before="0"/>
              <w:jc w:val="left"/>
            </w:pPr>
            <w:r/>
            <w:r>
              <w:rPr>
                <w:rFonts w:ascii="Calibri" w:hAnsi="Calibri"/>
                <w:b w:val="0"/>
                <w:color w:val="232B35"/>
                <w:sz w:val="16"/>
              </w:rPr>
              <w:t>OWASP ZAP, Bandit, Semgrep, Trivy</w:t>
            </w:r>
          </w:p>
        </w:tc>
        <w:tc>
          <w:tcPr>
            <w:tcW w:type="dxa" w:w="4608"/>
            <w:vAlign w:val="center"/>
          </w:tcPr>
          <w:p>
            <w:pPr>
              <w:spacing w:after="0" w:before="0"/>
              <w:jc w:val="left"/>
            </w:pPr>
            <w:r/>
            <w:r>
              <w:rPr>
                <w:rFonts w:ascii="Calibri" w:hAnsi="Calibri"/>
                <w:b w:val="0"/>
                <w:color w:val="232B35"/>
                <w:sz w:val="16"/>
              </w:rPr>
              <w:t>DAST/SAST y escaneo de dependencias/contenedores.</w:t>
            </w:r>
          </w:p>
        </w:tc>
      </w:tr>
      <w:tr>
        <w:tc>
          <w:tcPr>
            <w:tcW w:type="dxa" w:w="2304"/>
            <w:vAlign w:val="center"/>
            <w:shd w:fill="F7FAFC"/>
          </w:tcPr>
          <w:p>
            <w:pPr>
              <w:spacing w:after="0" w:before="0"/>
              <w:jc w:val="left"/>
            </w:pPr>
            <w:r/>
            <w:r>
              <w:rPr>
                <w:rFonts w:ascii="Calibri" w:hAnsi="Calibri"/>
                <w:b w:val="0"/>
                <w:color w:val="232B35"/>
                <w:sz w:val="16"/>
              </w:rPr>
              <w:t>IDE / control de versiones</w:t>
            </w:r>
          </w:p>
        </w:tc>
        <w:tc>
          <w:tcPr>
            <w:tcW w:type="dxa" w:w="2880"/>
            <w:vAlign w:val="center"/>
            <w:shd w:fill="F7FAFC"/>
          </w:tcPr>
          <w:p>
            <w:pPr>
              <w:spacing w:after="0" w:before="0"/>
              <w:jc w:val="left"/>
            </w:pPr>
            <w:r/>
            <w:r>
              <w:rPr>
                <w:rFonts w:ascii="Calibri" w:hAnsi="Calibri"/>
                <w:b w:val="0"/>
                <w:color w:val="232B35"/>
                <w:sz w:val="16"/>
              </w:rPr>
              <w:t>VS Code + Git/GitHub</w:t>
            </w:r>
          </w:p>
        </w:tc>
        <w:tc>
          <w:tcPr>
            <w:tcW w:type="dxa" w:w="4608"/>
            <w:vAlign w:val="center"/>
            <w:shd w:fill="F7FAFC"/>
          </w:tcPr>
          <w:p>
            <w:pPr>
              <w:spacing w:after="0" w:before="0"/>
              <w:jc w:val="left"/>
            </w:pPr>
            <w:r/>
            <w:r>
              <w:rPr>
                <w:rFonts w:ascii="Calibri" w:hAnsi="Calibri"/>
                <w:b w:val="0"/>
                <w:color w:val="232B35"/>
                <w:sz w:val="16"/>
              </w:rPr>
              <w:t>Desarrollo, trazabilidad e integración continua.</w:t>
            </w:r>
          </w:p>
        </w:tc>
      </w:tr>
    </w:tbl>
    <w:p>
      <w:pPr>
        <w:spacing w:after="20"/>
      </w:pPr>
    </w:p>
    <w:p>
      <w:pPr>
        <w:pStyle w:val="BodyAcademic"/>
        <w:jc w:val="both"/>
      </w:pPr>
      <w:r>
        <w:t>La seguridad no depende de que un lenguaje sea “más seguro” que otro. Python no se selecciona por sacrificar seguridad ni Java por una supuesta seguridad inherente. Los controles relevantes son arquitectura, autenticación, autorización, cifrado, manejo de secretos, validación, dependencias, logging y pruebas. Java/Kotlin podría utilizarse de manera puntual si una capacidad nativa Android lo requiere, pero no se introduce un segundo backend sin necesidad.</w:t>
      </w:r>
    </w:p>
    <w:p>
      <w:pPr>
        <w:pStyle w:val="Ttulo3"/>
      </w:pPr>
      <w:r>
        <w:t>1.6.17 Threat Model y zonas de confianza</w:t>
      </w:r>
    </w:p>
    <w:tbl>
      <w:tblPr>
        <w:tblStyle w:val="Tablaconcuadrcula"/>
        <w:tblW w:type="auto" w:w="0"/>
        <w:jc w:val="center"/>
        <w:tblLook w:firstColumn="1" w:firstRow="1" w:lastColumn="0" w:lastRow="0" w:noHBand="0" w:noVBand="1" w:val="04A0"/>
      </w:tblPr>
      <w:tblGrid>
        <w:gridCol w:w="3043"/>
        <w:gridCol w:w="3043"/>
        <w:gridCol w:w="3043"/>
      </w:tblGrid>
      <w:tr>
        <w:tc>
          <w:tcPr>
            <w:tcW w:type="dxa" w:w="2160"/>
            <w:vAlign w:val="center"/>
            <w:shd w:fill="17365D"/>
          </w:tcPr>
          <w:p>
            <w:pPr>
              <w:spacing w:after="0" w:before="0"/>
              <w:jc w:val="left"/>
            </w:pPr>
            <w:r/>
            <w:r>
              <w:rPr>
                <w:rFonts w:ascii="Calibri" w:hAnsi="Calibri"/>
                <w:b/>
                <w:color w:val="FFFFFF"/>
                <w:sz w:val="16"/>
              </w:rPr>
              <w:t>Amenaza</w:t>
            </w:r>
          </w:p>
        </w:tc>
        <w:tc>
          <w:tcPr>
            <w:tcW w:type="dxa" w:w="2880"/>
            <w:vAlign w:val="center"/>
            <w:shd w:fill="17365D"/>
          </w:tcPr>
          <w:p>
            <w:pPr>
              <w:spacing w:after="0" w:before="0"/>
              <w:jc w:val="left"/>
            </w:pPr>
            <w:r/>
            <w:r>
              <w:rPr>
                <w:rFonts w:ascii="Calibri" w:hAnsi="Calibri"/>
                <w:b/>
                <w:color w:val="FFFFFF"/>
                <w:sz w:val="16"/>
              </w:rPr>
              <w:t>Escenario</w:t>
            </w:r>
          </w:p>
        </w:tc>
        <w:tc>
          <w:tcPr>
            <w:tcW w:type="dxa" w:w="4608"/>
            <w:vAlign w:val="center"/>
            <w:shd w:fill="17365D"/>
          </w:tcPr>
          <w:p>
            <w:pPr>
              <w:spacing w:after="0" w:before="0"/>
              <w:jc w:val="left"/>
            </w:pPr>
            <w:r/>
            <w:r>
              <w:rPr>
                <w:rFonts w:ascii="Calibri" w:hAnsi="Calibri"/>
                <w:b/>
                <w:color w:val="FFFFFF"/>
                <w:sz w:val="16"/>
              </w:rPr>
              <w:t>Controles propuestos</w:t>
            </w:r>
          </w:p>
        </w:tc>
      </w:tr>
      <w:tr>
        <w:tc>
          <w:tcPr>
            <w:tcW w:type="dxa" w:w="2160"/>
            <w:vAlign w:val="center"/>
          </w:tcPr>
          <w:p>
            <w:pPr>
              <w:spacing w:after="0" w:before="0"/>
              <w:jc w:val="left"/>
            </w:pPr>
            <w:r/>
            <w:r>
              <w:rPr>
                <w:rFonts w:ascii="Calibri" w:hAnsi="Calibri"/>
                <w:b w:val="0"/>
                <w:color w:val="232B35"/>
                <w:sz w:val="16"/>
              </w:rPr>
              <w:t>Stalking / control coercitivo</w:t>
            </w:r>
          </w:p>
        </w:tc>
        <w:tc>
          <w:tcPr>
            <w:tcW w:type="dxa" w:w="2880"/>
            <w:vAlign w:val="center"/>
          </w:tcPr>
          <w:p>
            <w:pPr>
              <w:spacing w:after="0" w:before="0"/>
              <w:jc w:val="left"/>
            </w:pPr>
            <w:r/>
            <w:r>
              <w:rPr>
                <w:rFonts w:ascii="Calibri" w:hAnsi="Calibri"/>
                <w:b w:val="0"/>
                <w:color w:val="232B35"/>
                <w:sz w:val="16"/>
              </w:rPr>
              <w:t>Pareja o expareja intenta consultar ubicación.</w:t>
            </w:r>
          </w:p>
        </w:tc>
        <w:tc>
          <w:tcPr>
            <w:tcW w:type="dxa" w:w="4608"/>
            <w:vAlign w:val="center"/>
          </w:tcPr>
          <w:p>
            <w:pPr>
              <w:spacing w:after="0" w:before="0"/>
              <w:jc w:val="left"/>
            </w:pPr>
            <w:r/>
            <w:r>
              <w:rPr>
                <w:rFonts w:ascii="Calibri" w:hAnsi="Calibri"/>
                <w:b w:val="0"/>
                <w:color w:val="232B35"/>
                <w:sz w:val="16"/>
              </w:rPr>
              <w:t>Consentimiento previo, revocación discreta, no consulta arbitraria, progressive disclosure.</w:t>
            </w:r>
          </w:p>
        </w:tc>
      </w:tr>
      <w:tr>
        <w:tc>
          <w:tcPr>
            <w:tcW w:type="dxa" w:w="2160"/>
            <w:vAlign w:val="center"/>
            <w:shd w:fill="F7FAFC"/>
          </w:tcPr>
          <w:p>
            <w:pPr>
              <w:spacing w:after="0" w:before="0"/>
              <w:jc w:val="left"/>
            </w:pPr>
            <w:r/>
            <w:r>
              <w:rPr>
                <w:rFonts w:ascii="Calibri" w:hAnsi="Calibri"/>
                <w:b w:val="0"/>
                <w:color w:val="232B35"/>
                <w:sz w:val="16"/>
              </w:rPr>
              <w:t>Cuenta comprometida / SIM swap</w:t>
            </w:r>
          </w:p>
        </w:tc>
        <w:tc>
          <w:tcPr>
            <w:tcW w:type="dxa" w:w="2880"/>
            <w:vAlign w:val="center"/>
            <w:shd w:fill="F7FAFC"/>
          </w:tcPr>
          <w:p>
            <w:pPr>
              <w:spacing w:after="0" w:before="0"/>
              <w:jc w:val="left"/>
            </w:pPr>
            <w:r/>
            <w:r>
              <w:rPr>
                <w:rFonts w:ascii="Calibri" w:hAnsi="Calibri"/>
                <w:b w:val="0"/>
                <w:color w:val="232B35"/>
                <w:sz w:val="16"/>
              </w:rPr>
              <w:t>Robo de credenciales o factor SMS.</w:t>
            </w:r>
          </w:p>
        </w:tc>
        <w:tc>
          <w:tcPr>
            <w:tcW w:type="dxa" w:w="4608"/>
            <w:vAlign w:val="center"/>
            <w:shd w:fill="F7FAFC"/>
          </w:tcPr>
          <w:p>
            <w:pPr>
              <w:spacing w:after="0" w:before="0"/>
              <w:jc w:val="left"/>
            </w:pPr>
            <w:r/>
            <w:r>
              <w:rPr>
                <w:rFonts w:ascii="Calibri" w:hAnsi="Calibri"/>
                <w:b w:val="0"/>
                <w:color w:val="232B35"/>
                <w:sz w:val="16"/>
              </w:rPr>
              <w:t>MFA/passkeys como evolución, sesiones, binding de dispositivo; no usar SMS como único factor.</w:t>
            </w:r>
          </w:p>
        </w:tc>
      </w:tr>
      <w:tr>
        <w:tc>
          <w:tcPr>
            <w:tcW w:type="dxa" w:w="2160"/>
            <w:vAlign w:val="center"/>
          </w:tcPr>
          <w:p>
            <w:pPr>
              <w:spacing w:after="0" w:before="0"/>
              <w:jc w:val="left"/>
            </w:pPr>
            <w:r/>
            <w:r>
              <w:rPr>
                <w:rFonts w:ascii="Calibri" w:hAnsi="Calibri"/>
                <w:b w:val="0"/>
                <w:color w:val="232B35"/>
                <w:sz w:val="16"/>
              </w:rPr>
              <w:t>Robo físico</w:t>
            </w:r>
          </w:p>
        </w:tc>
        <w:tc>
          <w:tcPr>
            <w:tcW w:type="dxa" w:w="2880"/>
            <w:vAlign w:val="center"/>
          </w:tcPr>
          <w:p>
            <w:pPr>
              <w:spacing w:after="0" w:before="0"/>
              <w:jc w:val="left"/>
            </w:pPr>
            <w:r/>
            <w:r>
              <w:rPr>
                <w:rFonts w:ascii="Calibri" w:hAnsi="Calibri"/>
                <w:b w:val="0"/>
                <w:color w:val="232B35"/>
                <w:sz w:val="16"/>
              </w:rPr>
              <w:t>Acceso al teléfono y bóveda local.</w:t>
            </w:r>
          </w:p>
        </w:tc>
        <w:tc>
          <w:tcPr>
            <w:tcW w:type="dxa" w:w="4608"/>
            <w:vAlign w:val="center"/>
          </w:tcPr>
          <w:p>
            <w:pPr>
              <w:spacing w:after="0" w:before="0"/>
              <w:jc w:val="left"/>
            </w:pPr>
            <w:r/>
            <w:r>
              <w:rPr>
                <w:rFonts w:ascii="Calibri" w:hAnsi="Calibri"/>
                <w:b w:val="0"/>
                <w:color w:val="232B35"/>
                <w:sz w:val="16"/>
              </w:rPr>
              <w:t>Biometría/PIN, claves hardware-backed cuando estén disponibles, almacenamiento cifrado.</w:t>
            </w:r>
          </w:p>
        </w:tc>
      </w:tr>
      <w:tr>
        <w:tc>
          <w:tcPr>
            <w:tcW w:type="dxa" w:w="2160"/>
            <w:vAlign w:val="center"/>
            <w:shd w:fill="F7FAFC"/>
          </w:tcPr>
          <w:p>
            <w:pPr>
              <w:spacing w:after="0" w:before="0"/>
              <w:jc w:val="left"/>
            </w:pPr>
            <w:r/>
            <w:r>
              <w:rPr>
                <w:rFonts w:ascii="Calibri" w:hAnsi="Calibri"/>
                <w:b w:val="0"/>
                <w:color w:val="232B35"/>
                <w:sz w:val="16"/>
              </w:rPr>
              <w:t>Falso reporte / falsa desaparición</w:t>
            </w:r>
          </w:p>
        </w:tc>
        <w:tc>
          <w:tcPr>
            <w:tcW w:type="dxa" w:w="2880"/>
            <w:vAlign w:val="center"/>
            <w:shd w:fill="F7FAFC"/>
          </w:tcPr>
          <w:p>
            <w:pPr>
              <w:spacing w:after="0" w:before="0"/>
              <w:jc w:val="left"/>
            </w:pPr>
            <w:r/>
            <w:r>
              <w:rPr>
                <w:rFonts w:ascii="Calibri" w:hAnsi="Calibri"/>
                <w:b w:val="0"/>
                <w:color w:val="232B35"/>
                <w:sz w:val="16"/>
              </w:rPr>
              <w:t>Acoso o doxxing.</w:t>
            </w:r>
          </w:p>
        </w:tc>
        <w:tc>
          <w:tcPr>
            <w:tcW w:type="dxa" w:w="4608"/>
            <w:vAlign w:val="center"/>
            <w:shd w:fill="F7FAFC"/>
          </w:tcPr>
          <w:p>
            <w:pPr>
              <w:spacing w:after="0" w:before="0"/>
              <w:jc w:val="left"/>
            </w:pPr>
            <w:r/>
            <w:r>
              <w:rPr>
                <w:rFonts w:ascii="Calibri" w:hAnsi="Calibri"/>
                <w:b w:val="0"/>
                <w:color w:val="232B35"/>
                <w:sz w:val="16"/>
              </w:rPr>
              <w:t>Estados, quórum, rate limiting, validación y trazabilidad.</w:t>
            </w:r>
          </w:p>
        </w:tc>
      </w:tr>
      <w:tr>
        <w:tc>
          <w:tcPr>
            <w:tcW w:type="dxa" w:w="2160"/>
            <w:vAlign w:val="center"/>
          </w:tcPr>
          <w:p>
            <w:pPr>
              <w:spacing w:after="0" w:before="0"/>
              <w:jc w:val="left"/>
            </w:pPr>
            <w:r/>
            <w:r>
              <w:rPr>
                <w:rFonts w:ascii="Calibri" w:hAnsi="Calibri"/>
                <w:b w:val="0"/>
                <w:color w:val="232B35"/>
                <w:sz w:val="16"/>
              </w:rPr>
              <w:t>Falsa confirmación</w:t>
            </w:r>
          </w:p>
        </w:tc>
        <w:tc>
          <w:tcPr>
            <w:tcW w:type="dxa" w:w="2880"/>
            <w:vAlign w:val="center"/>
          </w:tcPr>
          <w:p>
            <w:pPr>
              <w:spacing w:after="0" w:before="0"/>
              <w:jc w:val="left"/>
            </w:pPr>
            <w:r/>
            <w:r>
              <w:rPr>
                <w:rFonts w:ascii="Calibri" w:hAnsi="Calibri"/>
                <w:b w:val="0"/>
                <w:color w:val="232B35"/>
                <w:sz w:val="16"/>
              </w:rPr>
              <w:t>Tercero afirma que alguien está bien.</w:t>
            </w:r>
          </w:p>
        </w:tc>
        <w:tc>
          <w:tcPr>
            <w:tcW w:type="dxa" w:w="4608"/>
            <w:vAlign w:val="center"/>
          </w:tcPr>
          <w:p>
            <w:pPr>
              <w:spacing w:after="0" w:before="0"/>
              <w:jc w:val="left"/>
            </w:pPr>
            <w:r/>
            <w:r>
              <w:rPr>
                <w:rFonts w:ascii="Calibri" w:hAnsi="Calibri"/>
                <w:b w:val="0"/>
                <w:color w:val="232B35"/>
                <w:sz w:val="16"/>
              </w:rPr>
              <w:t>Evidencia contextual, timestamps y confirmaciones múltiples en casos sensibles.</w:t>
            </w:r>
          </w:p>
        </w:tc>
      </w:tr>
      <w:tr>
        <w:tc>
          <w:tcPr>
            <w:tcW w:type="dxa" w:w="2160"/>
            <w:vAlign w:val="center"/>
            <w:shd w:fill="F7FAFC"/>
          </w:tcPr>
          <w:p>
            <w:pPr>
              <w:spacing w:after="0" w:before="0"/>
              <w:jc w:val="left"/>
            </w:pPr>
            <w:r/>
            <w:r>
              <w:rPr>
                <w:rFonts w:ascii="Calibri" w:hAnsi="Calibri"/>
                <w:b w:val="0"/>
                <w:color w:val="232B35"/>
                <w:sz w:val="16"/>
              </w:rPr>
              <w:t>Scraping / enumeración</w:t>
            </w:r>
          </w:p>
        </w:tc>
        <w:tc>
          <w:tcPr>
            <w:tcW w:type="dxa" w:w="2880"/>
            <w:vAlign w:val="center"/>
            <w:shd w:fill="F7FAFC"/>
          </w:tcPr>
          <w:p>
            <w:pPr>
              <w:spacing w:after="0" w:before="0"/>
              <w:jc w:val="left"/>
            </w:pPr>
            <w:r/>
            <w:r>
              <w:rPr>
                <w:rFonts w:ascii="Calibri" w:hAnsi="Calibri"/>
                <w:b w:val="0"/>
                <w:color w:val="232B35"/>
                <w:sz w:val="16"/>
              </w:rPr>
              <w:t>Extracción masiva de casos/ubicaciones.</w:t>
            </w:r>
          </w:p>
        </w:tc>
        <w:tc>
          <w:tcPr>
            <w:tcW w:type="dxa" w:w="4608"/>
            <w:vAlign w:val="center"/>
            <w:shd w:fill="F7FAFC"/>
          </w:tcPr>
          <w:p>
            <w:pPr>
              <w:spacing w:after="0" w:before="0"/>
              <w:jc w:val="left"/>
            </w:pPr>
            <w:r/>
            <w:r>
              <w:rPr>
                <w:rFonts w:ascii="Calibri" w:hAnsi="Calibri"/>
                <w:b w:val="0"/>
                <w:color w:val="232B35"/>
                <w:sz w:val="16"/>
              </w:rPr>
              <w:t>IDs no predecibles, límites, tokens y zonas aproximadas.</w:t>
            </w:r>
          </w:p>
        </w:tc>
      </w:tr>
      <w:tr>
        <w:tc>
          <w:tcPr>
            <w:tcW w:type="dxa" w:w="2160"/>
            <w:vAlign w:val="center"/>
          </w:tcPr>
          <w:p>
            <w:pPr>
              <w:spacing w:after="0" w:before="0"/>
              <w:jc w:val="left"/>
            </w:pPr>
            <w:r/>
            <w:r>
              <w:rPr>
                <w:rFonts w:ascii="Calibri" w:hAnsi="Calibri"/>
                <w:b w:val="0"/>
                <w:color w:val="232B35"/>
                <w:sz w:val="16"/>
              </w:rPr>
              <w:t>Fuente falsificada / replay</w:t>
            </w:r>
          </w:p>
        </w:tc>
        <w:tc>
          <w:tcPr>
            <w:tcW w:type="dxa" w:w="2880"/>
            <w:vAlign w:val="center"/>
          </w:tcPr>
          <w:p>
            <w:pPr>
              <w:spacing w:after="0" w:before="0"/>
              <w:jc w:val="left"/>
            </w:pPr>
            <w:r/>
            <w:r>
              <w:rPr>
                <w:rFonts w:ascii="Calibri" w:hAnsi="Calibri"/>
                <w:b w:val="0"/>
                <w:color w:val="232B35"/>
                <w:sz w:val="16"/>
              </w:rPr>
              <w:t>Evento falso activa protocolos.</w:t>
            </w:r>
          </w:p>
        </w:tc>
        <w:tc>
          <w:tcPr>
            <w:tcW w:type="dxa" w:w="4608"/>
            <w:vAlign w:val="center"/>
          </w:tcPr>
          <w:p>
            <w:pPr>
              <w:spacing w:after="0" w:before="0"/>
              <w:jc w:val="left"/>
            </w:pPr>
            <w:r/>
            <w:r>
              <w:rPr>
                <w:rFonts w:ascii="Calibri" w:hAnsi="Calibri"/>
                <w:b w:val="0"/>
                <w:color w:val="232B35"/>
                <w:sz w:val="16"/>
              </w:rPr>
              <w:t>Allowlist, TLS, timestamp, idempotencia y procedencia.</w:t>
            </w:r>
          </w:p>
        </w:tc>
      </w:tr>
      <w:tr>
        <w:tc>
          <w:tcPr>
            <w:tcW w:type="dxa" w:w="2160"/>
            <w:vAlign w:val="center"/>
            <w:shd w:fill="F7FAFC"/>
          </w:tcPr>
          <w:p>
            <w:pPr>
              <w:spacing w:after="0" w:before="0"/>
              <w:jc w:val="left"/>
            </w:pPr>
            <w:r/>
            <w:r>
              <w:rPr>
                <w:rFonts w:ascii="Calibri" w:hAnsi="Calibri"/>
                <w:b w:val="0"/>
                <w:color w:val="232B35"/>
                <w:sz w:val="16"/>
              </w:rPr>
              <w:t>GPS spoofing</w:t>
            </w:r>
          </w:p>
        </w:tc>
        <w:tc>
          <w:tcPr>
            <w:tcW w:type="dxa" w:w="2880"/>
            <w:vAlign w:val="center"/>
            <w:shd w:fill="F7FAFC"/>
          </w:tcPr>
          <w:p>
            <w:pPr>
              <w:spacing w:after="0" w:before="0"/>
              <w:jc w:val="left"/>
            </w:pPr>
            <w:r/>
            <w:r>
              <w:rPr>
                <w:rFonts w:ascii="Calibri" w:hAnsi="Calibri"/>
                <w:b w:val="0"/>
                <w:color w:val="232B35"/>
                <w:sz w:val="16"/>
              </w:rPr>
              <w:t>Checkpoint adulterado.</w:t>
            </w:r>
          </w:p>
        </w:tc>
        <w:tc>
          <w:tcPr>
            <w:tcW w:type="dxa" w:w="4608"/>
            <w:vAlign w:val="center"/>
            <w:shd w:fill="F7FAFC"/>
          </w:tcPr>
          <w:p>
            <w:pPr>
              <w:spacing w:after="0" w:before="0"/>
              <w:jc w:val="left"/>
            </w:pPr>
            <w:r/>
            <w:r>
              <w:rPr>
                <w:rFonts w:ascii="Calibri" w:hAnsi="Calibri"/>
                <w:b w:val="0"/>
                <w:color w:val="232B35"/>
                <w:sz w:val="16"/>
              </w:rPr>
              <w:t>Coherencia temporal, señales de integridad; no tratar un punto como verdad absoluta.</w:t>
            </w:r>
          </w:p>
        </w:tc>
      </w:tr>
      <w:tr>
        <w:tc>
          <w:tcPr>
            <w:tcW w:type="dxa" w:w="2160"/>
            <w:vAlign w:val="center"/>
          </w:tcPr>
          <w:p>
            <w:pPr>
              <w:spacing w:after="0" w:before="0"/>
              <w:jc w:val="left"/>
            </w:pPr>
            <w:r/>
            <w:r>
              <w:rPr>
                <w:rFonts w:ascii="Calibri" w:hAnsi="Calibri"/>
                <w:b w:val="0"/>
                <w:color w:val="232B35"/>
                <w:sz w:val="16"/>
              </w:rPr>
              <w:t>DoS / insider</w:t>
            </w:r>
          </w:p>
        </w:tc>
        <w:tc>
          <w:tcPr>
            <w:tcW w:type="dxa" w:w="2880"/>
            <w:vAlign w:val="center"/>
          </w:tcPr>
          <w:p>
            <w:pPr>
              <w:spacing w:after="0" w:before="0"/>
              <w:jc w:val="left"/>
            </w:pPr>
            <w:r/>
            <w:r>
              <w:rPr>
                <w:rFonts w:ascii="Calibri" w:hAnsi="Calibri"/>
                <w:b w:val="0"/>
                <w:color w:val="232B35"/>
                <w:sz w:val="16"/>
              </w:rPr>
              <w:t>Caída o consulta indebida.</w:t>
            </w:r>
          </w:p>
        </w:tc>
        <w:tc>
          <w:tcPr>
            <w:tcW w:type="dxa" w:w="4608"/>
            <w:vAlign w:val="center"/>
          </w:tcPr>
          <w:p>
            <w:pPr>
              <w:spacing w:after="0" w:before="0"/>
              <w:jc w:val="left"/>
            </w:pPr>
            <w:r/>
            <w:r>
              <w:rPr>
                <w:rFonts w:ascii="Calibri" w:hAnsi="Calibri"/>
                <w:b w:val="0"/>
                <w:color w:val="232B35"/>
                <w:sz w:val="16"/>
              </w:rPr>
              <w:t>Colas, rate limit, WAF, RBAC/ABAC, logs de auditoría y separación de funciones.</w:t>
            </w:r>
          </w:p>
        </w:tc>
      </w:tr>
      <w:tr>
        <w:tc>
          <w:tcPr>
            <w:tcW w:type="dxa" w:w="2160"/>
            <w:vAlign w:val="center"/>
            <w:shd w:fill="F7FAFC"/>
          </w:tcPr>
          <w:p>
            <w:pPr>
              <w:spacing w:after="0" w:before="0"/>
              <w:jc w:val="left"/>
            </w:pPr>
            <w:r/>
            <w:r>
              <w:rPr>
                <w:rFonts w:ascii="Calibri" w:hAnsi="Calibri"/>
                <w:b w:val="0"/>
                <w:color w:val="232B35"/>
                <w:sz w:val="16"/>
              </w:rPr>
              <w:t>Dependencia tecnológica</w:t>
            </w:r>
          </w:p>
        </w:tc>
        <w:tc>
          <w:tcPr>
            <w:tcW w:type="dxa" w:w="2880"/>
            <w:vAlign w:val="center"/>
            <w:shd w:fill="F7FAFC"/>
          </w:tcPr>
          <w:p>
            <w:pPr>
              <w:spacing w:after="0" w:before="0"/>
              <w:jc w:val="left"/>
            </w:pPr>
            <w:r/>
            <w:r>
              <w:rPr>
                <w:rFonts w:ascii="Calibri" w:hAnsi="Calibri"/>
                <w:b w:val="0"/>
                <w:color w:val="232B35"/>
                <w:sz w:val="16"/>
              </w:rPr>
              <w:t>Usuario cree que la app garantiza rescate.</w:t>
            </w:r>
          </w:p>
        </w:tc>
        <w:tc>
          <w:tcPr>
            <w:tcW w:type="dxa" w:w="4608"/>
            <w:vAlign w:val="center"/>
            <w:shd w:fill="F7FAFC"/>
          </w:tcPr>
          <w:p>
            <w:pPr>
              <w:spacing w:after="0" w:before="0"/>
              <w:jc w:val="left"/>
            </w:pPr>
            <w:r/>
            <w:r>
              <w:rPr>
                <w:rFonts w:ascii="Calibri" w:hAnsi="Calibri"/>
                <w:b w:val="0"/>
                <w:color w:val="232B35"/>
                <w:sz w:val="16"/>
              </w:rPr>
              <w:t>Comunicar límites: última información recibida, no promesas de salvamento.</w:t>
            </w:r>
          </w:p>
        </w:tc>
      </w:tr>
    </w:tbl>
    <w:p>
      <w:pPr>
        <w:spacing w:after="20"/>
      </w:pPr>
    </w:p>
    <w:p>
      <w:pPr>
        <w:spacing w:before="80" w:after="40"/>
        <w:jc w:val="center"/>
      </w:pPr>
      <w:r>
        <w:drawing>
          <wp:inline xmlns:a="http://schemas.openxmlformats.org/drawingml/2006/main" xmlns:pic="http://schemas.openxmlformats.org/drawingml/2006/picture">
            <wp:extent cx="5577840" cy="1892481"/>
            <wp:docPr id="16" name="Picture 16"/>
            <wp:cNvGraphicFramePr>
              <a:graphicFrameLocks noChangeAspect="1"/>
            </wp:cNvGraphicFramePr>
            <a:graphic>
              <a:graphicData uri="http://schemas.openxmlformats.org/drawingml/2006/picture">
                <pic:pic>
                  <pic:nvPicPr>
                    <pic:cNvPr id="0" name="14_seguridad_zonas_confianza.png"/>
                    <pic:cNvPicPr/>
                  </pic:nvPicPr>
                  <pic:blipFill>
                    <a:blip r:embed="rId32"/>
                    <a:stretch>
                      <a:fillRect/>
                    </a:stretch>
                  </pic:blipFill>
                  <pic:spPr>
                    <a:xfrm>
                      <a:off x="0" y="0"/>
                      <a:ext cx="5577840" cy="1892481"/>
                    </a:xfrm>
                    <a:prstGeom prst="rect"/>
                  </pic:spPr>
                </pic:pic>
              </a:graphicData>
            </a:graphic>
          </wp:inline>
        </w:drawing>
      </w:r>
    </w:p>
    <w:p>
      <w:pPr>
        <w:pStyle w:val="CaptionAcademic"/>
        <w:jc w:val="center"/>
      </w:pPr>
      <w:r>
        <w:t>Figura 15. Zonas de confianza y controles de seguridad.</w:t>
      </w:r>
    </w:p>
    <w:tbl>
      <w:tblPr>
        <w:tblStyle w:val="Tablaconcuadrcula"/>
        <w:tblW w:type="auto" w:w="0"/>
        <w:jc w:val="center"/>
        <w:tblLook w:firstColumn="1" w:firstRow="1" w:lastColumn="0" w:lastRow="0" w:noHBand="0" w:noVBand="1" w:val="04A0"/>
      </w:tblPr>
      <w:tblGrid>
        <w:gridCol w:w="9130"/>
      </w:tblGrid>
      <w:tr>
        <w:tc>
          <w:tcPr>
            <w:tcW w:type="dxa" w:w="9130"/>
            <w:shd w:fill="FCE4D6"/>
          </w:tcPr>
          <w:p>
            <w:pPr>
              <w:spacing w:after="0"/>
              <w:jc w:val="left"/>
            </w:pPr>
            <w:r/>
            <w:r>
              <w:rPr>
                <w:rFonts w:ascii="Calibri" w:hAnsi="Calibri"/>
                <w:b/>
                <w:color w:val="232B35"/>
                <w:sz w:val="20"/>
              </w:rPr>
              <w:t>Principio de comunicación de riesgo: la aplicación no debe afirmar “te salvaremos” ni “la persona está aquí”. Debe expresar temporalidad y certeza, por ejemplo: “Última información recibida: 10:42, precisión ±32 m, hace 17 minutos”.</w:t>
            </w:r>
          </w:p>
        </w:tc>
      </w:tr>
    </w:tbl>
    <w:p>
      <w:pPr>
        <w:spacing w:after="20"/>
      </w:pPr>
    </w:p>
    <w:p>
      <w:pPr>
        <w:pStyle w:val="Ttulo3"/>
      </w:pPr>
      <w:r>
        <w:t>1.6.18 Marcos y estándares aplicados</w:t>
      </w:r>
    </w:p>
    <w:tbl>
      <w:tblPr>
        <w:tblStyle w:val="Tablaconcuadrcula"/>
        <w:tblW w:type="auto" w:w="0"/>
        <w:jc w:val="center"/>
        <w:tblLook w:firstColumn="1" w:firstRow="1" w:lastColumn="0" w:lastRow="0" w:noHBand="0" w:noVBand="1" w:val="04A0"/>
      </w:tblPr>
      <w:tblGrid>
        <w:gridCol w:w="3043"/>
        <w:gridCol w:w="3043"/>
        <w:gridCol w:w="3043"/>
      </w:tblGrid>
      <w:tr>
        <w:tc>
          <w:tcPr>
            <w:tcW w:type="dxa" w:w="2592"/>
            <w:vAlign w:val="center"/>
            <w:shd w:fill="17365D"/>
          </w:tcPr>
          <w:p>
            <w:pPr>
              <w:spacing w:after="0" w:before="0"/>
              <w:jc w:val="left"/>
            </w:pPr>
            <w:r/>
            <w:r>
              <w:rPr>
                <w:rFonts w:ascii="Calibri" w:hAnsi="Calibri"/>
                <w:b/>
                <w:color w:val="FFFFFF"/>
                <w:sz w:val="16"/>
              </w:rPr>
              <w:t>Marco</w:t>
            </w:r>
          </w:p>
        </w:tc>
        <w:tc>
          <w:tcPr>
            <w:tcW w:type="dxa" w:w="2160"/>
            <w:vAlign w:val="center"/>
            <w:shd w:fill="17365D"/>
          </w:tcPr>
          <w:p>
            <w:pPr>
              <w:spacing w:after="0" w:before="0"/>
              <w:jc w:val="left"/>
            </w:pPr>
            <w:r/>
            <w:r>
              <w:rPr>
                <w:rFonts w:ascii="Calibri" w:hAnsi="Calibri"/>
                <w:b/>
                <w:color w:val="FFFFFF"/>
                <w:sz w:val="16"/>
              </w:rPr>
              <w:t>Área</w:t>
            </w:r>
          </w:p>
        </w:tc>
        <w:tc>
          <w:tcPr>
            <w:tcW w:type="dxa" w:w="4896"/>
            <w:vAlign w:val="center"/>
            <w:shd w:fill="17365D"/>
          </w:tcPr>
          <w:p>
            <w:pPr>
              <w:spacing w:after="0" w:before="0"/>
              <w:jc w:val="left"/>
            </w:pPr>
            <w:r/>
            <w:r>
              <w:rPr>
                <w:rFonts w:ascii="Calibri" w:hAnsi="Calibri"/>
                <w:b/>
                <w:color w:val="FFFFFF"/>
                <w:sz w:val="16"/>
              </w:rPr>
              <w:t>Uso concreto</w:t>
            </w:r>
          </w:p>
        </w:tc>
      </w:tr>
      <w:tr>
        <w:tc>
          <w:tcPr>
            <w:tcW w:type="dxa" w:w="2592"/>
            <w:vAlign w:val="center"/>
          </w:tcPr>
          <w:p>
            <w:pPr>
              <w:spacing w:after="0" w:before="0"/>
              <w:jc w:val="left"/>
            </w:pPr>
            <w:r/>
            <w:r>
              <w:rPr>
                <w:rFonts w:ascii="Calibri" w:hAnsi="Calibri"/>
                <w:b w:val="0"/>
                <w:color w:val="232B35"/>
                <w:sz w:val="16"/>
              </w:rPr>
              <w:t>ISO 31000:2018</w:t>
            </w:r>
          </w:p>
        </w:tc>
        <w:tc>
          <w:tcPr>
            <w:tcW w:type="dxa" w:w="2160"/>
            <w:vAlign w:val="center"/>
          </w:tcPr>
          <w:p>
            <w:pPr>
              <w:spacing w:after="0" w:before="0"/>
              <w:jc w:val="left"/>
            </w:pPr>
            <w:r/>
            <w:r>
              <w:rPr>
                <w:rFonts w:ascii="Calibri" w:hAnsi="Calibri"/>
                <w:b w:val="0"/>
                <w:color w:val="232B35"/>
                <w:sz w:val="16"/>
              </w:rPr>
              <w:t>Gestión de riesgos</w:t>
            </w:r>
          </w:p>
        </w:tc>
        <w:tc>
          <w:tcPr>
            <w:tcW w:type="dxa" w:w="4896"/>
            <w:vAlign w:val="center"/>
          </w:tcPr>
          <w:p>
            <w:pPr>
              <w:spacing w:after="0" w:before="0"/>
              <w:jc w:val="left"/>
            </w:pPr>
            <w:r/>
            <w:r>
              <w:rPr>
                <w:rFonts w:ascii="Calibri" w:hAnsi="Calibri"/>
                <w:b w:val="0"/>
                <w:color w:val="232B35"/>
                <w:sz w:val="16"/>
              </w:rPr>
              <w:t>Identificación, análisis, tratamiento y monitoreo de riesgos del producto.</w:t>
            </w:r>
          </w:p>
        </w:tc>
      </w:tr>
      <w:tr>
        <w:tc>
          <w:tcPr>
            <w:tcW w:type="dxa" w:w="2592"/>
            <w:vAlign w:val="center"/>
            <w:shd w:fill="F7FAFC"/>
          </w:tcPr>
          <w:p>
            <w:pPr>
              <w:spacing w:after="0" w:before="0"/>
              <w:jc w:val="left"/>
            </w:pPr>
            <w:r/>
            <w:r>
              <w:rPr>
                <w:rFonts w:ascii="Calibri" w:hAnsi="Calibri"/>
                <w:b w:val="0"/>
                <w:color w:val="232B35"/>
                <w:sz w:val="16"/>
              </w:rPr>
              <w:t>ISO 22301:2019</w:t>
            </w:r>
          </w:p>
        </w:tc>
        <w:tc>
          <w:tcPr>
            <w:tcW w:type="dxa" w:w="2160"/>
            <w:vAlign w:val="center"/>
            <w:shd w:fill="F7FAFC"/>
          </w:tcPr>
          <w:p>
            <w:pPr>
              <w:spacing w:after="0" w:before="0"/>
              <w:jc w:val="left"/>
            </w:pPr>
            <w:r/>
            <w:r>
              <w:rPr>
                <w:rFonts w:ascii="Calibri" w:hAnsi="Calibri"/>
                <w:b w:val="0"/>
                <w:color w:val="232B35"/>
                <w:sz w:val="16"/>
              </w:rPr>
              <w:t>Continuidad</w:t>
            </w:r>
          </w:p>
        </w:tc>
        <w:tc>
          <w:tcPr>
            <w:tcW w:type="dxa" w:w="4896"/>
            <w:vAlign w:val="center"/>
            <w:shd w:fill="F7FAFC"/>
          </w:tcPr>
          <w:p>
            <w:pPr>
              <w:spacing w:after="0" w:before="0"/>
              <w:jc w:val="left"/>
            </w:pPr>
            <w:r/>
            <w:r>
              <w:rPr>
                <w:rFonts w:ascii="Calibri" w:hAnsi="Calibri"/>
                <w:b w:val="0"/>
                <w:color w:val="232B35"/>
                <w:sz w:val="16"/>
              </w:rPr>
              <w:t>BIA, RTO/RPO, recuperación y ejercicios.</w:t>
            </w:r>
          </w:p>
        </w:tc>
      </w:tr>
      <w:tr>
        <w:tc>
          <w:tcPr>
            <w:tcW w:type="dxa" w:w="2592"/>
            <w:vAlign w:val="center"/>
          </w:tcPr>
          <w:p>
            <w:pPr>
              <w:spacing w:after="0" w:before="0"/>
              <w:jc w:val="left"/>
            </w:pPr>
            <w:r/>
            <w:r>
              <w:rPr>
                <w:rFonts w:ascii="Calibri" w:hAnsi="Calibri"/>
                <w:b w:val="0"/>
                <w:color w:val="232B35"/>
                <w:sz w:val="16"/>
              </w:rPr>
              <w:t>ISO/IEC 27001:2022</w:t>
            </w:r>
          </w:p>
        </w:tc>
        <w:tc>
          <w:tcPr>
            <w:tcW w:type="dxa" w:w="2160"/>
            <w:vAlign w:val="center"/>
          </w:tcPr>
          <w:p>
            <w:pPr>
              <w:spacing w:after="0" w:before="0"/>
              <w:jc w:val="left"/>
            </w:pPr>
            <w:r/>
            <w:r>
              <w:rPr>
                <w:rFonts w:ascii="Calibri" w:hAnsi="Calibri"/>
                <w:b w:val="0"/>
                <w:color w:val="232B35"/>
                <w:sz w:val="16"/>
              </w:rPr>
              <w:t>Seguridad</w:t>
            </w:r>
          </w:p>
        </w:tc>
        <w:tc>
          <w:tcPr>
            <w:tcW w:type="dxa" w:w="4896"/>
            <w:vAlign w:val="center"/>
          </w:tcPr>
          <w:p>
            <w:pPr>
              <w:spacing w:after="0" w:before="0"/>
              <w:jc w:val="left"/>
            </w:pPr>
            <w:r/>
            <w:r>
              <w:rPr>
                <w:rFonts w:ascii="Calibri" w:hAnsi="Calibri"/>
                <w:b w:val="0"/>
                <w:color w:val="232B35"/>
                <w:sz w:val="16"/>
              </w:rPr>
              <w:t>Controles del SGSI como referencia de diseño y operación.</w:t>
            </w:r>
          </w:p>
        </w:tc>
      </w:tr>
      <w:tr>
        <w:tc>
          <w:tcPr>
            <w:tcW w:type="dxa" w:w="2592"/>
            <w:vAlign w:val="center"/>
            <w:shd w:fill="F7FAFC"/>
          </w:tcPr>
          <w:p>
            <w:pPr>
              <w:spacing w:after="0" w:before="0"/>
              <w:jc w:val="left"/>
            </w:pPr>
            <w:r/>
            <w:r>
              <w:rPr>
                <w:rFonts w:ascii="Calibri" w:hAnsi="Calibri"/>
                <w:b w:val="0"/>
                <w:color w:val="232B35"/>
                <w:sz w:val="16"/>
              </w:rPr>
              <w:t>ISO/IEC 27701</w:t>
            </w:r>
          </w:p>
        </w:tc>
        <w:tc>
          <w:tcPr>
            <w:tcW w:type="dxa" w:w="2160"/>
            <w:vAlign w:val="center"/>
            <w:shd w:fill="F7FAFC"/>
          </w:tcPr>
          <w:p>
            <w:pPr>
              <w:spacing w:after="0" w:before="0"/>
              <w:jc w:val="left"/>
            </w:pPr>
            <w:r/>
            <w:r>
              <w:rPr>
                <w:rFonts w:ascii="Calibri" w:hAnsi="Calibri"/>
                <w:b w:val="0"/>
                <w:color w:val="232B35"/>
                <w:sz w:val="16"/>
              </w:rPr>
              <w:t>Privacidad</w:t>
            </w:r>
          </w:p>
        </w:tc>
        <w:tc>
          <w:tcPr>
            <w:tcW w:type="dxa" w:w="4896"/>
            <w:vAlign w:val="center"/>
            <w:shd w:fill="F7FAFC"/>
          </w:tcPr>
          <w:p>
            <w:pPr>
              <w:spacing w:after="0" w:before="0"/>
              <w:jc w:val="left"/>
            </w:pPr>
            <w:r/>
            <w:r>
              <w:rPr>
                <w:rFonts w:ascii="Calibri" w:hAnsi="Calibri"/>
                <w:b w:val="0"/>
                <w:color w:val="232B35"/>
                <w:sz w:val="16"/>
              </w:rPr>
              <w:t>Gestión de información personal y roles de privacidad.</w:t>
            </w:r>
          </w:p>
        </w:tc>
      </w:tr>
      <w:tr>
        <w:tc>
          <w:tcPr>
            <w:tcW w:type="dxa" w:w="2592"/>
            <w:vAlign w:val="center"/>
          </w:tcPr>
          <w:p>
            <w:pPr>
              <w:spacing w:after="0" w:before="0"/>
              <w:jc w:val="left"/>
            </w:pPr>
            <w:r/>
            <w:r>
              <w:rPr>
                <w:rFonts w:ascii="Calibri" w:hAnsi="Calibri"/>
                <w:b w:val="0"/>
                <w:color w:val="232B35"/>
                <w:sz w:val="16"/>
              </w:rPr>
              <w:t>ISO 9241-210:2019</w:t>
            </w:r>
          </w:p>
        </w:tc>
        <w:tc>
          <w:tcPr>
            <w:tcW w:type="dxa" w:w="2160"/>
            <w:vAlign w:val="center"/>
          </w:tcPr>
          <w:p>
            <w:pPr>
              <w:spacing w:after="0" w:before="0"/>
              <w:jc w:val="left"/>
            </w:pPr>
            <w:r/>
            <w:r>
              <w:rPr>
                <w:rFonts w:ascii="Calibri" w:hAnsi="Calibri"/>
                <w:b w:val="0"/>
                <w:color w:val="232B35"/>
                <w:sz w:val="16"/>
              </w:rPr>
              <w:t>HCD</w:t>
            </w:r>
          </w:p>
        </w:tc>
        <w:tc>
          <w:tcPr>
            <w:tcW w:type="dxa" w:w="4896"/>
            <w:vAlign w:val="center"/>
          </w:tcPr>
          <w:p>
            <w:pPr>
              <w:spacing w:after="0" w:before="0"/>
              <w:jc w:val="left"/>
            </w:pPr>
            <w:r/>
            <w:r>
              <w:rPr>
                <w:rFonts w:ascii="Calibri" w:hAnsi="Calibri"/>
                <w:b w:val="0"/>
                <w:color w:val="232B35"/>
                <w:sz w:val="16"/>
              </w:rPr>
              <w:t>Diseño centrado en las personas.</w:t>
            </w:r>
          </w:p>
        </w:tc>
      </w:tr>
      <w:tr>
        <w:tc>
          <w:tcPr>
            <w:tcW w:type="dxa" w:w="2592"/>
            <w:vAlign w:val="center"/>
            <w:shd w:fill="F7FAFC"/>
          </w:tcPr>
          <w:p>
            <w:pPr>
              <w:spacing w:after="0" w:before="0"/>
              <w:jc w:val="left"/>
            </w:pPr>
            <w:r/>
            <w:r>
              <w:rPr>
                <w:rFonts w:ascii="Calibri" w:hAnsi="Calibri"/>
                <w:b w:val="0"/>
                <w:color w:val="232B35"/>
                <w:sz w:val="16"/>
              </w:rPr>
              <w:t>OASIS CAP 1.2</w:t>
            </w:r>
          </w:p>
        </w:tc>
        <w:tc>
          <w:tcPr>
            <w:tcW w:type="dxa" w:w="2160"/>
            <w:vAlign w:val="center"/>
            <w:shd w:fill="F7FAFC"/>
          </w:tcPr>
          <w:p>
            <w:pPr>
              <w:spacing w:after="0" w:before="0"/>
              <w:jc w:val="left"/>
            </w:pPr>
            <w:r/>
            <w:r>
              <w:rPr>
                <w:rFonts w:ascii="Calibri" w:hAnsi="Calibri"/>
                <w:b w:val="0"/>
                <w:color w:val="232B35"/>
                <w:sz w:val="16"/>
              </w:rPr>
              <w:t>Alertas</w:t>
            </w:r>
          </w:p>
        </w:tc>
        <w:tc>
          <w:tcPr>
            <w:tcW w:type="dxa" w:w="4896"/>
            <w:vAlign w:val="center"/>
            <w:shd w:fill="F7FAFC"/>
          </w:tcPr>
          <w:p>
            <w:pPr>
              <w:spacing w:after="0" w:before="0"/>
              <w:jc w:val="left"/>
            </w:pPr>
            <w:r/>
            <w:r>
              <w:rPr>
                <w:rFonts w:ascii="Calibri" w:hAnsi="Calibri"/>
                <w:b w:val="0"/>
                <w:color w:val="232B35"/>
                <w:sz w:val="16"/>
              </w:rPr>
              <w:t>Modelo canónico y distribución multicanal.</w:t>
            </w:r>
          </w:p>
        </w:tc>
      </w:tr>
      <w:tr>
        <w:tc>
          <w:tcPr>
            <w:tcW w:type="dxa" w:w="2592"/>
            <w:vAlign w:val="center"/>
          </w:tcPr>
          <w:p>
            <w:pPr>
              <w:spacing w:after="0" w:before="0"/>
              <w:jc w:val="left"/>
            </w:pPr>
            <w:r/>
            <w:r>
              <w:rPr>
                <w:rFonts w:ascii="Calibri" w:hAnsi="Calibri"/>
                <w:b w:val="0"/>
                <w:color w:val="232B35"/>
                <w:sz w:val="16"/>
              </w:rPr>
              <w:t>Sendai 2015–2030</w:t>
            </w:r>
          </w:p>
        </w:tc>
        <w:tc>
          <w:tcPr>
            <w:tcW w:type="dxa" w:w="2160"/>
            <w:vAlign w:val="center"/>
          </w:tcPr>
          <w:p>
            <w:pPr>
              <w:spacing w:after="0" w:before="0"/>
              <w:jc w:val="left"/>
            </w:pPr>
            <w:r/>
            <w:r>
              <w:rPr>
                <w:rFonts w:ascii="Calibri" w:hAnsi="Calibri"/>
                <w:b w:val="0"/>
                <w:color w:val="232B35"/>
                <w:sz w:val="16"/>
              </w:rPr>
              <w:t>Gestión del riesgo de desastres</w:t>
            </w:r>
          </w:p>
        </w:tc>
        <w:tc>
          <w:tcPr>
            <w:tcW w:type="dxa" w:w="4896"/>
            <w:vAlign w:val="center"/>
          </w:tcPr>
          <w:p>
            <w:pPr>
              <w:spacing w:after="0" w:before="0"/>
              <w:jc w:val="left"/>
            </w:pPr>
            <w:r/>
            <w:r>
              <w:rPr>
                <w:rFonts w:ascii="Calibri" w:hAnsi="Calibri"/>
                <w:b w:val="0"/>
                <w:color w:val="232B35"/>
                <w:sz w:val="16"/>
              </w:rPr>
              <w:t>Comprensión del riesgo, gobernanza, resiliencia y preparación.</w:t>
            </w:r>
          </w:p>
        </w:tc>
      </w:tr>
      <w:tr>
        <w:tc>
          <w:tcPr>
            <w:tcW w:type="dxa" w:w="2592"/>
            <w:vAlign w:val="center"/>
            <w:shd w:fill="F7FAFC"/>
          </w:tcPr>
          <w:p>
            <w:pPr>
              <w:spacing w:after="0" w:before="0"/>
              <w:jc w:val="left"/>
            </w:pPr>
            <w:r/>
            <w:r>
              <w:rPr>
                <w:rFonts w:ascii="Calibri" w:hAnsi="Calibri"/>
                <w:b w:val="0"/>
                <w:color w:val="232B35"/>
                <w:sz w:val="16"/>
              </w:rPr>
              <w:t>ITU Emergency Telecommunications</w:t>
            </w:r>
          </w:p>
        </w:tc>
        <w:tc>
          <w:tcPr>
            <w:tcW w:type="dxa" w:w="2160"/>
            <w:vAlign w:val="center"/>
            <w:shd w:fill="F7FAFC"/>
          </w:tcPr>
          <w:p>
            <w:pPr>
              <w:spacing w:after="0" w:before="0"/>
              <w:jc w:val="left"/>
            </w:pPr>
            <w:r/>
            <w:r>
              <w:rPr>
                <w:rFonts w:ascii="Calibri" w:hAnsi="Calibri"/>
                <w:b w:val="0"/>
                <w:color w:val="232B35"/>
                <w:sz w:val="16"/>
              </w:rPr>
              <w:t>Telecomunicaciones resilientes</w:t>
            </w:r>
          </w:p>
        </w:tc>
        <w:tc>
          <w:tcPr>
            <w:tcW w:type="dxa" w:w="4896"/>
            <w:vAlign w:val="center"/>
            <w:shd w:fill="F7FAFC"/>
          </w:tcPr>
          <w:p>
            <w:pPr>
              <w:spacing w:after="0" w:before="0"/>
              <w:jc w:val="left"/>
            </w:pPr>
            <w:r/>
            <w:r>
              <w:rPr>
                <w:rFonts w:ascii="Calibri" w:hAnsi="Calibri"/>
                <w:b w:val="0"/>
                <w:color w:val="232B35"/>
                <w:sz w:val="16"/>
              </w:rPr>
              <w:t>Enfoque multiamenaza y multitecnología.</w:t>
            </w:r>
          </w:p>
        </w:tc>
      </w:tr>
      <w:tr>
        <w:tc>
          <w:tcPr>
            <w:tcW w:type="dxa" w:w="2592"/>
            <w:vAlign w:val="center"/>
          </w:tcPr>
          <w:p>
            <w:pPr>
              <w:spacing w:after="0" w:before="0"/>
              <w:jc w:val="left"/>
            </w:pPr>
            <w:r/>
            <w:r>
              <w:rPr>
                <w:rFonts w:ascii="Calibri" w:hAnsi="Calibri"/>
                <w:b w:val="0"/>
                <w:color w:val="232B35"/>
                <w:sz w:val="16"/>
              </w:rPr>
              <w:t>RFC 9171</w:t>
            </w:r>
          </w:p>
        </w:tc>
        <w:tc>
          <w:tcPr>
            <w:tcW w:type="dxa" w:w="2160"/>
            <w:vAlign w:val="center"/>
          </w:tcPr>
          <w:p>
            <w:pPr>
              <w:spacing w:after="0" w:before="0"/>
              <w:jc w:val="left"/>
            </w:pPr>
            <w:r/>
            <w:r>
              <w:rPr>
                <w:rFonts w:ascii="Calibri" w:hAnsi="Calibri"/>
                <w:b w:val="0"/>
                <w:color w:val="232B35"/>
                <w:sz w:val="16"/>
              </w:rPr>
              <w:t>DTN / Bundle Protocol v7</w:t>
            </w:r>
          </w:p>
        </w:tc>
        <w:tc>
          <w:tcPr>
            <w:tcW w:type="dxa" w:w="4896"/>
            <w:vAlign w:val="center"/>
          </w:tcPr>
          <w:p>
            <w:pPr>
              <w:spacing w:after="0" w:before="0"/>
              <w:jc w:val="left"/>
            </w:pPr>
            <w:r/>
            <w:r>
              <w:rPr>
                <w:rFonts w:ascii="Calibri" w:hAnsi="Calibri"/>
                <w:b w:val="0"/>
                <w:color w:val="232B35"/>
                <w:sz w:val="16"/>
              </w:rPr>
              <w:t>Referencia técnica para store-and-forward.</w:t>
            </w:r>
          </w:p>
        </w:tc>
      </w:tr>
    </w:tbl>
    <w:p>
      <w:pPr>
        <w:spacing w:after="20"/>
      </w:pPr>
    </w:p>
    <w:p>
      <w:pPr>
        <w:pStyle w:val="BodyAcademic"/>
        <w:jc w:val="both"/>
      </w:pPr>
      <w:r>
        <w:t>Los estándares se utilizan como referentes de diseño; el proyecto no afirma certificación ni reproduce contenido protegido de las normas.</w:t>
      </w:r>
    </w:p>
    <w:p>
      <w:pPr>
        <w:pStyle w:val="Ttulo3"/>
      </w:pPr>
      <w:r>
        <w:t>1.6.19 Roadmap evolutivo</w:t>
      </w:r>
    </w:p>
    <w:p>
      <w:pPr>
        <w:spacing w:before="80" w:after="40"/>
        <w:jc w:val="center"/>
      </w:pPr>
      <w:r>
        <w:drawing>
          <wp:inline xmlns:a="http://schemas.openxmlformats.org/drawingml/2006/main" xmlns:pic="http://schemas.openxmlformats.org/drawingml/2006/picture">
            <wp:extent cx="5715000" cy="421683"/>
            <wp:docPr id="17" name="Picture 17"/>
            <wp:cNvGraphicFramePr>
              <a:graphicFrameLocks noChangeAspect="1"/>
            </wp:cNvGraphicFramePr>
            <a:graphic>
              <a:graphicData uri="http://schemas.openxmlformats.org/drawingml/2006/picture">
                <pic:pic>
                  <pic:nvPicPr>
                    <pic:cNvPr id="0" name="15_roadmap.png"/>
                    <pic:cNvPicPr/>
                  </pic:nvPicPr>
                  <pic:blipFill>
                    <a:blip r:embed="rId33"/>
                    <a:stretch>
                      <a:fillRect/>
                    </a:stretch>
                  </pic:blipFill>
                  <pic:spPr>
                    <a:xfrm>
                      <a:off x="0" y="0"/>
                      <a:ext cx="5715000" cy="421683"/>
                    </a:xfrm>
                    <a:prstGeom prst="rect"/>
                  </pic:spPr>
                </pic:pic>
              </a:graphicData>
            </a:graphic>
          </wp:inline>
        </w:drawing>
      </w:r>
    </w:p>
    <w:p>
      <w:pPr>
        <w:pStyle w:val="CaptionAcademic"/>
        <w:jc w:val="center"/>
      </w:pPr>
      <w:r>
        <w:t>Figura 16. Evolución controlada desde el MVP académico hacia interoperabilidad institucional y escalamiento regional.</w:t>
      </w:r>
    </w:p>
    <w:p>
      <w:r>
        <w:br w:type="page"/>
      </w:r>
    </w:p>
    <w:p>
      <w:pPr>
        <w:pStyle w:val="Ttulo1"/>
      </w:pPr>
      <w:r>
        <w:t>2. METODOLOGÍA PROPUESTA</w:t>
      </w:r>
    </w:p>
    <w:p>
      <w:pPr>
        <w:pStyle w:val="Ttulo2"/>
      </w:pPr>
      <w:r>
        <w:t>2.1 Enfoque y diseño de investigación</w:t>
      </w:r>
    </w:p>
    <w:p>
      <w:pPr>
        <w:pStyle w:val="BodyAcademic"/>
        <w:jc w:val="both"/>
      </w:pPr>
      <w:r>
        <w:t>La investigación será aplicada, documental y cuantitativa sobre fuentes secundarias, complementada con análisis cualitativo documental y Design Science Research (DSR). DSR resulta adecuada porque el objetivo no es únicamente describir el fenómeno: se construye un artefacto de software, se justifican sus decisiones a partir de evidencia y se evalúa mediante experimentos reproducibles. La unidad de análisis cambia según la fase: eventos documentados, registros abiertos de desaparición, sistemas existentes, testimonios institucionales, componentes del prototipo y resultados experimentales.</w:t>
      </w:r>
    </w:p>
    <w:p>
      <w:pPr>
        <w:spacing w:before="80" w:after="40"/>
        <w:jc w:val="center"/>
      </w:pPr>
      <w:r>
        <w:drawing>
          <wp:inline xmlns:a="http://schemas.openxmlformats.org/drawingml/2006/main" xmlns:pic="http://schemas.openxmlformats.org/drawingml/2006/picture">
            <wp:extent cx="5669280" cy="504457"/>
            <wp:docPr id="18" name="Picture 18"/>
            <wp:cNvGraphicFramePr>
              <a:graphicFrameLocks noChangeAspect="1"/>
            </wp:cNvGraphicFramePr>
            <a:graphic>
              <a:graphicData uri="http://schemas.openxmlformats.org/drawingml/2006/picture">
                <pic:pic>
                  <pic:nvPicPr>
                    <pic:cNvPr id="0" name="16_metodologia_dsr.png"/>
                    <pic:cNvPicPr/>
                  </pic:nvPicPr>
                  <pic:blipFill>
                    <a:blip r:embed="rId34"/>
                    <a:stretch>
                      <a:fillRect/>
                    </a:stretch>
                  </pic:blipFill>
                  <pic:spPr>
                    <a:xfrm>
                      <a:off x="0" y="0"/>
                      <a:ext cx="5669280" cy="504457"/>
                    </a:xfrm>
                    <a:prstGeom prst="rect"/>
                  </pic:spPr>
                </pic:pic>
              </a:graphicData>
            </a:graphic>
          </wp:inline>
        </w:drawing>
      </w:r>
    </w:p>
    <w:p>
      <w:pPr>
        <w:pStyle w:val="CaptionAcademic"/>
        <w:jc w:val="center"/>
      </w:pPr>
      <w:r>
        <w:t>Figura 17. Ciclo metodológico aplicado de Design Science Research.</w:t>
      </w:r>
    </w:p>
    <w:p>
      <w:pPr>
        <w:pStyle w:val="Ttulo2"/>
      </w:pPr>
      <w:r>
        <w:t>2.2 Jerarquía de evidencia</w:t>
      </w:r>
    </w:p>
    <w:tbl>
      <w:tblPr>
        <w:tblStyle w:val="Tablaconcuadrcula"/>
        <w:tblW w:type="auto" w:w="0"/>
        <w:jc w:val="center"/>
        <w:tblLook w:firstColumn="1" w:firstRow="1" w:lastColumn="0" w:lastRow="0" w:noHBand="0" w:noVBand="1" w:val="04A0"/>
      </w:tblPr>
      <w:tblGrid>
        <w:gridCol w:w="3043"/>
        <w:gridCol w:w="3043"/>
        <w:gridCol w:w="3043"/>
      </w:tblGrid>
      <w:tr>
        <w:tc>
          <w:tcPr>
            <w:tcW w:type="dxa" w:w="1008"/>
            <w:vAlign w:val="center"/>
            <w:shd w:fill="17365D"/>
          </w:tcPr>
          <w:p>
            <w:pPr>
              <w:spacing w:after="0" w:before="0"/>
              <w:jc w:val="left"/>
            </w:pPr>
            <w:r/>
            <w:r>
              <w:rPr>
                <w:rFonts w:ascii="Calibri" w:hAnsi="Calibri"/>
                <w:b/>
                <w:color w:val="FFFFFF"/>
                <w:sz w:val="16"/>
              </w:rPr>
              <w:t>Nivel</w:t>
            </w:r>
          </w:p>
        </w:tc>
        <w:tc>
          <w:tcPr>
            <w:tcW w:type="dxa" w:w="5328"/>
            <w:vAlign w:val="center"/>
            <w:shd w:fill="17365D"/>
          </w:tcPr>
          <w:p>
            <w:pPr>
              <w:spacing w:after="0" w:before="0"/>
              <w:jc w:val="left"/>
            </w:pPr>
            <w:r/>
            <w:r>
              <w:rPr>
                <w:rFonts w:ascii="Calibri" w:hAnsi="Calibri"/>
                <w:b/>
                <w:color w:val="FFFFFF"/>
                <w:sz w:val="16"/>
              </w:rPr>
              <w:t>Fuente</w:t>
            </w:r>
          </w:p>
        </w:tc>
        <w:tc>
          <w:tcPr>
            <w:tcW w:type="dxa" w:w="3600"/>
            <w:vAlign w:val="center"/>
            <w:shd w:fill="17365D"/>
          </w:tcPr>
          <w:p>
            <w:pPr>
              <w:spacing w:after="0" w:before="0"/>
              <w:jc w:val="left"/>
            </w:pPr>
            <w:r/>
            <w:r>
              <w:rPr>
                <w:rFonts w:ascii="Calibri" w:hAnsi="Calibri"/>
                <w:b/>
                <w:color w:val="FFFFFF"/>
                <w:sz w:val="16"/>
              </w:rPr>
              <w:t>Uso</w:t>
            </w:r>
          </w:p>
        </w:tc>
      </w:tr>
      <w:tr>
        <w:tc>
          <w:tcPr>
            <w:tcW w:type="dxa" w:w="1008"/>
            <w:vAlign w:val="center"/>
          </w:tcPr>
          <w:p>
            <w:pPr>
              <w:spacing w:after="0" w:before="0"/>
              <w:jc w:val="left"/>
            </w:pPr>
            <w:r/>
            <w:r>
              <w:rPr>
                <w:rFonts w:ascii="Calibri" w:hAnsi="Calibri"/>
                <w:b w:val="0"/>
                <w:color w:val="232B35"/>
                <w:sz w:val="16"/>
              </w:rPr>
              <w:t>A</w:t>
            </w:r>
          </w:p>
        </w:tc>
        <w:tc>
          <w:tcPr>
            <w:tcW w:type="dxa" w:w="5328"/>
            <w:vAlign w:val="center"/>
          </w:tcPr>
          <w:p>
            <w:pPr>
              <w:spacing w:after="0" w:before="0"/>
              <w:jc w:val="left"/>
            </w:pPr>
            <w:r/>
            <w:r>
              <w:rPr>
                <w:rFonts w:ascii="Calibri" w:hAnsi="Calibri"/>
                <w:b w:val="0"/>
                <w:color w:val="232B35"/>
                <w:sz w:val="16"/>
              </w:rPr>
              <w:t>Fuentes primarias/institucionales: SGC, IDEAM, UNGRD, Medicina Legal, Fiscalía, ICBF, Policía, SIC, legislación, USGS, IFRC/ICRC, ITU, UNDRR.</w:t>
            </w:r>
          </w:p>
        </w:tc>
        <w:tc>
          <w:tcPr>
            <w:tcW w:type="dxa" w:w="3600"/>
            <w:vAlign w:val="center"/>
          </w:tcPr>
          <w:p>
            <w:pPr>
              <w:spacing w:after="0" w:before="0"/>
              <w:jc w:val="left"/>
            </w:pPr>
            <w:r/>
            <w:r>
              <w:rPr>
                <w:rFonts w:ascii="Calibri" w:hAnsi="Calibri"/>
                <w:b w:val="0"/>
                <w:color w:val="232B35"/>
                <w:sz w:val="16"/>
              </w:rPr>
              <w:t>Hechos, normativa, eventos y datos oficiales.</w:t>
            </w:r>
          </w:p>
        </w:tc>
      </w:tr>
      <w:tr>
        <w:tc>
          <w:tcPr>
            <w:tcW w:type="dxa" w:w="1008"/>
            <w:vAlign w:val="center"/>
            <w:shd w:fill="F7FAFC"/>
          </w:tcPr>
          <w:p>
            <w:pPr>
              <w:spacing w:after="0" w:before="0"/>
              <w:jc w:val="left"/>
            </w:pPr>
            <w:r/>
            <w:r>
              <w:rPr>
                <w:rFonts w:ascii="Calibri" w:hAnsi="Calibri"/>
                <w:b w:val="0"/>
                <w:color w:val="232B35"/>
                <w:sz w:val="16"/>
              </w:rPr>
              <w:t>B</w:t>
            </w:r>
          </w:p>
        </w:tc>
        <w:tc>
          <w:tcPr>
            <w:tcW w:type="dxa" w:w="5328"/>
            <w:vAlign w:val="center"/>
            <w:shd w:fill="F7FAFC"/>
          </w:tcPr>
          <w:p>
            <w:pPr>
              <w:spacing w:after="0" w:before="0"/>
              <w:jc w:val="left"/>
            </w:pPr>
            <w:r/>
            <w:r>
              <w:rPr>
                <w:rFonts w:ascii="Calibri" w:hAnsi="Calibri"/>
                <w:b w:val="0"/>
                <w:color w:val="232B35"/>
                <w:sz w:val="16"/>
              </w:rPr>
              <w:t>Literatura académica: IEEE, ACM, Springer, Elsevier, NIST, universidades.</w:t>
            </w:r>
          </w:p>
        </w:tc>
        <w:tc>
          <w:tcPr>
            <w:tcW w:type="dxa" w:w="3600"/>
            <w:vAlign w:val="center"/>
            <w:shd w:fill="F7FAFC"/>
          </w:tcPr>
          <w:p>
            <w:pPr>
              <w:spacing w:after="0" w:before="0"/>
              <w:jc w:val="left"/>
            </w:pPr>
            <w:r/>
            <w:r>
              <w:rPr>
                <w:rFonts w:ascii="Calibri" w:hAnsi="Calibri"/>
                <w:b w:val="0"/>
                <w:color w:val="232B35"/>
                <w:sz w:val="16"/>
              </w:rPr>
              <w:t>Estado del arte, métricas, técnicas y evaluación.</w:t>
            </w:r>
          </w:p>
        </w:tc>
      </w:tr>
      <w:tr>
        <w:tc>
          <w:tcPr>
            <w:tcW w:type="dxa" w:w="1008"/>
            <w:vAlign w:val="center"/>
          </w:tcPr>
          <w:p>
            <w:pPr>
              <w:spacing w:after="0" w:before="0"/>
              <w:jc w:val="left"/>
            </w:pPr>
            <w:r/>
            <w:r>
              <w:rPr>
                <w:rFonts w:ascii="Calibri" w:hAnsi="Calibri"/>
                <w:b w:val="0"/>
                <w:color w:val="232B35"/>
                <w:sz w:val="16"/>
              </w:rPr>
              <w:t>C</w:t>
            </w:r>
          </w:p>
        </w:tc>
        <w:tc>
          <w:tcPr>
            <w:tcW w:type="dxa" w:w="5328"/>
            <w:vAlign w:val="center"/>
          </w:tcPr>
          <w:p>
            <w:pPr>
              <w:spacing w:after="0" w:before="0"/>
              <w:jc w:val="left"/>
            </w:pPr>
            <w:r/>
            <w:r>
              <w:rPr>
                <w:rFonts w:ascii="Calibri" w:hAnsi="Calibri"/>
                <w:b w:val="0"/>
                <w:color w:val="232B35"/>
                <w:sz w:val="16"/>
              </w:rPr>
              <w:t>Periodismo profesional: Reuters, AP, BBC, DW y medios reconocidos.</w:t>
            </w:r>
          </w:p>
        </w:tc>
        <w:tc>
          <w:tcPr>
            <w:tcW w:type="dxa" w:w="3600"/>
            <w:vAlign w:val="center"/>
          </w:tcPr>
          <w:p>
            <w:pPr>
              <w:spacing w:after="0" w:before="0"/>
              <w:jc w:val="left"/>
            </w:pPr>
            <w:r/>
            <w:r>
              <w:rPr>
                <w:rFonts w:ascii="Calibri" w:hAnsi="Calibri"/>
                <w:b w:val="0"/>
                <w:color w:val="232B35"/>
                <w:sz w:val="16"/>
              </w:rPr>
              <w:t>Contexto/testimonios cuando no sustituya fuente primaria.</w:t>
            </w:r>
          </w:p>
        </w:tc>
      </w:tr>
      <w:tr>
        <w:tc>
          <w:tcPr>
            <w:tcW w:type="dxa" w:w="1008"/>
            <w:vAlign w:val="center"/>
            <w:shd w:fill="F7FAFC"/>
          </w:tcPr>
          <w:p>
            <w:pPr>
              <w:spacing w:after="0" w:before="0"/>
              <w:jc w:val="left"/>
            </w:pPr>
            <w:r/>
            <w:r>
              <w:rPr>
                <w:rFonts w:ascii="Calibri" w:hAnsi="Calibri"/>
                <w:b w:val="0"/>
                <w:color w:val="232B35"/>
                <w:sz w:val="16"/>
              </w:rPr>
              <w:t>D</w:t>
            </w:r>
          </w:p>
        </w:tc>
        <w:tc>
          <w:tcPr>
            <w:tcW w:type="dxa" w:w="5328"/>
            <w:vAlign w:val="center"/>
            <w:shd w:fill="F7FAFC"/>
          </w:tcPr>
          <w:p>
            <w:pPr>
              <w:spacing w:after="0" w:before="0"/>
              <w:jc w:val="left"/>
            </w:pPr>
            <w:r/>
            <w:r>
              <w:rPr>
                <w:rFonts w:ascii="Calibri" w:hAnsi="Calibri"/>
                <w:b w:val="0"/>
                <w:color w:val="232B35"/>
                <w:sz w:val="16"/>
              </w:rPr>
              <w:t>Documentales y entrevistas institucionales.</w:t>
            </w:r>
          </w:p>
        </w:tc>
        <w:tc>
          <w:tcPr>
            <w:tcW w:type="dxa" w:w="3600"/>
            <w:vAlign w:val="center"/>
            <w:shd w:fill="F7FAFC"/>
          </w:tcPr>
          <w:p>
            <w:pPr>
              <w:spacing w:after="0" w:before="0"/>
              <w:jc w:val="left"/>
            </w:pPr>
            <w:r/>
            <w:r>
              <w:rPr>
                <w:rFonts w:ascii="Calibri" w:hAnsi="Calibri"/>
                <w:b w:val="0"/>
                <w:color w:val="232B35"/>
                <w:sz w:val="16"/>
              </w:rPr>
              <w:t>Análisis cualitativo secundario; no inferencia estadística.</w:t>
            </w:r>
          </w:p>
        </w:tc>
      </w:tr>
      <w:tr>
        <w:tc>
          <w:tcPr>
            <w:tcW w:type="dxa" w:w="1008"/>
            <w:vAlign w:val="center"/>
          </w:tcPr>
          <w:p>
            <w:pPr>
              <w:spacing w:after="0" w:before="0"/>
              <w:jc w:val="left"/>
            </w:pPr>
            <w:r/>
            <w:r>
              <w:rPr>
                <w:rFonts w:ascii="Calibri" w:hAnsi="Calibri"/>
                <w:b w:val="0"/>
                <w:color w:val="232B35"/>
                <w:sz w:val="16"/>
              </w:rPr>
              <w:t>Excluido</w:t>
            </w:r>
          </w:p>
        </w:tc>
        <w:tc>
          <w:tcPr>
            <w:tcW w:type="dxa" w:w="5328"/>
            <w:vAlign w:val="center"/>
          </w:tcPr>
          <w:p>
            <w:pPr>
              <w:spacing w:after="0" w:before="0"/>
              <w:jc w:val="left"/>
            </w:pPr>
            <w:r/>
            <w:r>
              <w:rPr>
                <w:rFonts w:ascii="Calibri" w:hAnsi="Calibri"/>
                <w:b w:val="0"/>
                <w:color w:val="232B35"/>
                <w:sz w:val="16"/>
              </w:rPr>
              <w:t>Cadenas, publicaciones anónimas y blogs sin fuentes.</w:t>
            </w:r>
          </w:p>
        </w:tc>
        <w:tc>
          <w:tcPr>
            <w:tcW w:type="dxa" w:w="3600"/>
            <w:vAlign w:val="center"/>
          </w:tcPr>
          <w:p>
            <w:pPr>
              <w:spacing w:after="0" w:before="0"/>
              <w:jc w:val="left"/>
            </w:pPr>
            <w:r/>
            <w:r>
              <w:rPr>
                <w:rFonts w:ascii="Calibri" w:hAnsi="Calibri"/>
                <w:b w:val="0"/>
                <w:color w:val="232B35"/>
                <w:sz w:val="16"/>
              </w:rPr>
              <w:t>Pueden estudiarse como fenómeno de difusión, no como evidencia factual central.</w:t>
            </w:r>
          </w:p>
        </w:tc>
      </w:tr>
    </w:tbl>
    <w:p>
      <w:pPr>
        <w:spacing w:after="20"/>
      </w:pPr>
    </w:p>
    <w:p>
      <w:pPr>
        <w:pStyle w:val="Ttulo2"/>
      </w:pPr>
      <w:r>
        <w:t>2.3 Protocolo de revisión del estado del arte</w:t>
      </w:r>
    </w:p>
    <w:p>
      <w:pPr>
        <w:pStyle w:val="BodyAcademic"/>
        <w:jc w:val="both"/>
      </w:pPr>
      <w:r>
        <w:t>La revisión sistemática especializada en disaster mesh, DTN, opportunistic networking, mobile emergency systems y energy-aware location sampling se ejecutará durante la fase de desarrollo. Se incluirán únicamente referencias con metadatos y publicación verificables. La ventana principal será 2020–2026, admitiendo trabajos fundacionales anteriores cuando sean necesarios.</w:t>
      </w:r>
    </w:p>
    <w:p>
      <w:pPr>
        <w:pStyle w:val="BodyAcademic"/>
        <w:ind w:left="288" w:hanging="216"/>
      </w:pPr>
      <w:r>
        <w:rPr>
          <w:b/>
        </w:rPr>
        <w:t xml:space="preserve">• </w:t>
      </w:r>
      <w:r>
        <w:t>("disaster" OR "emergency") AND ("delay tolerant network" OR "opportunistic network" OR "mesh") AND ("smartphone" OR "mobile")</w:t>
      </w:r>
    </w:p>
    <w:p>
      <w:pPr>
        <w:pStyle w:val="BodyAcademic"/>
        <w:ind w:left="288" w:hanging="216"/>
      </w:pPr>
      <w:r>
        <w:rPr>
          <w:b/>
        </w:rPr>
        <w:t xml:space="preserve">• </w:t>
      </w:r>
      <w:r>
        <w:t>("emergency communication") AND ("Bluetooth" OR "Wi-Fi Direct" OR "peer-to-peer") AND (disaster OR earthquake)</w:t>
      </w:r>
    </w:p>
    <w:p>
      <w:pPr>
        <w:pStyle w:val="BodyAcademic"/>
        <w:ind w:left="288" w:hanging="216"/>
      </w:pPr>
      <w:r>
        <w:rPr>
          <w:b/>
        </w:rPr>
        <w:t xml:space="preserve">• </w:t>
      </w:r>
      <w:r>
        <w:t>("location sampling" OR "GPS sampling") AND ("energy" OR "battery") AND smartphone</w:t>
      </w:r>
    </w:p>
    <w:p>
      <w:pPr>
        <w:pStyle w:val="BodyAcademic"/>
        <w:ind w:left="288" w:hanging="216"/>
      </w:pPr>
      <w:r>
        <w:rPr>
          <w:b/>
        </w:rPr>
        <w:t xml:space="preserve">• </w:t>
      </w:r>
      <w:r>
        <w:t>("store-and-forward") AND (emergency OR disaster) AND mobile</w:t>
      </w:r>
    </w:p>
    <w:p>
      <w:pPr>
        <w:pStyle w:val="BodyAcademic"/>
        <w:jc w:val="both"/>
      </w:pPr>
      <w:r>
        <w:t>Bases objetivo: IEEE Xplore y ACM Digital Library, complementadas con Springer/Elsevier/Scopus o Google Scholar según acceso institucional. Criterios de inclusión: peer reviewed, relación con móvil/edge, metodología identificable y métricas o arquitectura relevante. Se extraerán autor, año, plataforma, canal, escenario, técnica, batería, latencia, restricciones, métricas y amenazas a validez.</w:t>
      </w:r>
    </w:p>
    <w:p>
      <w:pPr>
        <w:pStyle w:val="Ttulo2"/>
      </w:pPr>
      <w:r>
        <w:t>2.4 Análisis cuantitativo SIRDEC y NNA</w:t>
      </w:r>
    </w:p>
    <w:p>
      <w:pPr>
        <w:pStyle w:val="BodyAcademic"/>
        <w:jc w:val="both"/>
      </w:pPr>
      <w:r>
        <w:t>El conjunto “Desaparecidos en Colombia – Histórico junio de 2026” [12] se descargará como snapshot reproducible. Se conservarán archivo original, URL, fecha, versión y SHA-256; el diccionario de variables se congelará antes de limpiar. Las cohortes mínimas serán año, territorio, sexo, NNA/adulto y estado: apareció vivo, apareció muerto o continúa desaparecido. Si existen fechas confiables de desaparición y localización, se calcularán mediana, P90 y proporciones 24/72 h; si no existen, se documentará la limitación y no se fabricarán tiempos restando fechas administrativas no equivalentes.</w:t>
      </w:r>
    </w:p>
    <w:tbl>
      <w:tblPr>
        <w:tblStyle w:val="Tablaconcuadrcula"/>
        <w:tblW w:type="auto" w:w="0"/>
        <w:jc w:val="center"/>
        <w:tblLook w:firstColumn="1" w:firstRow="1" w:lastColumn="0" w:lastRow="0" w:noHBand="0" w:noVBand="1" w:val="04A0"/>
      </w:tblPr>
      <w:tblGrid>
        <w:gridCol w:w="3043"/>
        <w:gridCol w:w="3043"/>
        <w:gridCol w:w="3043"/>
      </w:tblGrid>
      <w:tr>
        <w:tc>
          <w:tcPr>
            <w:tcW w:type="dxa" w:w="1584"/>
            <w:vAlign w:val="center"/>
            <w:shd w:fill="17365D"/>
          </w:tcPr>
          <w:p>
            <w:pPr>
              <w:spacing w:after="0" w:before="0"/>
              <w:jc w:val="left"/>
            </w:pPr>
            <w:r/>
            <w:r>
              <w:rPr>
                <w:rFonts w:ascii="Calibri" w:hAnsi="Calibri"/>
                <w:b/>
                <w:color w:val="FFFFFF"/>
                <w:sz w:val="16"/>
              </w:rPr>
              <w:t>Etapa</w:t>
            </w:r>
          </w:p>
        </w:tc>
        <w:tc>
          <w:tcPr>
            <w:tcW w:type="dxa" w:w="4608"/>
            <w:vAlign w:val="center"/>
            <w:shd w:fill="17365D"/>
          </w:tcPr>
          <w:p>
            <w:pPr>
              <w:spacing w:after="0" w:before="0"/>
              <w:jc w:val="left"/>
            </w:pPr>
            <w:r/>
            <w:r>
              <w:rPr>
                <w:rFonts w:ascii="Calibri" w:hAnsi="Calibri"/>
                <w:b/>
                <w:color w:val="FFFFFF"/>
                <w:sz w:val="16"/>
              </w:rPr>
              <w:t>Procedimiento</w:t>
            </w:r>
          </w:p>
        </w:tc>
        <w:tc>
          <w:tcPr>
            <w:tcW w:type="dxa" w:w="3744"/>
            <w:vAlign w:val="center"/>
            <w:shd w:fill="17365D"/>
          </w:tcPr>
          <w:p>
            <w:pPr>
              <w:spacing w:after="0" w:before="0"/>
              <w:jc w:val="left"/>
            </w:pPr>
            <w:r/>
            <w:r>
              <w:rPr>
                <w:rFonts w:ascii="Calibri" w:hAnsi="Calibri"/>
                <w:b/>
                <w:color w:val="FFFFFF"/>
                <w:sz w:val="16"/>
              </w:rPr>
              <w:t>Control metodológico</w:t>
            </w:r>
          </w:p>
        </w:tc>
      </w:tr>
      <w:tr>
        <w:tc>
          <w:tcPr>
            <w:tcW w:type="dxa" w:w="1584"/>
            <w:vAlign w:val="center"/>
          </w:tcPr>
          <w:p>
            <w:pPr>
              <w:spacing w:after="0" w:before="0"/>
              <w:jc w:val="left"/>
            </w:pPr>
            <w:r/>
            <w:r>
              <w:rPr>
                <w:rFonts w:ascii="Calibri" w:hAnsi="Calibri"/>
                <w:b w:val="0"/>
                <w:color w:val="232B35"/>
                <w:sz w:val="16"/>
              </w:rPr>
              <w:t>Ingesta</w:t>
            </w:r>
          </w:p>
        </w:tc>
        <w:tc>
          <w:tcPr>
            <w:tcW w:type="dxa" w:w="4608"/>
            <w:vAlign w:val="center"/>
          </w:tcPr>
          <w:p>
            <w:pPr>
              <w:spacing w:after="0" w:before="0"/>
              <w:jc w:val="left"/>
            </w:pPr>
            <w:r/>
            <w:r>
              <w:rPr>
                <w:rFonts w:ascii="Calibri" w:hAnsi="Calibri"/>
                <w:b w:val="0"/>
                <w:color w:val="232B35"/>
                <w:sz w:val="16"/>
              </w:rPr>
              <w:t>Descargar CSV/SODA y conservar raw.</w:t>
            </w:r>
          </w:p>
        </w:tc>
        <w:tc>
          <w:tcPr>
            <w:tcW w:type="dxa" w:w="3744"/>
            <w:vAlign w:val="center"/>
          </w:tcPr>
          <w:p>
            <w:pPr>
              <w:spacing w:after="0" w:before="0"/>
              <w:jc w:val="left"/>
            </w:pPr>
            <w:r/>
            <w:r>
              <w:rPr>
                <w:rFonts w:ascii="Calibri" w:hAnsi="Calibri"/>
                <w:b w:val="0"/>
                <w:color w:val="232B35"/>
                <w:sz w:val="16"/>
              </w:rPr>
              <w:t>Fecha, URL, hash, versión.</w:t>
            </w:r>
          </w:p>
        </w:tc>
      </w:tr>
      <w:tr>
        <w:tc>
          <w:tcPr>
            <w:tcW w:type="dxa" w:w="1584"/>
            <w:vAlign w:val="center"/>
            <w:shd w:fill="F7FAFC"/>
          </w:tcPr>
          <w:p>
            <w:pPr>
              <w:spacing w:after="0" w:before="0"/>
              <w:jc w:val="left"/>
            </w:pPr>
            <w:r/>
            <w:r>
              <w:rPr>
                <w:rFonts w:ascii="Calibri" w:hAnsi="Calibri"/>
                <w:b w:val="0"/>
                <w:color w:val="232B35"/>
                <w:sz w:val="16"/>
              </w:rPr>
              <w:t>Diccionario</w:t>
            </w:r>
          </w:p>
        </w:tc>
        <w:tc>
          <w:tcPr>
            <w:tcW w:type="dxa" w:w="4608"/>
            <w:vAlign w:val="center"/>
            <w:shd w:fill="F7FAFC"/>
          </w:tcPr>
          <w:p>
            <w:pPr>
              <w:spacing w:after="0" w:before="0"/>
              <w:jc w:val="left"/>
            </w:pPr>
            <w:r/>
            <w:r>
              <w:rPr>
                <w:rFonts w:ascii="Calibri" w:hAnsi="Calibri"/>
                <w:b w:val="0"/>
                <w:color w:val="232B35"/>
                <w:sz w:val="16"/>
              </w:rPr>
              <w:t>Congelar nombres, tipos y categorías.</w:t>
            </w:r>
          </w:p>
        </w:tc>
        <w:tc>
          <w:tcPr>
            <w:tcW w:type="dxa" w:w="3744"/>
            <w:vAlign w:val="center"/>
            <w:shd w:fill="F7FAFC"/>
          </w:tcPr>
          <w:p>
            <w:pPr>
              <w:spacing w:after="0" w:before="0"/>
              <w:jc w:val="left"/>
            </w:pPr>
            <w:r/>
            <w:r>
              <w:rPr>
                <w:rFonts w:ascii="Calibri" w:hAnsi="Calibri"/>
                <w:b w:val="0"/>
                <w:color w:val="232B35"/>
                <w:sz w:val="16"/>
              </w:rPr>
              <w:t>No inferir semántica por nombre.</w:t>
            </w:r>
          </w:p>
        </w:tc>
      </w:tr>
      <w:tr>
        <w:tc>
          <w:tcPr>
            <w:tcW w:type="dxa" w:w="1584"/>
            <w:vAlign w:val="center"/>
          </w:tcPr>
          <w:p>
            <w:pPr>
              <w:spacing w:after="0" w:before="0"/>
              <w:jc w:val="left"/>
            </w:pPr>
            <w:r/>
            <w:r>
              <w:rPr>
                <w:rFonts w:ascii="Calibri" w:hAnsi="Calibri"/>
                <w:b w:val="0"/>
                <w:color w:val="232B35"/>
                <w:sz w:val="16"/>
              </w:rPr>
              <w:t>Limpieza</w:t>
            </w:r>
          </w:p>
        </w:tc>
        <w:tc>
          <w:tcPr>
            <w:tcW w:type="dxa" w:w="4608"/>
            <w:vAlign w:val="center"/>
          </w:tcPr>
          <w:p>
            <w:pPr>
              <w:spacing w:after="0" w:before="0"/>
              <w:jc w:val="left"/>
            </w:pPr>
            <w:r/>
            <w:r>
              <w:rPr>
                <w:rFonts w:ascii="Calibri" w:hAnsi="Calibri"/>
                <w:b w:val="0"/>
                <w:color w:val="232B35"/>
                <w:sz w:val="16"/>
              </w:rPr>
              <w:t>Normalizar fechas/categorías y nulos.</w:t>
            </w:r>
          </w:p>
        </w:tc>
        <w:tc>
          <w:tcPr>
            <w:tcW w:type="dxa" w:w="3744"/>
            <w:vAlign w:val="center"/>
          </w:tcPr>
          <w:p>
            <w:pPr>
              <w:spacing w:after="0" w:before="0"/>
              <w:jc w:val="left"/>
            </w:pPr>
            <w:r/>
            <w:r>
              <w:rPr>
                <w:rFonts w:ascii="Calibri" w:hAnsi="Calibri"/>
                <w:b w:val="0"/>
                <w:color w:val="232B35"/>
                <w:sz w:val="16"/>
              </w:rPr>
              <w:t>No modificar el raw.</w:t>
            </w:r>
          </w:p>
        </w:tc>
      </w:tr>
      <w:tr>
        <w:tc>
          <w:tcPr>
            <w:tcW w:type="dxa" w:w="1584"/>
            <w:vAlign w:val="center"/>
            <w:shd w:fill="F7FAFC"/>
          </w:tcPr>
          <w:p>
            <w:pPr>
              <w:spacing w:after="0" w:before="0"/>
              <w:jc w:val="left"/>
            </w:pPr>
            <w:r/>
            <w:r>
              <w:rPr>
                <w:rFonts w:ascii="Calibri" w:hAnsi="Calibri"/>
                <w:b w:val="0"/>
                <w:color w:val="232B35"/>
                <w:sz w:val="16"/>
              </w:rPr>
              <w:t>Cohortes</w:t>
            </w:r>
          </w:p>
        </w:tc>
        <w:tc>
          <w:tcPr>
            <w:tcW w:type="dxa" w:w="4608"/>
            <w:vAlign w:val="center"/>
            <w:shd w:fill="F7FAFC"/>
          </w:tcPr>
          <w:p>
            <w:pPr>
              <w:spacing w:after="0" w:before="0"/>
              <w:jc w:val="left"/>
            </w:pPr>
            <w:r/>
            <w:r>
              <w:rPr>
                <w:rFonts w:ascii="Calibri" w:hAnsi="Calibri"/>
                <w:b w:val="0"/>
                <w:color w:val="232B35"/>
                <w:sz w:val="16"/>
              </w:rPr>
              <w:t>Año, territorio, sexo, NNA/adulto.</w:t>
            </w:r>
          </w:p>
        </w:tc>
        <w:tc>
          <w:tcPr>
            <w:tcW w:type="dxa" w:w="3744"/>
            <w:vAlign w:val="center"/>
            <w:shd w:fill="F7FAFC"/>
          </w:tcPr>
          <w:p>
            <w:pPr>
              <w:spacing w:after="0" w:before="0"/>
              <w:jc w:val="left"/>
            </w:pPr>
            <w:r/>
            <w:r>
              <w:rPr>
                <w:rFonts w:ascii="Calibri" w:hAnsi="Calibri"/>
                <w:b w:val="0"/>
                <w:color w:val="232B35"/>
                <w:sz w:val="16"/>
              </w:rPr>
              <w:t>Distinguir fecha de evento y reporte.</w:t>
            </w:r>
          </w:p>
        </w:tc>
      </w:tr>
      <w:tr>
        <w:tc>
          <w:tcPr>
            <w:tcW w:type="dxa" w:w="1584"/>
            <w:vAlign w:val="center"/>
          </w:tcPr>
          <w:p>
            <w:pPr>
              <w:spacing w:after="0" w:before="0"/>
              <w:jc w:val="left"/>
            </w:pPr>
            <w:r/>
            <w:r>
              <w:rPr>
                <w:rFonts w:ascii="Calibri" w:hAnsi="Calibri"/>
                <w:b w:val="0"/>
                <w:color w:val="232B35"/>
                <w:sz w:val="16"/>
              </w:rPr>
              <w:t>Estado</w:t>
            </w:r>
          </w:p>
        </w:tc>
        <w:tc>
          <w:tcPr>
            <w:tcW w:type="dxa" w:w="4608"/>
            <w:vAlign w:val="center"/>
          </w:tcPr>
          <w:p>
            <w:pPr>
              <w:spacing w:after="0" w:before="0"/>
              <w:jc w:val="left"/>
            </w:pPr>
            <w:r/>
            <w:r>
              <w:rPr>
                <w:rFonts w:ascii="Calibri" w:hAnsi="Calibri"/>
                <w:b w:val="0"/>
                <w:color w:val="232B35"/>
                <w:sz w:val="16"/>
              </w:rPr>
              <w:t>Vivo / muerto / continúa desaparecido.</w:t>
            </w:r>
          </w:p>
        </w:tc>
        <w:tc>
          <w:tcPr>
            <w:tcW w:type="dxa" w:w="3744"/>
            <w:vAlign w:val="center"/>
          </w:tcPr>
          <w:p>
            <w:pPr>
              <w:spacing w:after="0" w:before="0"/>
              <w:jc w:val="left"/>
            </w:pPr>
            <w:r/>
            <w:r>
              <w:rPr>
                <w:rFonts w:ascii="Calibri" w:hAnsi="Calibri"/>
                <w:b w:val="0"/>
                <w:color w:val="232B35"/>
                <w:sz w:val="16"/>
              </w:rPr>
              <w:t>Mantener categorías oficiales.</w:t>
            </w:r>
          </w:p>
        </w:tc>
      </w:tr>
      <w:tr>
        <w:tc>
          <w:tcPr>
            <w:tcW w:type="dxa" w:w="1584"/>
            <w:vAlign w:val="center"/>
            <w:shd w:fill="F7FAFC"/>
          </w:tcPr>
          <w:p>
            <w:pPr>
              <w:spacing w:after="0" w:before="0"/>
              <w:jc w:val="left"/>
            </w:pPr>
            <w:r/>
            <w:r>
              <w:rPr>
                <w:rFonts w:ascii="Calibri" w:hAnsi="Calibri"/>
                <w:b w:val="0"/>
                <w:color w:val="232B35"/>
                <w:sz w:val="16"/>
              </w:rPr>
              <w:t>Tiempo</w:t>
            </w:r>
          </w:p>
        </w:tc>
        <w:tc>
          <w:tcPr>
            <w:tcW w:type="dxa" w:w="4608"/>
            <w:vAlign w:val="center"/>
            <w:shd w:fill="F7FAFC"/>
          </w:tcPr>
          <w:p>
            <w:pPr>
              <w:spacing w:after="0" w:before="0"/>
              <w:jc w:val="left"/>
            </w:pPr>
            <w:r/>
            <w:r>
              <w:rPr>
                <w:rFonts w:ascii="Calibri" w:hAnsi="Calibri"/>
                <w:b w:val="0"/>
                <w:color w:val="232B35"/>
                <w:sz w:val="16"/>
              </w:rPr>
              <w:t>Calcular solo si existen fechas confiables.</w:t>
            </w:r>
          </w:p>
        </w:tc>
        <w:tc>
          <w:tcPr>
            <w:tcW w:type="dxa" w:w="3744"/>
            <w:vAlign w:val="center"/>
            <w:shd w:fill="F7FAFC"/>
          </w:tcPr>
          <w:p>
            <w:pPr>
              <w:spacing w:after="0" w:before="0"/>
              <w:jc w:val="left"/>
            </w:pPr>
            <w:r/>
            <w:r>
              <w:rPr>
                <w:rFonts w:ascii="Calibri" w:hAnsi="Calibri"/>
                <w:b w:val="0"/>
                <w:color w:val="232B35"/>
                <w:sz w:val="16"/>
              </w:rPr>
              <w:t>Casos abiertos se tratan como censura.</w:t>
            </w:r>
          </w:p>
        </w:tc>
      </w:tr>
      <w:tr>
        <w:tc>
          <w:tcPr>
            <w:tcW w:type="dxa" w:w="1584"/>
            <w:vAlign w:val="center"/>
          </w:tcPr>
          <w:p>
            <w:pPr>
              <w:spacing w:after="0" w:before="0"/>
              <w:jc w:val="left"/>
            </w:pPr>
            <w:r/>
            <w:r>
              <w:rPr>
                <w:rFonts w:ascii="Calibri" w:hAnsi="Calibri"/>
                <w:b w:val="0"/>
                <w:color w:val="232B35"/>
                <w:sz w:val="16"/>
              </w:rPr>
              <w:t>Privacidad</w:t>
            </w:r>
          </w:p>
        </w:tc>
        <w:tc>
          <w:tcPr>
            <w:tcW w:type="dxa" w:w="4608"/>
            <w:vAlign w:val="center"/>
          </w:tcPr>
          <w:p>
            <w:pPr>
              <w:spacing w:after="0" w:before="0"/>
              <w:jc w:val="left"/>
            </w:pPr>
            <w:r/>
            <w:r>
              <w:rPr>
                <w:rFonts w:ascii="Calibri" w:hAnsi="Calibri"/>
                <w:b w:val="0"/>
                <w:color w:val="232B35"/>
                <w:sz w:val="16"/>
              </w:rPr>
              <w:t>Publicar solo agregados.</w:t>
            </w:r>
          </w:p>
        </w:tc>
        <w:tc>
          <w:tcPr>
            <w:tcW w:type="dxa" w:w="3744"/>
            <w:vAlign w:val="center"/>
          </w:tcPr>
          <w:p>
            <w:pPr>
              <w:spacing w:after="0" w:before="0"/>
              <w:jc w:val="left"/>
            </w:pPr>
            <w:r/>
            <w:r>
              <w:rPr>
                <w:rFonts w:ascii="Calibri" w:hAnsi="Calibri"/>
                <w:b w:val="0"/>
                <w:color w:val="232B35"/>
                <w:sz w:val="16"/>
              </w:rPr>
              <w:t>Evitar reidentificación/celdas pequeñas.</w:t>
            </w:r>
          </w:p>
        </w:tc>
      </w:tr>
    </w:tbl>
    <w:p>
      <w:pPr>
        <w:spacing w:after="20"/>
      </w:pPr>
    </w:p>
    <w:p>
      <w:pPr>
        <w:pStyle w:val="Ttulo2"/>
      </w:pPr>
      <w:r>
        <w:t>2.5 Análisis cualitativo secundario</w:t>
      </w:r>
    </w:p>
    <w:p>
      <w:pPr>
        <w:pStyle w:val="BodyAcademic"/>
        <w:jc w:val="both"/>
      </w:pPr>
      <w:r>
        <w:t>Dado el plazo de cuatro meses, no se realizarán entrevistas propias a familiares de desaparecidos ni a menores. Se analizarán testimonios, documentales y reportes de SGC, UNGRD, IFRC/ICRC, Medicina Legal, Fiscalía, organismos de socorro, universidades y periodismo de alta calidad. Cada fragmento se codificará por momento, problema, información disponible, información ausente, canal, actor, resultado y oportunidad tecnológica. Los testimonios no se presentarán como estadística representativa.</w:t>
      </w:r>
    </w:p>
    <w:p>
      <w:pPr>
        <w:pStyle w:val="Ttulo2"/>
      </w:pPr>
      <w:r>
        <w:t>2.6 Ingeniería de requisitos y trazabilidad</w:t>
      </w:r>
    </w:p>
    <w:p>
      <w:pPr>
        <w:pStyle w:val="BodyAcademic"/>
        <w:jc w:val="both"/>
      </w:pPr>
      <w:r>
        <w:t>Los requisitos se derivarán de evidencia, riesgo o regla normativa y se conectarán con componente y prueba. Esto evita que el diseño se defina únicamente por intuición.</w:t>
      </w:r>
    </w:p>
    <w:tbl>
      <w:tblPr>
        <w:tblStyle w:val="Tablaconcuadrcula"/>
        <w:tblW w:type="auto" w:w="0"/>
        <w:jc w:val="center"/>
        <w:tblLook w:firstColumn="1" w:firstRow="1" w:lastColumn="0" w:lastRow="0" w:noHBand="0" w:noVBand="1" w:val="04A0"/>
      </w:tblPr>
      <w:tblGrid>
        <w:gridCol w:w="2282"/>
        <w:gridCol w:w="2282"/>
        <w:gridCol w:w="2282"/>
        <w:gridCol w:w="2282"/>
      </w:tblGrid>
      <w:tr>
        <w:tc>
          <w:tcPr>
            <w:tcW w:type="dxa" w:w="2232"/>
            <w:vAlign w:val="center"/>
            <w:shd w:fill="17365D"/>
          </w:tcPr>
          <w:p>
            <w:pPr>
              <w:spacing w:after="0" w:before="0"/>
              <w:jc w:val="left"/>
            </w:pPr>
            <w:r/>
            <w:r>
              <w:rPr>
                <w:rFonts w:ascii="Calibri" w:hAnsi="Calibri"/>
                <w:b/>
                <w:color w:val="FFFFFF"/>
                <w:sz w:val="16"/>
              </w:rPr>
              <w:t>Evidencia</w:t>
            </w:r>
          </w:p>
        </w:tc>
        <w:tc>
          <w:tcPr>
            <w:tcW w:type="dxa" w:w="2952"/>
            <w:vAlign w:val="center"/>
            <w:shd w:fill="17365D"/>
          </w:tcPr>
          <w:p>
            <w:pPr>
              <w:spacing w:after="0" w:before="0"/>
              <w:jc w:val="left"/>
            </w:pPr>
            <w:r/>
            <w:r>
              <w:rPr>
                <w:rFonts w:ascii="Calibri" w:hAnsi="Calibri"/>
                <w:b/>
                <w:color w:val="FFFFFF"/>
                <w:sz w:val="16"/>
              </w:rPr>
              <w:t>Requisito</w:t>
            </w:r>
          </w:p>
        </w:tc>
        <w:tc>
          <w:tcPr>
            <w:tcW w:type="dxa" w:w="2736"/>
            <w:vAlign w:val="center"/>
            <w:shd w:fill="17365D"/>
          </w:tcPr>
          <w:p>
            <w:pPr>
              <w:spacing w:after="0" w:before="0"/>
              <w:jc w:val="left"/>
            </w:pPr>
            <w:r/>
            <w:r>
              <w:rPr>
                <w:rFonts w:ascii="Calibri" w:hAnsi="Calibri"/>
                <w:b/>
                <w:color w:val="FFFFFF"/>
                <w:sz w:val="16"/>
              </w:rPr>
              <w:t>Componente</w:t>
            </w:r>
          </w:p>
        </w:tc>
        <w:tc>
          <w:tcPr>
            <w:tcW w:type="dxa" w:w="1728"/>
            <w:vAlign w:val="center"/>
            <w:shd w:fill="17365D"/>
          </w:tcPr>
          <w:p>
            <w:pPr>
              <w:spacing w:after="0" w:before="0"/>
              <w:jc w:val="left"/>
            </w:pPr>
            <w:r/>
            <w:r>
              <w:rPr>
                <w:rFonts w:ascii="Calibri" w:hAnsi="Calibri"/>
                <w:b/>
                <w:color w:val="FFFFFF"/>
                <w:sz w:val="16"/>
              </w:rPr>
              <w:t>Prueba</w:t>
            </w:r>
          </w:p>
        </w:tc>
      </w:tr>
      <w:tr>
        <w:tc>
          <w:tcPr>
            <w:tcW w:type="dxa" w:w="2232"/>
            <w:vAlign w:val="center"/>
          </w:tcPr>
          <w:p>
            <w:pPr>
              <w:spacing w:after="0" w:before="0"/>
              <w:jc w:val="left"/>
            </w:pPr>
            <w:r/>
            <w:r>
              <w:rPr>
                <w:rFonts w:ascii="Calibri" w:hAnsi="Calibri"/>
                <w:b w:val="0"/>
                <w:color w:val="232B35"/>
                <w:sz w:val="16"/>
              </w:rPr>
              <w:t>Caso Venezuela 2026</w:t>
            </w:r>
          </w:p>
        </w:tc>
        <w:tc>
          <w:tcPr>
            <w:tcW w:type="dxa" w:w="2952"/>
            <w:vAlign w:val="center"/>
          </w:tcPr>
          <w:p>
            <w:pPr>
              <w:spacing w:after="0" w:before="0"/>
              <w:jc w:val="left"/>
            </w:pPr>
            <w:r/>
            <w:r>
              <w:rPr>
                <w:rFonts w:ascii="Calibri" w:hAnsi="Calibri"/>
                <w:b w:val="0"/>
                <w:color w:val="232B35"/>
                <w:sz w:val="16"/>
              </w:rPr>
              <w:t>RF-MC-01 Fallback multicanal</w:t>
            </w:r>
          </w:p>
        </w:tc>
        <w:tc>
          <w:tcPr>
            <w:tcW w:type="dxa" w:w="2736"/>
            <w:vAlign w:val="center"/>
          </w:tcPr>
          <w:p>
            <w:pPr>
              <w:spacing w:after="0" w:before="0"/>
              <w:jc w:val="left"/>
            </w:pPr>
            <w:r/>
            <w:r>
              <w:rPr>
                <w:rFonts w:ascii="Calibri" w:hAnsi="Calibri"/>
                <w:b w:val="0"/>
                <w:color w:val="232B35"/>
                <w:sz w:val="16"/>
              </w:rPr>
              <w:t>Alert Orchestrator</w:t>
            </w:r>
          </w:p>
        </w:tc>
        <w:tc>
          <w:tcPr>
            <w:tcW w:type="dxa" w:w="1728"/>
            <w:vAlign w:val="center"/>
          </w:tcPr>
          <w:p>
            <w:pPr>
              <w:spacing w:after="0" w:before="0"/>
              <w:jc w:val="left"/>
            </w:pPr>
            <w:r/>
            <w:r>
              <w:rPr>
                <w:rFonts w:ascii="Calibri" w:hAnsi="Calibri"/>
                <w:b w:val="0"/>
                <w:color w:val="232B35"/>
                <w:sz w:val="16"/>
              </w:rPr>
              <w:t>E07/E08</w:t>
            </w:r>
          </w:p>
        </w:tc>
      </w:tr>
      <w:tr>
        <w:tc>
          <w:tcPr>
            <w:tcW w:type="dxa" w:w="2232"/>
            <w:vAlign w:val="center"/>
            <w:shd w:fill="F7FAFC"/>
          </w:tcPr>
          <w:p>
            <w:pPr>
              <w:spacing w:after="0" w:before="0"/>
              <w:jc w:val="left"/>
            </w:pPr>
            <w:r/>
            <w:r>
              <w:rPr>
                <w:rFonts w:ascii="Calibri" w:hAnsi="Calibri"/>
                <w:b w:val="0"/>
                <w:color w:val="232B35"/>
                <w:sz w:val="16"/>
              </w:rPr>
              <w:t>Apple/Google Check In</w:t>
            </w:r>
          </w:p>
        </w:tc>
        <w:tc>
          <w:tcPr>
            <w:tcW w:type="dxa" w:w="2952"/>
            <w:vAlign w:val="center"/>
            <w:shd w:fill="F7FAFC"/>
          </w:tcPr>
          <w:p>
            <w:pPr>
              <w:spacing w:after="0" w:before="0"/>
              <w:jc w:val="left"/>
            </w:pPr>
            <w:r/>
            <w:r>
              <w:rPr>
                <w:rFonts w:ascii="Calibri" w:hAnsi="Calibri"/>
                <w:b w:val="0"/>
                <w:color w:val="232B35"/>
                <w:sz w:val="16"/>
              </w:rPr>
              <w:t>RF-CI-01 Check-in contextual</w:t>
            </w:r>
          </w:p>
        </w:tc>
        <w:tc>
          <w:tcPr>
            <w:tcW w:type="dxa" w:w="2736"/>
            <w:vAlign w:val="center"/>
            <w:shd w:fill="F7FAFC"/>
          </w:tcPr>
          <w:p>
            <w:pPr>
              <w:spacing w:after="0" w:before="0"/>
              <w:jc w:val="left"/>
            </w:pPr>
            <w:r/>
            <w:r>
              <w:rPr>
                <w:rFonts w:ascii="Calibri" w:hAnsi="Calibri"/>
                <w:b w:val="0"/>
                <w:color w:val="232B35"/>
                <w:sz w:val="16"/>
              </w:rPr>
              <w:t>Emergency Context Engine</w:t>
            </w:r>
          </w:p>
        </w:tc>
        <w:tc>
          <w:tcPr>
            <w:tcW w:type="dxa" w:w="1728"/>
            <w:vAlign w:val="center"/>
            <w:shd w:fill="F7FAFC"/>
          </w:tcPr>
          <w:p>
            <w:pPr>
              <w:spacing w:after="0" w:before="0"/>
              <w:jc w:val="left"/>
            </w:pPr>
            <w:r/>
            <w:r>
              <w:rPr>
                <w:rFonts w:ascii="Calibri" w:hAnsi="Calibri"/>
                <w:b w:val="0"/>
                <w:color w:val="232B35"/>
                <w:sz w:val="16"/>
              </w:rPr>
              <w:t>E01–E05</w:t>
            </w:r>
          </w:p>
        </w:tc>
      </w:tr>
      <w:tr>
        <w:tc>
          <w:tcPr>
            <w:tcW w:type="dxa" w:w="2232"/>
            <w:vAlign w:val="center"/>
          </w:tcPr>
          <w:p>
            <w:pPr>
              <w:spacing w:after="0" w:before="0"/>
              <w:jc w:val="left"/>
            </w:pPr>
            <w:r/>
            <w:r>
              <w:rPr>
                <w:rFonts w:ascii="Calibri" w:hAnsi="Calibri"/>
                <w:b w:val="0"/>
                <w:color w:val="232B35"/>
                <w:sz w:val="16"/>
              </w:rPr>
              <w:t>Riesgo stalking</w:t>
            </w:r>
          </w:p>
        </w:tc>
        <w:tc>
          <w:tcPr>
            <w:tcW w:type="dxa" w:w="2952"/>
            <w:vAlign w:val="center"/>
          </w:tcPr>
          <w:p>
            <w:pPr>
              <w:spacing w:after="0" w:before="0"/>
              <w:jc w:val="left"/>
            </w:pPr>
            <w:r/>
            <w:r>
              <w:rPr>
                <w:rFonts w:ascii="Calibri" w:hAnsi="Calibri"/>
                <w:b w:val="0"/>
                <w:color w:val="232B35"/>
                <w:sz w:val="16"/>
              </w:rPr>
              <w:t>RF-PR-01 Consentimiento previo</w:t>
            </w:r>
          </w:p>
        </w:tc>
        <w:tc>
          <w:tcPr>
            <w:tcW w:type="dxa" w:w="2736"/>
            <w:vAlign w:val="center"/>
          </w:tcPr>
          <w:p>
            <w:pPr>
              <w:spacing w:after="0" w:before="0"/>
              <w:jc w:val="left"/>
            </w:pPr>
            <w:r/>
            <w:r>
              <w:rPr>
                <w:rFonts w:ascii="Calibri" w:hAnsi="Calibri"/>
                <w:b w:val="0"/>
                <w:color w:val="232B35"/>
                <w:sz w:val="16"/>
              </w:rPr>
              <w:t>Consent/Policy</w:t>
            </w:r>
          </w:p>
        </w:tc>
        <w:tc>
          <w:tcPr>
            <w:tcW w:type="dxa" w:w="1728"/>
            <w:vAlign w:val="center"/>
          </w:tcPr>
          <w:p>
            <w:pPr>
              <w:spacing w:after="0" w:before="0"/>
              <w:jc w:val="left"/>
            </w:pPr>
            <w:r/>
            <w:r>
              <w:rPr>
                <w:rFonts w:ascii="Calibri" w:hAnsi="Calibri"/>
                <w:b w:val="0"/>
                <w:color w:val="232B35"/>
                <w:sz w:val="16"/>
              </w:rPr>
              <w:t>E14/E15</w:t>
            </w:r>
          </w:p>
        </w:tc>
      </w:tr>
      <w:tr>
        <w:tc>
          <w:tcPr>
            <w:tcW w:type="dxa" w:w="2232"/>
            <w:vAlign w:val="center"/>
            <w:shd w:fill="F7FAFC"/>
          </w:tcPr>
          <w:p>
            <w:pPr>
              <w:spacing w:after="0" w:before="0"/>
              <w:jc w:val="left"/>
            </w:pPr>
            <w:r/>
            <w:r>
              <w:rPr>
                <w:rFonts w:ascii="Calibri" w:hAnsi="Calibri"/>
                <w:b w:val="0"/>
                <w:color w:val="232B35"/>
                <w:sz w:val="16"/>
              </w:rPr>
              <w:t>Falta de respuesta ≠ desaparición</w:t>
            </w:r>
          </w:p>
        </w:tc>
        <w:tc>
          <w:tcPr>
            <w:tcW w:type="dxa" w:w="2952"/>
            <w:vAlign w:val="center"/>
            <w:shd w:fill="F7FAFC"/>
          </w:tcPr>
          <w:p>
            <w:pPr>
              <w:spacing w:after="0" w:before="0"/>
              <w:jc w:val="left"/>
            </w:pPr>
            <w:r/>
            <w:r>
              <w:rPr>
                <w:rFonts w:ascii="Calibri" w:hAnsi="Calibri"/>
                <w:b w:val="0"/>
                <w:color w:val="232B35"/>
                <w:sz w:val="16"/>
              </w:rPr>
              <w:t>RF-ST-01 Máquina de estados</w:t>
            </w:r>
          </w:p>
        </w:tc>
        <w:tc>
          <w:tcPr>
            <w:tcW w:type="dxa" w:w="2736"/>
            <w:vAlign w:val="center"/>
            <w:shd w:fill="F7FAFC"/>
          </w:tcPr>
          <w:p>
            <w:pPr>
              <w:spacing w:after="0" w:before="0"/>
              <w:jc w:val="left"/>
            </w:pPr>
            <w:r/>
            <w:r>
              <w:rPr>
                <w:rFonts w:ascii="Calibri" w:hAnsi="Calibri"/>
                <w:b w:val="0"/>
                <w:color w:val="232B35"/>
                <w:sz w:val="16"/>
              </w:rPr>
              <w:t>Case/State Engine</w:t>
            </w:r>
          </w:p>
        </w:tc>
        <w:tc>
          <w:tcPr>
            <w:tcW w:type="dxa" w:w="1728"/>
            <w:vAlign w:val="center"/>
            <w:shd w:fill="F7FAFC"/>
          </w:tcPr>
          <w:p>
            <w:pPr>
              <w:spacing w:after="0" w:before="0"/>
              <w:jc w:val="left"/>
            </w:pPr>
            <w:r/>
            <w:r>
              <w:rPr>
                <w:rFonts w:ascii="Calibri" w:hAnsi="Calibri"/>
                <w:b w:val="0"/>
                <w:color w:val="232B35"/>
                <w:sz w:val="16"/>
              </w:rPr>
              <w:t>E06/E11</w:t>
            </w:r>
          </w:p>
        </w:tc>
      </w:tr>
      <w:tr>
        <w:tc>
          <w:tcPr>
            <w:tcW w:type="dxa" w:w="2232"/>
            <w:vAlign w:val="center"/>
          </w:tcPr>
          <w:p>
            <w:pPr>
              <w:spacing w:after="0" w:before="0"/>
              <w:jc w:val="left"/>
            </w:pPr>
            <w:r/>
            <w:r>
              <w:rPr>
                <w:rFonts w:ascii="Calibri" w:hAnsi="Calibri"/>
                <w:b w:val="0"/>
                <w:color w:val="232B35"/>
                <w:sz w:val="16"/>
              </w:rPr>
              <w:t>Necesidad familiar</w:t>
            </w:r>
          </w:p>
        </w:tc>
        <w:tc>
          <w:tcPr>
            <w:tcW w:type="dxa" w:w="2952"/>
            <w:vAlign w:val="center"/>
          </w:tcPr>
          <w:p>
            <w:pPr>
              <w:spacing w:after="0" w:before="0"/>
              <w:jc w:val="left"/>
            </w:pPr>
            <w:r/>
            <w:r>
              <w:rPr>
                <w:rFonts w:ascii="Calibri" w:hAnsi="Calibri"/>
                <w:b w:val="0"/>
                <w:color w:val="232B35"/>
                <w:sz w:val="16"/>
              </w:rPr>
              <w:t>RF-TQ-01 Quórum N-de-M</w:t>
            </w:r>
          </w:p>
        </w:tc>
        <w:tc>
          <w:tcPr>
            <w:tcW w:type="dxa" w:w="2736"/>
            <w:vAlign w:val="center"/>
          </w:tcPr>
          <w:p>
            <w:pPr>
              <w:spacing w:after="0" w:before="0"/>
              <w:jc w:val="left"/>
            </w:pPr>
            <w:r/>
            <w:r>
              <w:rPr>
                <w:rFonts w:ascii="Calibri" w:hAnsi="Calibri"/>
                <w:b w:val="0"/>
                <w:color w:val="232B35"/>
                <w:sz w:val="16"/>
              </w:rPr>
              <w:t>Trusted Circle</w:t>
            </w:r>
          </w:p>
        </w:tc>
        <w:tc>
          <w:tcPr>
            <w:tcW w:type="dxa" w:w="1728"/>
            <w:vAlign w:val="center"/>
          </w:tcPr>
          <w:p>
            <w:pPr>
              <w:spacing w:after="0" w:before="0"/>
              <w:jc w:val="left"/>
            </w:pPr>
            <w:r/>
            <w:r>
              <w:rPr>
                <w:rFonts w:ascii="Calibri" w:hAnsi="Calibri"/>
                <w:b w:val="0"/>
                <w:color w:val="232B35"/>
                <w:sz w:val="16"/>
              </w:rPr>
              <w:t>E09/E10</w:t>
            </w:r>
          </w:p>
        </w:tc>
      </w:tr>
      <w:tr>
        <w:tc>
          <w:tcPr>
            <w:tcW w:type="dxa" w:w="2232"/>
            <w:vAlign w:val="center"/>
            <w:shd w:fill="F7FAFC"/>
          </w:tcPr>
          <w:p>
            <w:pPr>
              <w:spacing w:after="0" w:before="0"/>
              <w:jc w:val="left"/>
            </w:pPr>
            <w:r/>
            <w:r>
              <w:rPr>
                <w:rFonts w:ascii="Calibri" w:hAnsi="Calibri"/>
                <w:b w:val="0"/>
                <w:color w:val="232B35"/>
                <w:sz w:val="16"/>
              </w:rPr>
              <w:t>Última referencia útil</w:t>
            </w:r>
          </w:p>
        </w:tc>
        <w:tc>
          <w:tcPr>
            <w:tcW w:type="dxa" w:w="2952"/>
            <w:vAlign w:val="center"/>
            <w:shd w:fill="F7FAFC"/>
          </w:tcPr>
          <w:p>
            <w:pPr>
              <w:spacing w:after="0" w:before="0"/>
              <w:jc w:val="left"/>
            </w:pPr>
            <w:r/>
            <w:r>
              <w:rPr>
                <w:rFonts w:ascii="Calibri" w:hAnsi="Calibri"/>
                <w:b w:val="0"/>
                <w:color w:val="232B35"/>
                <w:sz w:val="16"/>
              </w:rPr>
              <w:t>RF-VL-01 Vault temporal</w:t>
            </w:r>
          </w:p>
        </w:tc>
        <w:tc>
          <w:tcPr>
            <w:tcW w:type="dxa" w:w="2736"/>
            <w:vAlign w:val="center"/>
            <w:shd w:fill="F7FAFC"/>
          </w:tcPr>
          <w:p>
            <w:pPr>
              <w:spacing w:after="0" w:before="0"/>
              <w:jc w:val="left"/>
            </w:pPr>
            <w:r/>
            <w:r>
              <w:rPr>
                <w:rFonts w:ascii="Calibri" w:hAnsi="Calibri"/>
                <w:b w:val="0"/>
                <w:color w:val="232B35"/>
                <w:sz w:val="16"/>
              </w:rPr>
              <w:t>Emergency Location Vault</w:t>
            </w:r>
          </w:p>
        </w:tc>
        <w:tc>
          <w:tcPr>
            <w:tcW w:type="dxa" w:w="1728"/>
            <w:vAlign w:val="center"/>
            <w:shd w:fill="F7FAFC"/>
          </w:tcPr>
          <w:p>
            <w:pPr>
              <w:spacing w:after="0" w:before="0"/>
              <w:jc w:val="left"/>
            </w:pPr>
            <w:r/>
            <w:r>
              <w:rPr>
                <w:rFonts w:ascii="Calibri" w:hAnsi="Calibri"/>
                <w:b w:val="0"/>
                <w:color w:val="232B35"/>
                <w:sz w:val="16"/>
              </w:rPr>
              <w:t>E11/E12/E13</w:t>
            </w:r>
          </w:p>
        </w:tc>
      </w:tr>
      <w:tr>
        <w:tc>
          <w:tcPr>
            <w:tcW w:type="dxa" w:w="2232"/>
            <w:vAlign w:val="center"/>
          </w:tcPr>
          <w:p>
            <w:pPr>
              <w:spacing w:after="0" w:before="0"/>
              <w:jc w:val="left"/>
            </w:pPr>
            <w:r/>
            <w:r>
              <w:rPr>
                <w:rFonts w:ascii="Calibri" w:hAnsi="Calibri"/>
                <w:b w:val="0"/>
                <w:color w:val="232B35"/>
                <w:sz w:val="16"/>
              </w:rPr>
              <w:t>SIRDEC Open Data</w:t>
            </w:r>
          </w:p>
        </w:tc>
        <w:tc>
          <w:tcPr>
            <w:tcW w:type="dxa" w:w="2952"/>
            <w:vAlign w:val="center"/>
          </w:tcPr>
          <w:p>
            <w:pPr>
              <w:spacing w:after="0" w:before="0"/>
              <w:jc w:val="left"/>
            </w:pPr>
            <w:r/>
            <w:r>
              <w:rPr>
                <w:rFonts w:ascii="Calibri" w:hAnsi="Calibri"/>
                <w:b w:val="0"/>
                <w:color w:val="232B35"/>
                <w:sz w:val="16"/>
              </w:rPr>
              <w:t>RF-IN-01 Procedencia y fecha de corte</w:t>
            </w:r>
          </w:p>
        </w:tc>
        <w:tc>
          <w:tcPr>
            <w:tcW w:type="dxa" w:w="2736"/>
            <w:vAlign w:val="center"/>
          </w:tcPr>
          <w:p>
            <w:pPr>
              <w:spacing w:after="0" w:before="0"/>
              <w:jc w:val="left"/>
            </w:pPr>
            <w:r/>
            <w:r>
              <w:rPr>
                <w:rFonts w:ascii="Calibri" w:hAnsi="Calibri"/>
                <w:b w:val="0"/>
                <w:color w:val="232B35"/>
                <w:sz w:val="16"/>
              </w:rPr>
              <w:t>OpenData Adapter</w:t>
            </w:r>
          </w:p>
        </w:tc>
        <w:tc>
          <w:tcPr>
            <w:tcW w:type="dxa" w:w="1728"/>
            <w:vAlign w:val="center"/>
          </w:tcPr>
          <w:p>
            <w:pPr>
              <w:spacing w:after="0" w:before="0"/>
              <w:jc w:val="left"/>
            </w:pPr>
            <w:r/>
            <w:r>
              <w:rPr>
                <w:rFonts w:ascii="Calibri" w:hAnsi="Calibri"/>
                <w:b w:val="0"/>
                <w:color w:val="232B35"/>
                <w:sz w:val="16"/>
              </w:rPr>
              <w:t>E20</w:t>
            </w:r>
          </w:p>
        </w:tc>
      </w:tr>
      <w:tr>
        <w:tc>
          <w:tcPr>
            <w:tcW w:type="dxa" w:w="2232"/>
            <w:vAlign w:val="center"/>
            <w:shd w:fill="F7FAFC"/>
          </w:tcPr>
          <w:p>
            <w:pPr>
              <w:spacing w:after="0" w:before="0"/>
              <w:jc w:val="left"/>
            </w:pPr>
            <w:r/>
            <w:r>
              <w:rPr>
                <w:rFonts w:ascii="Calibri" w:hAnsi="Calibri"/>
                <w:b w:val="0"/>
                <w:color w:val="232B35"/>
                <w:sz w:val="16"/>
              </w:rPr>
              <w:t>NNA protección reforzada</w:t>
            </w:r>
          </w:p>
        </w:tc>
        <w:tc>
          <w:tcPr>
            <w:tcW w:type="dxa" w:w="2952"/>
            <w:vAlign w:val="center"/>
            <w:shd w:fill="F7FAFC"/>
          </w:tcPr>
          <w:p>
            <w:pPr>
              <w:spacing w:after="0" w:before="0"/>
              <w:jc w:val="left"/>
            </w:pPr>
            <w:r/>
            <w:r>
              <w:rPr>
                <w:rFonts w:ascii="Calibri" w:hAnsi="Calibri"/>
                <w:b w:val="0"/>
                <w:color w:val="232B35"/>
                <w:sz w:val="16"/>
              </w:rPr>
              <w:t>RF-NNA-01 Políticas sintéticas restrictivas</w:t>
            </w:r>
          </w:p>
        </w:tc>
        <w:tc>
          <w:tcPr>
            <w:tcW w:type="dxa" w:w="2736"/>
            <w:vAlign w:val="center"/>
            <w:shd w:fill="F7FAFC"/>
          </w:tcPr>
          <w:p>
            <w:pPr>
              <w:spacing w:after="0" w:before="0"/>
              <w:jc w:val="left"/>
            </w:pPr>
            <w:r/>
            <w:r>
              <w:rPr>
                <w:rFonts w:ascii="Calibri" w:hAnsi="Calibri"/>
                <w:b w:val="0"/>
                <w:color w:val="232B35"/>
                <w:sz w:val="16"/>
              </w:rPr>
              <w:t>Policy Engine</w:t>
            </w:r>
          </w:p>
        </w:tc>
        <w:tc>
          <w:tcPr>
            <w:tcW w:type="dxa" w:w="1728"/>
            <w:vAlign w:val="center"/>
            <w:shd w:fill="F7FAFC"/>
          </w:tcPr>
          <w:p>
            <w:pPr>
              <w:spacing w:after="0" w:before="0"/>
              <w:jc w:val="left"/>
            </w:pPr>
            <w:r/>
            <w:r>
              <w:rPr>
                <w:rFonts w:ascii="Calibri" w:hAnsi="Calibri"/>
                <w:b w:val="0"/>
                <w:color w:val="232B35"/>
                <w:sz w:val="16"/>
              </w:rPr>
              <w:t>E17</w:t>
            </w:r>
          </w:p>
        </w:tc>
      </w:tr>
      <w:tr>
        <w:tc>
          <w:tcPr>
            <w:tcW w:type="dxa" w:w="2232"/>
            <w:vAlign w:val="center"/>
          </w:tcPr>
          <w:p>
            <w:pPr>
              <w:spacing w:after="0" w:before="0"/>
              <w:jc w:val="left"/>
            </w:pPr>
            <w:r/>
            <w:r>
              <w:rPr>
                <w:rFonts w:ascii="Calibri" w:hAnsi="Calibri"/>
                <w:b w:val="0"/>
                <w:color w:val="232B35"/>
                <w:sz w:val="16"/>
              </w:rPr>
              <w:t>Seguridad inmediata</w:t>
            </w:r>
          </w:p>
        </w:tc>
        <w:tc>
          <w:tcPr>
            <w:tcW w:type="dxa" w:w="2952"/>
            <w:vAlign w:val="center"/>
          </w:tcPr>
          <w:p>
            <w:pPr>
              <w:spacing w:after="0" w:before="0"/>
              <w:jc w:val="left"/>
            </w:pPr>
            <w:r/>
            <w:r>
              <w:rPr>
                <w:rFonts w:ascii="Calibri" w:hAnsi="Calibri"/>
                <w:b w:val="0"/>
                <w:color w:val="232B35"/>
                <w:sz w:val="16"/>
              </w:rPr>
              <w:t>RF-PS-01 Personal Safety Mode</w:t>
            </w:r>
          </w:p>
        </w:tc>
        <w:tc>
          <w:tcPr>
            <w:tcW w:type="dxa" w:w="2736"/>
            <w:vAlign w:val="center"/>
          </w:tcPr>
          <w:p>
            <w:pPr>
              <w:spacing w:after="0" w:before="0"/>
              <w:jc w:val="left"/>
            </w:pPr>
            <w:r/>
            <w:r>
              <w:rPr>
                <w:rFonts w:ascii="Calibri" w:hAnsi="Calibri"/>
                <w:b w:val="0"/>
                <w:color w:val="232B35"/>
                <w:sz w:val="16"/>
              </w:rPr>
              <w:t>Safety module</w:t>
            </w:r>
          </w:p>
        </w:tc>
        <w:tc>
          <w:tcPr>
            <w:tcW w:type="dxa" w:w="1728"/>
            <w:vAlign w:val="center"/>
          </w:tcPr>
          <w:p>
            <w:pPr>
              <w:spacing w:after="0" w:before="0"/>
              <w:jc w:val="left"/>
            </w:pPr>
            <w:r/>
            <w:r>
              <w:rPr>
                <w:rFonts w:ascii="Calibri" w:hAnsi="Calibri"/>
                <w:b w:val="0"/>
                <w:color w:val="232B35"/>
                <w:sz w:val="16"/>
              </w:rPr>
              <w:t>E18</w:t>
            </w:r>
          </w:p>
        </w:tc>
      </w:tr>
      <w:tr>
        <w:tc>
          <w:tcPr>
            <w:tcW w:type="dxa" w:w="2232"/>
            <w:vAlign w:val="center"/>
            <w:shd w:fill="F7FAFC"/>
          </w:tcPr>
          <w:p>
            <w:pPr>
              <w:spacing w:after="0" w:before="0"/>
              <w:jc w:val="left"/>
            </w:pPr>
            <w:r/>
            <w:r>
              <w:rPr>
                <w:rFonts w:ascii="Calibri" w:hAnsi="Calibri"/>
                <w:b w:val="0"/>
                <w:color w:val="232B35"/>
                <w:sz w:val="16"/>
              </w:rPr>
              <w:t>Falla infraestructura</w:t>
            </w:r>
          </w:p>
        </w:tc>
        <w:tc>
          <w:tcPr>
            <w:tcW w:type="dxa" w:w="2952"/>
            <w:vAlign w:val="center"/>
            <w:shd w:fill="F7FAFC"/>
          </w:tcPr>
          <w:p>
            <w:pPr>
              <w:spacing w:after="0" w:before="0"/>
              <w:jc w:val="left"/>
            </w:pPr>
            <w:r/>
            <w:r>
              <w:rPr>
                <w:rFonts w:ascii="Calibri" w:hAnsi="Calibri"/>
                <w:b w:val="0"/>
                <w:color w:val="232B35"/>
                <w:sz w:val="16"/>
              </w:rPr>
              <w:t>RNF-BC-01 Recuperación/failover</w:t>
            </w:r>
          </w:p>
        </w:tc>
        <w:tc>
          <w:tcPr>
            <w:tcW w:type="dxa" w:w="2736"/>
            <w:vAlign w:val="center"/>
            <w:shd w:fill="F7FAFC"/>
          </w:tcPr>
          <w:p>
            <w:pPr>
              <w:spacing w:after="0" w:before="0"/>
              <w:jc w:val="left"/>
            </w:pPr>
            <w:r/>
            <w:r>
              <w:rPr>
                <w:rFonts w:ascii="Calibri" w:hAnsi="Calibri"/>
                <w:b w:val="0"/>
                <w:color w:val="232B35"/>
                <w:sz w:val="16"/>
              </w:rPr>
              <w:t>Infraestructura</w:t>
            </w:r>
          </w:p>
        </w:tc>
        <w:tc>
          <w:tcPr>
            <w:tcW w:type="dxa" w:w="1728"/>
            <w:vAlign w:val="center"/>
            <w:shd w:fill="F7FAFC"/>
          </w:tcPr>
          <w:p>
            <w:pPr>
              <w:spacing w:after="0" w:before="0"/>
              <w:jc w:val="left"/>
            </w:pPr>
            <w:r/>
            <w:r>
              <w:rPr>
                <w:rFonts w:ascii="Calibri" w:hAnsi="Calibri"/>
                <w:b w:val="0"/>
                <w:color w:val="232B35"/>
                <w:sz w:val="16"/>
              </w:rPr>
              <w:t>A–G</w:t>
            </w:r>
          </w:p>
        </w:tc>
      </w:tr>
    </w:tbl>
    <w:p>
      <w:pPr>
        <w:spacing w:after="20"/>
      </w:pPr>
    </w:p>
    <w:p>
      <w:pPr>
        <w:pStyle w:val="Ttulo2"/>
      </w:pPr>
      <w:r>
        <w:t>2.7 Reglas funcionales preliminares</w:t>
      </w:r>
    </w:p>
    <w:tbl>
      <w:tblPr>
        <w:tblStyle w:val="Tablaconcuadrcula"/>
        <w:tblW w:type="auto" w:w="0"/>
        <w:jc w:val="center"/>
        <w:tblLook w:firstColumn="1" w:firstRow="1" w:lastColumn="0" w:lastRow="0" w:noHBand="0" w:noVBand="1" w:val="04A0"/>
      </w:tblPr>
      <w:tblGrid>
        <w:gridCol w:w="4565"/>
        <w:gridCol w:w="4565"/>
      </w:tblGrid>
      <w:tr>
        <w:tc>
          <w:tcPr>
            <w:tcW w:type="dxa" w:w="1440"/>
            <w:vAlign w:val="center"/>
            <w:shd w:fill="17365D"/>
          </w:tcPr>
          <w:p>
            <w:pPr>
              <w:spacing w:after="0" w:before="0"/>
              <w:jc w:val="left"/>
            </w:pPr>
            <w:r/>
            <w:r>
              <w:rPr>
                <w:rFonts w:ascii="Calibri" w:hAnsi="Calibri"/>
                <w:b/>
                <w:color w:val="FFFFFF"/>
                <w:sz w:val="17"/>
              </w:rPr>
              <w:t>ID</w:t>
            </w:r>
          </w:p>
        </w:tc>
        <w:tc>
          <w:tcPr>
            <w:tcW w:type="dxa" w:w="8496"/>
            <w:vAlign w:val="center"/>
            <w:shd w:fill="17365D"/>
          </w:tcPr>
          <w:p>
            <w:pPr>
              <w:spacing w:after="0" w:before="0"/>
              <w:jc w:val="left"/>
            </w:pPr>
            <w:r/>
            <w:r>
              <w:rPr>
                <w:rFonts w:ascii="Calibri" w:hAnsi="Calibri"/>
                <w:b/>
                <w:color w:val="FFFFFF"/>
                <w:sz w:val="17"/>
              </w:rPr>
              <w:t>Regla de negocio</w:t>
            </w:r>
          </w:p>
        </w:tc>
      </w:tr>
      <w:tr>
        <w:tc>
          <w:tcPr>
            <w:tcW w:type="dxa" w:w="1440"/>
            <w:vAlign w:val="center"/>
          </w:tcPr>
          <w:p>
            <w:pPr>
              <w:spacing w:after="0" w:before="0"/>
              <w:jc w:val="left"/>
            </w:pPr>
            <w:r/>
            <w:r>
              <w:rPr>
                <w:rFonts w:ascii="Calibri" w:hAnsi="Calibri"/>
                <w:b w:val="0"/>
                <w:color w:val="232B35"/>
                <w:sz w:val="17"/>
              </w:rPr>
              <w:t>RN-01</w:t>
            </w:r>
          </w:p>
        </w:tc>
        <w:tc>
          <w:tcPr>
            <w:tcW w:type="dxa" w:w="8496"/>
            <w:vAlign w:val="center"/>
          </w:tcPr>
          <w:p>
            <w:pPr>
              <w:spacing w:after="0" w:before="0"/>
              <w:jc w:val="left"/>
            </w:pPr>
            <w:r/>
            <w:r>
              <w:rPr>
                <w:rFonts w:ascii="Calibri" w:hAnsi="Calibri"/>
                <w:b w:val="0"/>
                <w:color w:val="232B35"/>
                <w:sz w:val="17"/>
              </w:rPr>
              <w:t>Cada checkpoint expira de forma individual; no existe borrado total diario.</w:t>
            </w:r>
          </w:p>
        </w:tc>
      </w:tr>
      <w:tr>
        <w:tc>
          <w:tcPr>
            <w:tcW w:type="dxa" w:w="1440"/>
            <w:vAlign w:val="center"/>
            <w:shd w:fill="F7FAFC"/>
          </w:tcPr>
          <w:p>
            <w:pPr>
              <w:spacing w:after="0" w:before="0"/>
              <w:jc w:val="left"/>
            </w:pPr>
            <w:r/>
            <w:r>
              <w:rPr>
                <w:rFonts w:ascii="Calibri" w:hAnsi="Calibri"/>
                <w:b w:val="0"/>
                <w:color w:val="232B35"/>
                <w:sz w:val="17"/>
              </w:rPr>
              <w:t>RN-02</w:t>
            </w:r>
          </w:p>
        </w:tc>
        <w:tc>
          <w:tcPr>
            <w:tcW w:type="dxa" w:w="8496"/>
            <w:vAlign w:val="center"/>
            <w:shd w:fill="F7FAFC"/>
          </w:tcPr>
          <w:p>
            <w:pPr>
              <w:spacing w:after="0" w:before="0"/>
              <w:jc w:val="left"/>
            </w:pPr>
            <w:r/>
            <w:r>
              <w:rPr>
                <w:rFonts w:ascii="Calibri" w:hAnsi="Calibri"/>
                <w:b w:val="0"/>
                <w:color w:val="232B35"/>
                <w:sz w:val="17"/>
              </w:rPr>
              <w:t>Un incident hold solo conserva el subconjunto pertinente, con motivo, actor y expiración.</w:t>
            </w:r>
          </w:p>
        </w:tc>
      </w:tr>
      <w:tr>
        <w:tc>
          <w:tcPr>
            <w:tcW w:type="dxa" w:w="1440"/>
            <w:vAlign w:val="center"/>
          </w:tcPr>
          <w:p>
            <w:pPr>
              <w:spacing w:after="0" w:before="0"/>
              <w:jc w:val="left"/>
            </w:pPr>
            <w:r/>
            <w:r>
              <w:rPr>
                <w:rFonts w:ascii="Calibri" w:hAnsi="Calibri"/>
                <w:b w:val="0"/>
                <w:color w:val="232B35"/>
                <w:sz w:val="17"/>
              </w:rPr>
              <w:t>RN-03</w:t>
            </w:r>
          </w:p>
        </w:tc>
        <w:tc>
          <w:tcPr>
            <w:tcW w:type="dxa" w:w="8496"/>
            <w:vAlign w:val="center"/>
          </w:tcPr>
          <w:p>
            <w:pPr>
              <w:spacing w:after="0" w:before="0"/>
              <w:jc w:val="left"/>
            </w:pPr>
            <w:r/>
            <w:r>
              <w:rPr>
                <w:rFonts w:ascii="Calibri" w:hAnsi="Calibri"/>
                <w:b w:val="0"/>
                <w:color w:val="232B35"/>
                <w:sz w:val="17"/>
              </w:rPr>
              <w:t>Un evento oficial genera check-in solo si supera filtros de fuente, vigencia, severidad/relevancia y exposición geográfica.</w:t>
            </w:r>
          </w:p>
        </w:tc>
      </w:tr>
      <w:tr>
        <w:tc>
          <w:tcPr>
            <w:tcW w:type="dxa" w:w="1440"/>
            <w:vAlign w:val="center"/>
            <w:shd w:fill="F7FAFC"/>
          </w:tcPr>
          <w:p>
            <w:pPr>
              <w:spacing w:after="0" w:before="0"/>
              <w:jc w:val="left"/>
            </w:pPr>
            <w:r/>
            <w:r>
              <w:rPr>
                <w:rFonts w:ascii="Calibri" w:hAnsi="Calibri"/>
                <w:b w:val="0"/>
                <w:color w:val="232B35"/>
                <w:sz w:val="17"/>
              </w:rPr>
              <w:t>RN-04</w:t>
            </w:r>
          </w:p>
        </w:tc>
        <w:tc>
          <w:tcPr>
            <w:tcW w:type="dxa" w:w="8496"/>
            <w:vAlign w:val="center"/>
            <w:shd w:fill="F7FAFC"/>
          </w:tcPr>
          <w:p>
            <w:pPr>
              <w:spacing w:after="0" w:before="0"/>
              <w:jc w:val="left"/>
            </w:pPr>
            <w:r/>
            <w:r>
              <w:rPr>
                <w:rFonts w:ascii="Calibri" w:hAnsi="Calibri"/>
                <w:b w:val="0"/>
                <w:color w:val="232B35"/>
                <w:sz w:val="17"/>
              </w:rPr>
              <w:t>NO_RESPONSE significa “estado no confirmado”; no crea MISSING, KIDNAPPED, DEAD ni IN_DANGER.</w:t>
            </w:r>
          </w:p>
        </w:tc>
      </w:tr>
      <w:tr>
        <w:tc>
          <w:tcPr>
            <w:tcW w:type="dxa" w:w="1440"/>
            <w:vAlign w:val="center"/>
          </w:tcPr>
          <w:p>
            <w:pPr>
              <w:spacing w:after="0" w:before="0"/>
              <w:jc w:val="left"/>
            </w:pPr>
            <w:r/>
            <w:r>
              <w:rPr>
                <w:rFonts w:ascii="Calibri" w:hAnsi="Calibri"/>
                <w:b w:val="0"/>
                <w:color w:val="232B35"/>
                <w:sz w:val="17"/>
              </w:rPr>
              <w:t>RN-05</w:t>
            </w:r>
          </w:p>
        </w:tc>
        <w:tc>
          <w:tcPr>
            <w:tcW w:type="dxa" w:w="8496"/>
            <w:vAlign w:val="center"/>
          </w:tcPr>
          <w:p>
            <w:pPr>
              <w:spacing w:after="0" w:before="0"/>
              <w:jc w:val="left"/>
            </w:pPr>
            <w:r/>
            <w:r>
              <w:rPr>
                <w:rFonts w:ascii="Calibri" w:hAnsi="Calibri"/>
                <w:b w:val="0"/>
                <w:color w:val="232B35"/>
                <w:sz w:val="17"/>
              </w:rPr>
              <w:t>Las solicitudes familiares no liberan ubicación automáticamente; el Policy Engine puede exigir quórum N-de-M.</w:t>
            </w:r>
          </w:p>
        </w:tc>
      </w:tr>
      <w:tr>
        <w:tc>
          <w:tcPr>
            <w:tcW w:type="dxa" w:w="1440"/>
            <w:vAlign w:val="center"/>
            <w:shd w:fill="F7FAFC"/>
          </w:tcPr>
          <w:p>
            <w:pPr>
              <w:spacing w:after="0" w:before="0"/>
              <w:jc w:val="left"/>
            </w:pPr>
            <w:r/>
            <w:r>
              <w:rPr>
                <w:rFonts w:ascii="Calibri" w:hAnsi="Calibri"/>
                <w:b w:val="0"/>
                <w:color w:val="232B35"/>
                <w:sz w:val="17"/>
              </w:rPr>
              <w:t>RN-06</w:t>
            </w:r>
          </w:p>
        </w:tc>
        <w:tc>
          <w:tcPr>
            <w:tcW w:type="dxa" w:w="8496"/>
            <w:vAlign w:val="center"/>
            <w:shd w:fill="F7FAFC"/>
          </w:tcPr>
          <w:p>
            <w:pPr>
              <w:spacing w:after="0" w:before="0"/>
              <w:jc w:val="left"/>
            </w:pPr>
            <w:r/>
            <w:r>
              <w:rPr>
                <w:rFonts w:ascii="Calibri" w:hAnsi="Calibri"/>
                <w:b w:val="0"/>
                <w:color w:val="232B35"/>
                <w:sz w:val="17"/>
              </w:rPr>
              <w:t>SOS y HELP_REQUIRED pueden tener escalamiento inmediato según consentimiento previo.</w:t>
            </w:r>
          </w:p>
        </w:tc>
      </w:tr>
      <w:tr>
        <w:tc>
          <w:tcPr>
            <w:tcW w:type="dxa" w:w="1440"/>
            <w:vAlign w:val="center"/>
          </w:tcPr>
          <w:p>
            <w:pPr>
              <w:spacing w:after="0" w:before="0"/>
              <w:jc w:val="left"/>
            </w:pPr>
            <w:r/>
            <w:r>
              <w:rPr>
                <w:rFonts w:ascii="Calibri" w:hAnsi="Calibri"/>
                <w:b w:val="0"/>
                <w:color w:val="232B35"/>
                <w:sz w:val="17"/>
              </w:rPr>
              <w:t>RN-07</w:t>
            </w:r>
          </w:p>
        </w:tc>
        <w:tc>
          <w:tcPr>
            <w:tcW w:type="dxa" w:w="8496"/>
            <w:vAlign w:val="center"/>
          </w:tcPr>
          <w:p>
            <w:pPr>
              <w:spacing w:after="0" w:before="0"/>
              <w:jc w:val="left"/>
            </w:pPr>
            <w:r/>
            <w:r>
              <w:rPr>
                <w:rFonts w:ascii="Calibri" w:hAnsi="Calibri"/>
                <w:b w:val="0"/>
                <w:color w:val="232B35"/>
                <w:sz w:val="17"/>
              </w:rPr>
              <w:t>Personal Safety Mode responde a vulnerabilidad inmediata; no acusa ni tipifica conductas de terceros.</w:t>
            </w:r>
          </w:p>
        </w:tc>
      </w:tr>
      <w:tr>
        <w:tc>
          <w:tcPr>
            <w:tcW w:type="dxa" w:w="1440"/>
            <w:vAlign w:val="center"/>
            <w:shd w:fill="F7FAFC"/>
          </w:tcPr>
          <w:p>
            <w:pPr>
              <w:spacing w:after="0" w:before="0"/>
              <w:jc w:val="left"/>
            </w:pPr>
            <w:r/>
            <w:r>
              <w:rPr>
                <w:rFonts w:ascii="Calibri" w:hAnsi="Calibri"/>
                <w:b w:val="0"/>
                <w:color w:val="232B35"/>
                <w:sz w:val="17"/>
              </w:rPr>
              <w:t>RN-08</w:t>
            </w:r>
          </w:p>
        </w:tc>
        <w:tc>
          <w:tcPr>
            <w:tcW w:type="dxa" w:w="8496"/>
            <w:vAlign w:val="center"/>
            <w:shd w:fill="F7FAFC"/>
          </w:tcPr>
          <w:p>
            <w:pPr>
              <w:spacing w:after="0" w:before="0"/>
              <w:jc w:val="left"/>
            </w:pPr>
            <w:r/>
            <w:r>
              <w:rPr>
                <w:rFonts w:ascii="Calibri" w:hAnsi="Calibri"/>
                <w:b w:val="0"/>
                <w:color w:val="232B35"/>
                <w:sz w:val="17"/>
              </w:rPr>
              <w:t>Un evento TEST nunca se presenta como evento real; se marca is_test=true y mantiene trazabilidad.</w:t>
            </w:r>
          </w:p>
        </w:tc>
      </w:tr>
      <w:tr>
        <w:tc>
          <w:tcPr>
            <w:tcW w:type="dxa" w:w="1440"/>
            <w:vAlign w:val="center"/>
          </w:tcPr>
          <w:p>
            <w:pPr>
              <w:spacing w:after="0" w:before="0"/>
              <w:jc w:val="left"/>
            </w:pPr>
            <w:r/>
            <w:r>
              <w:rPr>
                <w:rFonts w:ascii="Calibri" w:hAnsi="Calibri"/>
                <w:b w:val="0"/>
                <w:color w:val="232B35"/>
                <w:sz w:val="17"/>
              </w:rPr>
              <w:t>RN-09</w:t>
            </w:r>
          </w:p>
        </w:tc>
        <w:tc>
          <w:tcPr>
            <w:tcW w:type="dxa" w:w="8496"/>
            <w:vAlign w:val="center"/>
          </w:tcPr>
          <w:p>
            <w:pPr>
              <w:spacing w:after="0" w:before="0"/>
              <w:jc w:val="left"/>
            </w:pPr>
            <w:r/>
            <w:r>
              <w:rPr>
                <w:rFonts w:ascii="Calibri" w:hAnsi="Calibri"/>
                <w:b w:val="0"/>
                <w:color w:val="232B35"/>
                <w:sz w:val="17"/>
              </w:rPr>
              <w:t>El móvil accede a datos centrales solo a través de API autenticada; nunca se conecta directamente a PostgreSQL.</w:t>
            </w:r>
          </w:p>
        </w:tc>
      </w:tr>
      <w:tr>
        <w:tc>
          <w:tcPr>
            <w:tcW w:type="dxa" w:w="1440"/>
            <w:vAlign w:val="center"/>
            <w:shd w:fill="F7FAFC"/>
          </w:tcPr>
          <w:p>
            <w:pPr>
              <w:spacing w:after="0" w:before="0"/>
              <w:jc w:val="left"/>
            </w:pPr>
            <w:r/>
            <w:r>
              <w:rPr>
                <w:rFonts w:ascii="Calibri" w:hAnsi="Calibri"/>
                <w:b w:val="0"/>
                <w:color w:val="232B35"/>
                <w:sz w:val="17"/>
              </w:rPr>
              <w:t>RN-10</w:t>
            </w:r>
          </w:p>
        </w:tc>
        <w:tc>
          <w:tcPr>
            <w:tcW w:type="dxa" w:w="8496"/>
            <w:vAlign w:val="center"/>
            <w:shd w:fill="F7FAFC"/>
          </w:tcPr>
          <w:p>
            <w:pPr>
              <w:spacing w:after="0" w:before="0"/>
              <w:jc w:val="left"/>
            </w:pPr>
            <w:r/>
            <w:r>
              <w:rPr>
                <w:rFonts w:ascii="Calibri" w:hAnsi="Calibri"/>
                <w:b w:val="0"/>
                <w:color w:val="232B35"/>
                <w:sz w:val="17"/>
              </w:rPr>
              <w:t>SIRDEC Open Data se muestra con fuente y fecha de corte; un registro propio de la app no equivale a reporte oficial.</w:t>
            </w:r>
          </w:p>
        </w:tc>
      </w:tr>
      <w:tr>
        <w:tc>
          <w:tcPr>
            <w:tcW w:type="dxa" w:w="1440"/>
            <w:vAlign w:val="center"/>
          </w:tcPr>
          <w:p>
            <w:pPr>
              <w:spacing w:after="0" w:before="0"/>
              <w:jc w:val="left"/>
            </w:pPr>
            <w:r/>
            <w:r>
              <w:rPr>
                <w:rFonts w:ascii="Calibri" w:hAnsi="Calibri"/>
                <w:b w:val="0"/>
                <w:color w:val="232B35"/>
                <w:sz w:val="17"/>
              </w:rPr>
              <w:t>RN-11</w:t>
            </w:r>
          </w:p>
        </w:tc>
        <w:tc>
          <w:tcPr>
            <w:tcW w:type="dxa" w:w="8496"/>
            <w:vAlign w:val="center"/>
          </w:tcPr>
          <w:p>
            <w:pPr>
              <w:spacing w:after="0" w:before="0"/>
              <w:jc w:val="left"/>
            </w:pPr>
            <w:r/>
            <w:r>
              <w:rPr>
                <w:rFonts w:ascii="Calibri" w:hAnsi="Calibri"/>
                <w:b w:val="0"/>
                <w:color w:val="232B35"/>
                <w:sz w:val="17"/>
              </w:rPr>
              <w:t>Welfare Check inicia con zona aproximada; la precisión adicional se libera progresivamente según política.</w:t>
            </w:r>
          </w:p>
        </w:tc>
      </w:tr>
      <w:tr>
        <w:tc>
          <w:tcPr>
            <w:tcW w:type="dxa" w:w="1440"/>
            <w:vAlign w:val="center"/>
            <w:shd w:fill="F7FAFC"/>
          </w:tcPr>
          <w:p>
            <w:pPr>
              <w:spacing w:after="0" w:before="0"/>
              <w:jc w:val="left"/>
            </w:pPr>
            <w:r/>
            <w:r>
              <w:rPr>
                <w:rFonts w:ascii="Calibri" w:hAnsi="Calibri"/>
                <w:b w:val="0"/>
                <w:color w:val="232B35"/>
                <w:sz w:val="17"/>
              </w:rPr>
              <w:t>RN-12</w:t>
            </w:r>
          </w:p>
        </w:tc>
        <w:tc>
          <w:tcPr>
            <w:tcW w:type="dxa" w:w="8496"/>
            <w:vAlign w:val="center"/>
            <w:shd w:fill="F7FAFC"/>
          </w:tcPr>
          <w:p>
            <w:pPr>
              <w:spacing w:after="0" w:before="0"/>
              <w:jc w:val="left"/>
            </w:pPr>
            <w:r/>
            <w:r>
              <w:rPr>
                <w:rFonts w:ascii="Calibri" w:hAnsi="Calibri"/>
                <w:b w:val="0"/>
                <w:color w:val="232B35"/>
                <w:sz w:val="17"/>
              </w:rPr>
              <w:t>Un verificador comunitario no cierra automáticamente un caso sensible con una sola confirmación.</w:t>
            </w:r>
          </w:p>
        </w:tc>
      </w:tr>
    </w:tbl>
    <w:p>
      <w:pPr>
        <w:spacing w:after="20"/>
      </w:pPr>
    </w:p>
    <w:p>
      <w:pPr>
        <w:pStyle w:val="Ttulo2"/>
      </w:pPr>
      <w:r>
        <w:t>2.8 Diseño técnico y construcción del prototipo</w:t>
      </w:r>
    </w:p>
    <w:p>
      <w:pPr>
        <w:pStyle w:val="BodyAcademic"/>
        <w:jc w:val="both"/>
      </w:pPr>
      <w:r>
        <w:t>El prototipo se construirá por incrementos. La aplicación móvil utilizará Flutter/Dart; el backend Python/FastAPI; PostgreSQL/PostGIS como source of truth; Redis y workers para TTL, reintentos y trabajos asíncronos; Firebase Cloud Messaging para push; Docker Compose para entornos reproducibles; Nginx para balanceo local; GitHub para versionamiento y CI. El código se organizará por módulos de dominio, no por pantallas.</w:t>
      </w:r>
    </w:p>
    <w:p>
      <w:pPr>
        <w:pStyle w:val="BodyAcademic"/>
        <w:jc w:val="both"/>
      </w:pPr>
      <w:r>
        <w:t>Se utilizarán tres entornos conceptuales: DEV en el equipo local; TEST con Docker y datos sintéticos; DEMO en un servidor pequeño o máquina separada si se requiere probar dispositivos fuera de la red local. Las VM no reemplazan Docker como mecanismo principal; se reservan para pruebas donde el aislamiento de sistema operativo o red aporte evidencia adicional.</w:t>
      </w:r>
    </w:p>
    <w:p>
      <w:pPr>
        <w:pStyle w:val="Ttulo2"/>
      </w:pPr>
      <w:r>
        <w:t>2.9 Integraciones y simulador de eventos</w:t>
      </w:r>
    </w:p>
    <w:p>
      <w:pPr>
        <w:pStyle w:val="BodyAcademic"/>
        <w:jc w:val="both"/>
      </w:pPr>
      <w:r>
        <w:t>El sistema debe poder probarse sin esperar un desastre real. Se implementarán endpoints protegidos para eventos sintéticos que recorran el mismo motor que un evento real, conservando source=TEST e is_test=true. Un contrato conceptual mínimo será POST /test/emergency-events con tipo, severidad, magnitud cuando aplique, coordenadas o polígono, radio, timestamp y vigencia. El acceso se restringirá a roles de prueba y nunca se habilitará de forma abierta en producción.</w:t>
      </w:r>
    </w:p>
    <w:p>
      <w:pPr>
        <w:spacing w:before="80" w:after="40"/>
        <w:jc w:val="center"/>
      </w:pPr>
      <w:r>
        <w:drawing>
          <wp:inline xmlns:a="http://schemas.openxmlformats.org/drawingml/2006/main" xmlns:pic="http://schemas.openxmlformats.org/drawingml/2006/picture">
            <wp:extent cx="5715000" cy="2805165"/>
            <wp:docPr id="19" name="Picture 19"/>
            <wp:cNvGraphicFramePr>
              <a:graphicFrameLocks noChangeAspect="1"/>
            </wp:cNvGraphicFramePr>
            <a:graphic>
              <a:graphicData uri="http://schemas.openxmlformats.org/drawingml/2006/picture">
                <pic:pic>
                  <pic:nvPicPr>
                    <pic:cNvPr id="0" name="11_secuencia_evento.png"/>
                    <pic:cNvPicPr/>
                  </pic:nvPicPr>
                  <pic:blipFill>
                    <a:blip r:embed="rId35"/>
                    <a:stretch>
                      <a:fillRect/>
                    </a:stretch>
                  </pic:blipFill>
                  <pic:spPr>
                    <a:xfrm>
                      <a:off x="0" y="0"/>
                      <a:ext cx="5715000" cy="2805165"/>
                    </a:xfrm>
                    <a:prstGeom prst="rect"/>
                  </pic:spPr>
                </pic:pic>
              </a:graphicData>
            </a:graphic>
          </wp:inline>
        </w:drawing>
      </w:r>
    </w:p>
    <w:p>
      <w:pPr>
        <w:pStyle w:val="CaptionAcademic"/>
        <w:jc w:val="center"/>
      </w:pPr>
      <w:r>
        <w:t>Figura 18. Secuencia de evento, check-in, falta de respuesta y Welfare Check.</w:t>
      </w:r>
    </w:p>
    <w:p>
      <w:pPr>
        <w:pStyle w:val="Ttulo2"/>
      </w:pPr>
      <w:r>
        <w:t>2.10 Escenarios funcionales de validación</w:t>
      </w:r>
    </w:p>
    <w:tbl>
      <w:tblPr>
        <w:tblStyle w:val="Tablaconcuadrcula"/>
        <w:tblW w:type="auto" w:w="0"/>
        <w:jc w:val="center"/>
        <w:tblLook w:firstColumn="1" w:firstRow="1" w:lastColumn="0" w:lastRow="0" w:noHBand="0" w:noVBand="1" w:val="04A0"/>
      </w:tblPr>
      <w:tblGrid>
        <w:gridCol w:w="3043"/>
        <w:gridCol w:w="3043"/>
        <w:gridCol w:w="3043"/>
      </w:tblGrid>
      <w:tr>
        <w:tc>
          <w:tcPr>
            <w:tcW w:type="dxa" w:w="864"/>
            <w:vAlign w:val="center"/>
            <w:shd w:fill="17365D"/>
          </w:tcPr>
          <w:p>
            <w:pPr>
              <w:spacing w:after="0" w:before="0"/>
              <w:jc w:val="left"/>
            </w:pPr>
            <w:r/>
            <w:r>
              <w:rPr>
                <w:rFonts w:ascii="Calibri" w:hAnsi="Calibri"/>
                <w:b/>
                <w:color w:val="FFFFFF"/>
                <w:sz w:val="15"/>
              </w:rPr>
              <w:t>ID</w:t>
            </w:r>
          </w:p>
        </w:tc>
        <w:tc>
          <w:tcPr>
            <w:tcW w:type="dxa" w:w="3456"/>
            <w:vAlign w:val="center"/>
            <w:shd w:fill="17365D"/>
          </w:tcPr>
          <w:p>
            <w:pPr>
              <w:spacing w:after="0" w:before="0"/>
              <w:jc w:val="left"/>
            </w:pPr>
            <w:r/>
            <w:r>
              <w:rPr>
                <w:rFonts w:ascii="Calibri" w:hAnsi="Calibri"/>
                <w:b/>
                <w:color w:val="FFFFFF"/>
                <w:sz w:val="15"/>
              </w:rPr>
              <w:t>Escenario</w:t>
            </w:r>
          </w:p>
        </w:tc>
        <w:tc>
          <w:tcPr>
            <w:tcW w:type="dxa" w:w="5616"/>
            <w:vAlign w:val="center"/>
            <w:shd w:fill="17365D"/>
          </w:tcPr>
          <w:p>
            <w:pPr>
              <w:spacing w:after="0" w:before="0"/>
              <w:jc w:val="left"/>
            </w:pPr>
            <w:r/>
            <w:r>
              <w:rPr>
                <w:rFonts w:ascii="Calibri" w:hAnsi="Calibri"/>
                <w:b/>
                <w:color w:val="FFFFFF"/>
                <w:sz w:val="15"/>
              </w:rPr>
              <w:t>Resultado esperado</w:t>
            </w:r>
          </w:p>
        </w:tc>
      </w:tr>
      <w:tr>
        <w:tc>
          <w:tcPr>
            <w:tcW w:type="dxa" w:w="864"/>
            <w:vAlign w:val="center"/>
          </w:tcPr>
          <w:p>
            <w:pPr>
              <w:spacing w:after="0" w:before="0"/>
              <w:jc w:val="left"/>
            </w:pPr>
            <w:r/>
            <w:r>
              <w:rPr>
                <w:rFonts w:ascii="Calibri" w:hAnsi="Calibri"/>
                <w:b w:val="0"/>
                <w:color w:val="232B35"/>
                <w:sz w:val="15"/>
              </w:rPr>
              <w:t>E01</w:t>
            </w:r>
          </w:p>
        </w:tc>
        <w:tc>
          <w:tcPr>
            <w:tcW w:type="dxa" w:w="3456"/>
            <w:vAlign w:val="center"/>
          </w:tcPr>
          <w:p>
            <w:pPr>
              <w:spacing w:after="0" w:before="0"/>
              <w:jc w:val="left"/>
            </w:pPr>
            <w:r/>
            <w:r>
              <w:rPr>
                <w:rFonts w:ascii="Calibri" w:hAnsi="Calibri"/>
                <w:b w:val="0"/>
                <w:color w:val="232B35"/>
                <w:sz w:val="15"/>
              </w:rPr>
              <w:t>Sismo TEST relevante</w:t>
            </w:r>
          </w:p>
        </w:tc>
        <w:tc>
          <w:tcPr>
            <w:tcW w:type="dxa" w:w="5616"/>
            <w:vAlign w:val="center"/>
          </w:tcPr>
          <w:p>
            <w:pPr>
              <w:spacing w:after="0" w:before="0"/>
              <w:jc w:val="left"/>
            </w:pPr>
            <w:r/>
            <w:r>
              <w:rPr>
                <w:rFonts w:ascii="Calibri" w:hAnsi="Calibri"/>
                <w:b w:val="0"/>
                <w:color w:val="232B35"/>
                <w:sz w:val="15"/>
              </w:rPr>
              <w:t>Usuarios dentro del área reciben check-in.</w:t>
            </w:r>
          </w:p>
        </w:tc>
      </w:tr>
      <w:tr>
        <w:tc>
          <w:tcPr>
            <w:tcW w:type="dxa" w:w="864"/>
            <w:vAlign w:val="center"/>
            <w:shd w:fill="F7FAFC"/>
          </w:tcPr>
          <w:p>
            <w:pPr>
              <w:spacing w:after="0" w:before="0"/>
              <w:jc w:val="left"/>
            </w:pPr>
            <w:r/>
            <w:r>
              <w:rPr>
                <w:rFonts w:ascii="Calibri" w:hAnsi="Calibri"/>
                <w:b w:val="0"/>
                <w:color w:val="232B35"/>
                <w:sz w:val="15"/>
              </w:rPr>
              <w:t>E02</w:t>
            </w:r>
          </w:p>
        </w:tc>
        <w:tc>
          <w:tcPr>
            <w:tcW w:type="dxa" w:w="3456"/>
            <w:vAlign w:val="center"/>
            <w:shd w:fill="F7FAFC"/>
          </w:tcPr>
          <w:p>
            <w:pPr>
              <w:spacing w:after="0" w:before="0"/>
              <w:jc w:val="left"/>
            </w:pPr>
            <w:r/>
            <w:r>
              <w:rPr>
                <w:rFonts w:ascii="Calibri" w:hAnsi="Calibri"/>
                <w:b w:val="0"/>
                <w:color w:val="232B35"/>
                <w:sz w:val="15"/>
              </w:rPr>
              <w:t>Sismo bajo umbral / lejano</w:t>
            </w:r>
          </w:p>
        </w:tc>
        <w:tc>
          <w:tcPr>
            <w:tcW w:type="dxa" w:w="5616"/>
            <w:vAlign w:val="center"/>
            <w:shd w:fill="F7FAFC"/>
          </w:tcPr>
          <w:p>
            <w:pPr>
              <w:spacing w:after="0" w:before="0"/>
              <w:jc w:val="left"/>
            </w:pPr>
            <w:r/>
            <w:r>
              <w:rPr>
                <w:rFonts w:ascii="Calibri" w:hAnsi="Calibri"/>
                <w:b w:val="0"/>
                <w:color w:val="232B35"/>
                <w:sz w:val="15"/>
              </w:rPr>
              <w:t>No genera alerta innecesaria.</w:t>
            </w:r>
          </w:p>
        </w:tc>
      </w:tr>
      <w:tr>
        <w:tc>
          <w:tcPr>
            <w:tcW w:type="dxa" w:w="864"/>
            <w:vAlign w:val="center"/>
          </w:tcPr>
          <w:p>
            <w:pPr>
              <w:spacing w:after="0" w:before="0"/>
              <w:jc w:val="left"/>
            </w:pPr>
            <w:r/>
            <w:r>
              <w:rPr>
                <w:rFonts w:ascii="Calibri" w:hAnsi="Calibri"/>
                <w:b w:val="0"/>
                <w:color w:val="232B35"/>
                <w:sz w:val="15"/>
              </w:rPr>
              <w:t>E03</w:t>
            </w:r>
          </w:p>
        </w:tc>
        <w:tc>
          <w:tcPr>
            <w:tcW w:type="dxa" w:w="3456"/>
            <w:vAlign w:val="center"/>
          </w:tcPr>
          <w:p>
            <w:pPr>
              <w:spacing w:after="0" w:before="0"/>
              <w:jc w:val="left"/>
            </w:pPr>
            <w:r/>
            <w:r>
              <w:rPr>
                <w:rFonts w:ascii="Calibri" w:hAnsi="Calibri"/>
                <w:b w:val="0"/>
                <w:color w:val="232B35"/>
                <w:sz w:val="15"/>
              </w:rPr>
              <w:t>Deslizamiento</w:t>
            </w:r>
          </w:p>
        </w:tc>
        <w:tc>
          <w:tcPr>
            <w:tcW w:type="dxa" w:w="5616"/>
            <w:vAlign w:val="center"/>
          </w:tcPr>
          <w:p>
            <w:pPr>
              <w:spacing w:after="0" w:before="0"/>
              <w:jc w:val="left"/>
            </w:pPr>
            <w:r/>
            <w:r>
              <w:rPr>
                <w:rFonts w:ascii="Calibri" w:hAnsi="Calibri"/>
                <w:b w:val="0"/>
                <w:color w:val="232B35"/>
                <w:sz w:val="15"/>
              </w:rPr>
              <w:t>Mismo motor multiamenaza funciona.</w:t>
            </w:r>
          </w:p>
        </w:tc>
      </w:tr>
      <w:tr>
        <w:tc>
          <w:tcPr>
            <w:tcW w:type="dxa" w:w="864"/>
            <w:vAlign w:val="center"/>
            <w:shd w:fill="F7FAFC"/>
          </w:tcPr>
          <w:p>
            <w:pPr>
              <w:spacing w:after="0" w:before="0"/>
              <w:jc w:val="left"/>
            </w:pPr>
            <w:r/>
            <w:r>
              <w:rPr>
                <w:rFonts w:ascii="Calibri" w:hAnsi="Calibri"/>
                <w:b w:val="0"/>
                <w:color w:val="232B35"/>
                <w:sz w:val="15"/>
              </w:rPr>
              <w:t>E04</w:t>
            </w:r>
          </w:p>
        </w:tc>
        <w:tc>
          <w:tcPr>
            <w:tcW w:type="dxa" w:w="3456"/>
            <w:vAlign w:val="center"/>
            <w:shd w:fill="F7FAFC"/>
          </w:tcPr>
          <w:p>
            <w:pPr>
              <w:spacing w:after="0" w:before="0"/>
              <w:jc w:val="left"/>
            </w:pPr>
            <w:r/>
            <w:r>
              <w:rPr>
                <w:rFonts w:ascii="Calibri" w:hAnsi="Calibri"/>
                <w:b w:val="0"/>
                <w:color w:val="232B35"/>
                <w:sz w:val="15"/>
              </w:rPr>
              <w:t>Inundación</w:t>
            </w:r>
          </w:p>
        </w:tc>
        <w:tc>
          <w:tcPr>
            <w:tcW w:type="dxa" w:w="5616"/>
            <w:vAlign w:val="center"/>
            <w:shd w:fill="F7FAFC"/>
          </w:tcPr>
          <w:p>
            <w:pPr>
              <w:spacing w:after="0" w:before="0"/>
              <w:jc w:val="left"/>
            </w:pPr>
            <w:r/>
            <w:r>
              <w:rPr>
                <w:rFonts w:ascii="Calibri" w:hAnsi="Calibri"/>
                <w:b w:val="0"/>
                <w:color w:val="232B35"/>
                <w:sz w:val="15"/>
              </w:rPr>
              <w:t>Mismo motor funciona con otro tipo de evento.</w:t>
            </w:r>
          </w:p>
        </w:tc>
      </w:tr>
      <w:tr>
        <w:tc>
          <w:tcPr>
            <w:tcW w:type="dxa" w:w="864"/>
            <w:vAlign w:val="center"/>
          </w:tcPr>
          <w:p>
            <w:pPr>
              <w:spacing w:after="0" w:before="0"/>
              <w:jc w:val="left"/>
            </w:pPr>
            <w:r/>
            <w:r>
              <w:rPr>
                <w:rFonts w:ascii="Calibri" w:hAnsi="Calibri"/>
                <w:b w:val="0"/>
                <w:color w:val="232B35"/>
                <w:sz w:val="15"/>
              </w:rPr>
              <w:t>E05</w:t>
            </w:r>
          </w:p>
        </w:tc>
        <w:tc>
          <w:tcPr>
            <w:tcW w:type="dxa" w:w="3456"/>
            <w:vAlign w:val="center"/>
          </w:tcPr>
          <w:p>
            <w:pPr>
              <w:spacing w:after="0" w:before="0"/>
              <w:jc w:val="left"/>
            </w:pPr>
            <w:r/>
            <w:r>
              <w:rPr>
                <w:rFonts w:ascii="Calibri" w:hAnsi="Calibri"/>
                <w:b w:val="0"/>
                <w:color w:val="232B35"/>
                <w:sz w:val="15"/>
              </w:rPr>
              <w:t>“Estoy bien”</w:t>
            </w:r>
          </w:p>
        </w:tc>
        <w:tc>
          <w:tcPr>
            <w:tcW w:type="dxa" w:w="5616"/>
            <w:vAlign w:val="center"/>
          </w:tcPr>
          <w:p>
            <w:pPr>
              <w:spacing w:after="0" w:before="0"/>
              <w:jc w:val="left"/>
            </w:pPr>
            <w:r/>
            <w:r>
              <w:rPr>
                <w:rFonts w:ascii="Calibri" w:hAnsi="Calibri"/>
                <w:b w:val="0"/>
                <w:color w:val="232B35"/>
                <w:sz w:val="15"/>
              </w:rPr>
              <w:t>Trusted Circle recibe confirmación autorizada.</w:t>
            </w:r>
          </w:p>
        </w:tc>
      </w:tr>
      <w:tr>
        <w:tc>
          <w:tcPr>
            <w:tcW w:type="dxa" w:w="864"/>
            <w:vAlign w:val="center"/>
            <w:shd w:fill="F7FAFC"/>
          </w:tcPr>
          <w:p>
            <w:pPr>
              <w:spacing w:after="0" w:before="0"/>
              <w:jc w:val="left"/>
            </w:pPr>
            <w:r/>
            <w:r>
              <w:rPr>
                <w:rFonts w:ascii="Calibri" w:hAnsi="Calibri"/>
                <w:b w:val="0"/>
                <w:color w:val="232B35"/>
                <w:sz w:val="15"/>
              </w:rPr>
              <w:t>E06</w:t>
            </w:r>
          </w:p>
        </w:tc>
        <w:tc>
          <w:tcPr>
            <w:tcW w:type="dxa" w:w="3456"/>
            <w:vAlign w:val="center"/>
            <w:shd w:fill="F7FAFC"/>
          </w:tcPr>
          <w:p>
            <w:pPr>
              <w:spacing w:after="0" w:before="0"/>
              <w:jc w:val="left"/>
            </w:pPr>
            <w:r/>
            <w:r>
              <w:rPr>
                <w:rFonts w:ascii="Calibri" w:hAnsi="Calibri"/>
                <w:b w:val="0"/>
                <w:color w:val="232B35"/>
                <w:sz w:val="15"/>
              </w:rPr>
              <w:t>No respuesta</w:t>
            </w:r>
          </w:p>
        </w:tc>
        <w:tc>
          <w:tcPr>
            <w:tcW w:type="dxa" w:w="5616"/>
            <w:vAlign w:val="center"/>
            <w:shd w:fill="F7FAFC"/>
          </w:tcPr>
          <w:p>
            <w:pPr>
              <w:spacing w:after="0" w:before="0"/>
              <w:jc w:val="left"/>
            </w:pPr>
            <w:r/>
            <w:r>
              <w:rPr>
                <w:rFonts w:ascii="Calibri" w:hAnsi="Calibri"/>
                <w:b w:val="0"/>
                <w:color w:val="232B35"/>
                <w:sz w:val="15"/>
              </w:rPr>
              <w:t>Estado queda NO_RESPONSE / no confirmado.</w:t>
            </w:r>
          </w:p>
        </w:tc>
      </w:tr>
      <w:tr>
        <w:tc>
          <w:tcPr>
            <w:tcW w:type="dxa" w:w="864"/>
            <w:vAlign w:val="center"/>
          </w:tcPr>
          <w:p>
            <w:pPr>
              <w:spacing w:after="0" w:before="0"/>
              <w:jc w:val="left"/>
            </w:pPr>
            <w:r/>
            <w:r>
              <w:rPr>
                <w:rFonts w:ascii="Calibri" w:hAnsi="Calibri"/>
                <w:b w:val="0"/>
                <w:color w:val="232B35"/>
                <w:sz w:val="15"/>
              </w:rPr>
              <w:t>E07</w:t>
            </w:r>
          </w:p>
        </w:tc>
        <w:tc>
          <w:tcPr>
            <w:tcW w:type="dxa" w:w="3456"/>
            <w:vAlign w:val="center"/>
          </w:tcPr>
          <w:p>
            <w:pPr>
              <w:spacing w:after="0" w:before="0"/>
              <w:jc w:val="left"/>
            </w:pPr>
            <w:r/>
            <w:r>
              <w:rPr>
                <w:rFonts w:ascii="Calibri" w:hAnsi="Calibri"/>
                <w:b w:val="0"/>
                <w:color w:val="232B35"/>
                <w:sz w:val="15"/>
              </w:rPr>
              <w:t>“Necesito ayuda”</w:t>
            </w:r>
          </w:p>
        </w:tc>
        <w:tc>
          <w:tcPr>
            <w:tcW w:type="dxa" w:w="5616"/>
            <w:vAlign w:val="center"/>
          </w:tcPr>
          <w:p>
            <w:pPr>
              <w:spacing w:after="0" w:before="0"/>
              <w:jc w:val="left"/>
            </w:pPr>
            <w:r/>
            <w:r>
              <w:rPr>
                <w:rFonts w:ascii="Calibri" w:hAnsi="Calibri"/>
                <w:b w:val="0"/>
                <w:color w:val="232B35"/>
                <w:sz w:val="15"/>
              </w:rPr>
              <w:t>Escalamiento inmediato según política.</w:t>
            </w:r>
          </w:p>
        </w:tc>
      </w:tr>
      <w:tr>
        <w:tc>
          <w:tcPr>
            <w:tcW w:type="dxa" w:w="864"/>
            <w:vAlign w:val="center"/>
            <w:shd w:fill="F7FAFC"/>
          </w:tcPr>
          <w:p>
            <w:pPr>
              <w:spacing w:after="0" w:before="0"/>
              <w:jc w:val="left"/>
            </w:pPr>
            <w:r/>
            <w:r>
              <w:rPr>
                <w:rFonts w:ascii="Calibri" w:hAnsi="Calibri"/>
                <w:b w:val="0"/>
                <w:color w:val="232B35"/>
                <w:sz w:val="15"/>
              </w:rPr>
              <w:t>E08</w:t>
            </w:r>
          </w:p>
        </w:tc>
        <w:tc>
          <w:tcPr>
            <w:tcW w:type="dxa" w:w="3456"/>
            <w:vAlign w:val="center"/>
            <w:shd w:fill="F7FAFC"/>
          </w:tcPr>
          <w:p>
            <w:pPr>
              <w:spacing w:after="0" w:before="0"/>
              <w:jc w:val="left"/>
            </w:pPr>
            <w:r/>
            <w:r>
              <w:rPr>
                <w:rFonts w:ascii="Calibri" w:hAnsi="Calibri"/>
                <w:b w:val="0"/>
                <w:color w:val="232B35"/>
                <w:sz w:val="15"/>
              </w:rPr>
              <w:t>“No puedo salir”</w:t>
            </w:r>
          </w:p>
        </w:tc>
        <w:tc>
          <w:tcPr>
            <w:tcW w:type="dxa" w:w="5616"/>
            <w:vAlign w:val="center"/>
            <w:shd w:fill="F7FAFC"/>
          </w:tcPr>
          <w:p>
            <w:pPr>
              <w:spacing w:after="0" w:before="0"/>
              <w:jc w:val="left"/>
            </w:pPr>
            <w:r/>
            <w:r>
              <w:rPr>
                <w:rFonts w:ascii="Calibri" w:hAnsi="Calibri"/>
                <w:b w:val="0"/>
                <w:color w:val="232B35"/>
                <w:sz w:val="15"/>
              </w:rPr>
              <w:t>Estado diferenciado y notificación.</w:t>
            </w:r>
          </w:p>
        </w:tc>
      </w:tr>
      <w:tr>
        <w:tc>
          <w:tcPr>
            <w:tcW w:type="dxa" w:w="864"/>
            <w:vAlign w:val="center"/>
          </w:tcPr>
          <w:p>
            <w:pPr>
              <w:spacing w:after="0" w:before="0"/>
              <w:jc w:val="left"/>
            </w:pPr>
            <w:r/>
            <w:r>
              <w:rPr>
                <w:rFonts w:ascii="Calibri" w:hAnsi="Calibri"/>
                <w:b w:val="0"/>
                <w:color w:val="232B35"/>
                <w:sz w:val="15"/>
              </w:rPr>
              <w:t>E09</w:t>
            </w:r>
          </w:p>
        </w:tc>
        <w:tc>
          <w:tcPr>
            <w:tcW w:type="dxa" w:w="3456"/>
            <w:vAlign w:val="center"/>
          </w:tcPr>
          <w:p>
            <w:pPr>
              <w:spacing w:after="0" w:before="0"/>
              <w:jc w:val="left"/>
            </w:pPr>
            <w:r/>
            <w:r>
              <w:rPr>
                <w:rFonts w:ascii="Calibri" w:hAnsi="Calibri"/>
                <w:b w:val="0"/>
                <w:color w:val="232B35"/>
                <w:sz w:val="15"/>
              </w:rPr>
              <w:t>Un familiar solicita ubicación</w:t>
            </w:r>
          </w:p>
        </w:tc>
        <w:tc>
          <w:tcPr>
            <w:tcW w:type="dxa" w:w="5616"/>
            <w:vAlign w:val="center"/>
          </w:tcPr>
          <w:p>
            <w:pPr>
              <w:spacing w:after="0" w:before="0"/>
              <w:jc w:val="left"/>
            </w:pPr>
            <w:r/>
            <w:r>
              <w:rPr>
                <w:rFonts w:ascii="Calibri" w:hAnsi="Calibri"/>
                <w:b w:val="0"/>
                <w:color w:val="232B35"/>
                <w:sz w:val="15"/>
              </w:rPr>
              <w:t>No se libera si la política exige quórum.</w:t>
            </w:r>
          </w:p>
        </w:tc>
      </w:tr>
      <w:tr>
        <w:tc>
          <w:tcPr>
            <w:tcW w:type="dxa" w:w="864"/>
            <w:vAlign w:val="center"/>
            <w:shd w:fill="F7FAFC"/>
          </w:tcPr>
          <w:p>
            <w:pPr>
              <w:spacing w:after="0" w:before="0"/>
              <w:jc w:val="left"/>
            </w:pPr>
            <w:r/>
            <w:r>
              <w:rPr>
                <w:rFonts w:ascii="Calibri" w:hAnsi="Calibri"/>
                <w:b w:val="0"/>
                <w:color w:val="232B35"/>
                <w:sz w:val="15"/>
              </w:rPr>
              <w:t>E10</w:t>
            </w:r>
          </w:p>
        </w:tc>
        <w:tc>
          <w:tcPr>
            <w:tcW w:type="dxa" w:w="3456"/>
            <w:vAlign w:val="center"/>
            <w:shd w:fill="F7FAFC"/>
          </w:tcPr>
          <w:p>
            <w:pPr>
              <w:spacing w:after="0" w:before="0"/>
              <w:jc w:val="left"/>
            </w:pPr>
            <w:r/>
            <w:r>
              <w:rPr>
                <w:rFonts w:ascii="Calibri" w:hAnsi="Calibri"/>
                <w:b w:val="0"/>
                <w:color w:val="232B35"/>
                <w:sz w:val="15"/>
              </w:rPr>
              <w:t>2 de 3 contactos confirman</w:t>
            </w:r>
          </w:p>
        </w:tc>
        <w:tc>
          <w:tcPr>
            <w:tcW w:type="dxa" w:w="5616"/>
            <w:vAlign w:val="center"/>
            <w:shd w:fill="F7FAFC"/>
          </w:tcPr>
          <w:p>
            <w:pPr>
              <w:spacing w:after="0" w:before="0"/>
              <w:jc w:val="left"/>
            </w:pPr>
            <w:r/>
            <w:r>
              <w:rPr>
                <w:rFonts w:ascii="Calibri" w:hAnsi="Calibri"/>
                <w:b w:val="0"/>
                <w:color w:val="232B35"/>
                <w:sz w:val="15"/>
              </w:rPr>
              <w:t>Se habilita información mínima preautorizada.</w:t>
            </w:r>
          </w:p>
        </w:tc>
      </w:tr>
      <w:tr>
        <w:tc>
          <w:tcPr>
            <w:tcW w:type="dxa" w:w="864"/>
            <w:vAlign w:val="center"/>
          </w:tcPr>
          <w:p>
            <w:pPr>
              <w:spacing w:after="0" w:before="0"/>
              <w:jc w:val="left"/>
            </w:pPr>
            <w:r/>
            <w:r>
              <w:rPr>
                <w:rFonts w:ascii="Calibri" w:hAnsi="Calibri"/>
                <w:b w:val="0"/>
                <w:color w:val="232B35"/>
                <w:sz w:val="15"/>
              </w:rPr>
              <w:t>E11</w:t>
            </w:r>
          </w:p>
        </w:tc>
        <w:tc>
          <w:tcPr>
            <w:tcW w:type="dxa" w:w="3456"/>
            <w:vAlign w:val="center"/>
          </w:tcPr>
          <w:p>
            <w:pPr>
              <w:spacing w:after="0" w:before="0"/>
              <w:jc w:val="left"/>
            </w:pPr>
            <w:r/>
            <w:r>
              <w:rPr>
                <w:rFonts w:ascii="Calibri" w:hAnsi="Calibri"/>
                <w:b w:val="0"/>
                <w:color w:val="232B35"/>
                <w:sz w:val="15"/>
              </w:rPr>
              <w:t>Teléfono apagado</w:t>
            </w:r>
          </w:p>
        </w:tc>
        <w:tc>
          <w:tcPr>
            <w:tcW w:type="dxa" w:w="5616"/>
            <w:vAlign w:val="center"/>
          </w:tcPr>
          <w:p>
            <w:pPr>
              <w:spacing w:after="0" w:before="0"/>
              <w:jc w:val="left"/>
            </w:pPr>
            <w:r/>
            <w:r>
              <w:rPr>
                <w:rFonts w:ascii="Calibri" w:hAnsi="Calibri"/>
                <w:b w:val="0"/>
                <w:color w:val="232B35"/>
                <w:sz w:val="15"/>
              </w:rPr>
              <w:t>Se muestra último checkpoint + antigüedad, no ubicación actual.</w:t>
            </w:r>
          </w:p>
        </w:tc>
      </w:tr>
      <w:tr>
        <w:tc>
          <w:tcPr>
            <w:tcW w:type="dxa" w:w="864"/>
            <w:vAlign w:val="center"/>
            <w:shd w:fill="F7FAFC"/>
          </w:tcPr>
          <w:p>
            <w:pPr>
              <w:spacing w:after="0" w:before="0"/>
              <w:jc w:val="left"/>
            </w:pPr>
            <w:r/>
            <w:r>
              <w:rPr>
                <w:rFonts w:ascii="Calibri" w:hAnsi="Calibri"/>
                <w:b w:val="0"/>
                <w:color w:val="232B35"/>
                <w:sz w:val="15"/>
              </w:rPr>
              <w:t>E12</w:t>
            </w:r>
          </w:p>
        </w:tc>
        <w:tc>
          <w:tcPr>
            <w:tcW w:type="dxa" w:w="3456"/>
            <w:vAlign w:val="center"/>
            <w:shd w:fill="F7FAFC"/>
          </w:tcPr>
          <w:p>
            <w:pPr>
              <w:spacing w:after="0" w:before="0"/>
              <w:jc w:val="left"/>
            </w:pPr>
            <w:r/>
            <w:r>
              <w:rPr>
                <w:rFonts w:ascii="Calibri" w:hAnsi="Calibri"/>
                <w:b w:val="0"/>
                <w:color w:val="232B35"/>
                <w:sz w:val="15"/>
              </w:rPr>
              <w:t>TTL de 24 h</w:t>
            </w:r>
          </w:p>
        </w:tc>
        <w:tc>
          <w:tcPr>
            <w:tcW w:type="dxa" w:w="5616"/>
            <w:vAlign w:val="center"/>
            <w:shd w:fill="F7FAFC"/>
          </w:tcPr>
          <w:p>
            <w:pPr>
              <w:spacing w:after="0" w:before="0"/>
              <w:jc w:val="left"/>
            </w:pPr>
            <w:r/>
            <w:r>
              <w:rPr>
                <w:rFonts w:ascii="Calibri" w:hAnsi="Calibri"/>
                <w:b w:val="0"/>
                <w:color w:val="232B35"/>
                <w:sz w:val="15"/>
              </w:rPr>
              <w:t>Solo se elimina cada registro vencido.</w:t>
            </w:r>
          </w:p>
        </w:tc>
      </w:tr>
      <w:tr>
        <w:tc>
          <w:tcPr>
            <w:tcW w:type="dxa" w:w="864"/>
            <w:vAlign w:val="center"/>
          </w:tcPr>
          <w:p>
            <w:pPr>
              <w:spacing w:after="0" w:before="0"/>
              <w:jc w:val="left"/>
            </w:pPr>
            <w:r/>
            <w:r>
              <w:rPr>
                <w:rFonts w:ascii="Calibri" w:hAnsi="Calibri"/>
                <w:b w:val="0"/>
                <w:color w:val="232B35"/>
                <w:sz w:val="15"/>
              </w:rPr>
              <w:t>E13</w:t>
            </w:r>
          </w:p>
        </w:tc>
        <w:tc>
          <w:tcPr>
            <w:tcW w:type="dxa" w:w="3456"/>
            <w:vAlign w:val="center"/>
          </w:tcPr>
          <w:p>
            <w:pPr>
              <w:spacing w:after="0" w:before="0"/>
              <w:jc w:val="left"/>
            </w:pPr>
            <w:r/>
            <w:r>
              <w:rPr>
                <w:rFonts w:ascii="Calibri" w:hAnsi="Calibri"/>
                <w:b w:val="0"/>
                <w:color w:val="232B35"/>
                <w:sz w:val="15"/>
              </w:rPr>
              <w:t>Incident hold</w:t>
            </w:r>
          </w:p>
        </w:tc>
        <w:tc>
          <w:tcPr>
            <w:tcW w:type="dxa" w:w="5616"/>
            <w:vAlign w:val="center"/>
          </w:tcPr>
          <w:p>
            <w:pPr>
              <w:spacing w:after="0" w:before="0"/>
              <w:jc w:val="left"/>
            </w:pPr>
            <w:r/>
            <w:r>
              <w:rPr>
                <w:rFonts w:ascii="Calibri" w:hAnsi="Calibri"/>
                <w:b w:val="0"/>
                <w:color w:val="232B35"/>
                <w:sz w:val="15"/>
              </w:rPr>
              <w:t>Checkpoint relevante se retiene temporalmente y se audita.</w:t>
            </w:r>
          </w:p>
        </w:tc>
      </w:tr>
      <w:tr>
        <w:tc>
          <w:tcPr>
            <w:tcW w:type="dxa" w:w="864"/>
            <w:vAlign w:val="center"/>
            <w:shd w:fill="F7FAFC"/>
          </w:tcPr>
          <w:p>
            <w:pPr>
              <w:spacing w:after="0" w:before="0"/>
              <w:jc w:val="left"/>
            </w:pPr>
            <w:r/>
            <w:r>
              <w:rPr>
                <w:rFonts w:ascii="Calibri" w:hAnsi="Calibri"/>
                <w:b w:val="0"/>
                <w:color w:val="232B35"/>
                <w:sz w:val="15"/>
              </w:rPr>
              <w:t>E14</w:t>
            </w:r>
          </w:p>
        </w:tc>
        <w:tc>
          <w:tcPr>
            <w:tcW w:type="dxa" w:w="3456"/>
            <w:vAlign w:val="center"/>
            <w:shd w:fill="F7FAFC"/>
          </w:tcPr>
          <w:p>
            <w:pPr>
              <w:spacing w:after="0" w:before="0"/>
              <w:jc w:val="left"/>
            </w:pPr>
            <w:r/>
            <w:r>
              <w:rPr>
                <w:rFonts w:ascii="Calibri" w:hAnsi="Calibri"/>
                <w:b w:val="0"/>
                <w:color w:val="232B35"/>
                <w:sz w:val="15"/>
              </w:rPr>
              <w:t>Stalking / acceso no autorizado</w:t>
            </w:r>
          </w:p>
        </w:tc>
        <w:tc>
          <w:tcPr>
            <w:tcW w:type="dxa" w:w="5616"/>
            <w:vAlign w:val="center"/>
            <w:shd w:fill="F7FAFC"/>
          </w:tcPr>
          <w:p>
            <w:pPr>
              <w:spacing w:after="0" w:before="0"/>
              <w:jc w:val="left"/>
            </w:pPr>
            <w:r/>
            <w:r>
              <w:rPr>
                <w:rFonts w:ascii="Calibri" w:hAnsi="Calibri"/>
                <w:b w:val="0"/>
                <w:color w:val="232B35"/>
                <w:sz w:val="15"/>
              </w:rPr>
              <w:t>403/denegación y auditoría.</w:t>
            </w:r>
          </w:p>
        </w:tc>
      </w:tr>
      <w:tr>
        <w:tc>
          <w:tcPr>
            <w:tcW w:type="dxa" w:w="864"/>
            <w:vAlign w:val="center"/>
          </w:tcPr>
          <w:p>
            <w:pPr>
              <w:spacing w:after="0" w:before="0"/>
              <w:jc w:val="left"/>
            </w:pPr>
            <w:r/>
            <w:r>
              <w:rPr>
                <w:rFonts w:ascii="Calibri" w:hAnsi="Calibri"/>
                <w:b w:val="0"/>
                <w:color w:val="232B35"/>
                <w:sz w:val="15"/>
              </w:rPr>
              <w:t>E15</w:t>
            </w:r>
          </w:p>
        </w:tc>
        <w:tc>
          <w:tcPr>
            <w:tcW w:type="dxa" w:w="3456"/>
            <w:vAlign w:val="center"/>
          </w:tcPr>
          <w:p>
            <w:pPr>
              <w:spacing w:after="0" w:before="0"/>
              <w:jc w:val="left"/>
            </w:pPr>
            <w:r/>
            <w:r>
              <w:rPr>
                <w:rFonts w:ascii="Calibri" w:hAnsi="Calibri"/>
                <w:b w:val="0"/>
                <w:color w:val="232B35"/>
                <w:sz w:val="15"/>
              </w:rPr>
              <w:t>Revocación de contacto</w:t>
            </w:r>
          </w:p>
        </w:tc>
        <w:tc>
          <w:tcPr>
            <w:tcW w:type="dxa" w:w="5616"/>
            <w:vAlign w:val="center"/>
          </w:tcPr>
          <w:p>
            <w:pPr>
              <w:spacing w:after="0" w:before="0"/>
              <w:jc w:val="left"/>
            </w:pPr>
            <w:r/>
            <w:r>
              <w:rPr>
                <w:rFonts w:ascii="Calibri" w:hAnsi="Calibri"/>
                <w:b w:val="0"/>
                <w:color w:val="232B35"/>
                <w:sz w:val="15"/>
              </w:rPr>
              <w:t>Pierde acceso de inmediato.</w:t>
            </w:r>
          </w:p>
        </w:tc>
      </w:tr>
      <w:tr>
        <w:tc>
          <w:tcPr>
            <w:tcW w:type="dxa" w:w="864"/>
            <w:vAlign w:val="center"/>
            <w:shd w:fill="F7FAFC"/>
          </w:tcPr>
          <w:p>
            <w:pPr>
              <w:spacing w:after="0" w:before="0"/>
              <w:jc w:val="left"/>
            </w:pPr>
            <w:r/>
            <w:r>
              <w:rPr>
                <w:rFonts w:ascii="Calibri" w:hAnsi="Calibri"/>
                <w:b w:val="0"/>
                <w:color w:val="232B35"/>
                <w:sz w:val="15"/>
              </w:rPr>
              <w:t>E16</w:t>
            </w:r>
          </w:p>
        </w:tc>
        <w:tc>
          <w:tcPr>
            <w:tcW w:type="dxa" w:w="3456"/>
            <w:vAlign w:val="center"/>
            <w:shd w:fill="F7FAFC"/>
          </w:tcPr>
          <w:p>
            <w:pPr>
              <w:spacing w:after="0" w:before="0"/>
              <w:jc w:val="left"/>
            </w:pPr>
            <w:r/>
            <w:r>
              <w:rPr>
                <w:rFonts w:ascii="Calibri" w:hAnsi="Calibri"/>
                <w:b w:val="0"/>
                <w:color w:val="232B35"/>
                <w:sz w:val="15"/>
              </w:rPr>
              <w:t>Welfare Check</w:t>
            </w:r>
          </w:p>
        </w:tc>
        <w:tc>
          <w:tcPr>
            <w:tcW w:type="dxa" w:w="5616"/>
            <w:vAlign w:val="center"/>
            <w:shd w:fill="F7FAFC"/>
          </w:tcPr>
          <w:p>
            <w:pPr>
              <w:spacing w:after="0" w:before="0"/>
              <w:jc w:val="left"/>
            </w:pPr>
            <w:r/>
            <w:r>
              <w:rPr>
                <w:rFonts w:ascii="Calibri" w:hAnsi="Calibri"/>
                <w:b w:val="0"/>
                <w:color w:val="232B35"/>
                <w:sz w:val="15"/>
              </w:rPr>
              <w:t>Voluntario recibe primero zona aproximada.</w:t>
            </w:r>
          </w:p>
        </w:tc>
      </w:tr>
      <w:tr>
        <w:tc>
          <w:tcPr>
            <w:tcW w:type="dxa" w:w="864"/>
            <w:vAlign w:val="center"/>
          </w:tcPr>
          <w:p>
            <w:pPr>
              <w:spacing w:after="0" w:before="0"/>
              <w:jc w:val="left"/>
            </w:pPr>
            <w:r/>
            <w:r>
              <w:rPr>
                <w:rFonts w:ascii="Calibri" w:hAnsi="Calibri"/>
                <w:b w:val="0"/>
                <w:color w:val="232B35"/>
                <w:sz w:val="15"/>
              </w:rPr>
              <w:t>E17</w:t>
            </w:r>
          </w:p>
        </w:tc>
        <w:tc>
          <w:tcPr>
            <w:tcW w:type="dxa" w:w="3456"/>
            <w:vAlign w:val="center"/>
          </w:tcPr>
          <w:p>
            <w:pPr>
              <w:spacing w:after="0" w:before="0"/>
              <w:jc w:val="left"/>
            </w:pPr>
            <w:r/>
            <w:r>
              <w:rPr>
                <w:rFonts w:ascii="Calibri" w:hAnsi="Calibri"/>
                <w:b w:val="0"/>
                <w:color w:val="232B35"/>
                <w:sz w:val="15"/>
              </w:rPr>
              <w:t>Perfil NNA sintético</w:t>
            </w:r>
          </w:p>
        </w:tc>
        <w:tc>
          <w:tcPr>
            <w:tcW w:type="dxa" w:w="5616"/>
            <w:vAlign w:val="center"/>
          </w:tcPr>
          <w:p>
            <w:pPr>
              <w:spacing w:after="0" w:before="0"/>
              <w:jc w:val="left"/>
            </w:pPr>
            <w:r/>
            <w:r>
              <w:rPr>
                <w:rFonts w:ascii="Calibri" w:hAnsi="Calibri"/>
                <w:b w:val="0"/>
                <w:color w:val="232B35"/>
                <w:sz w:val="15"/>
              </w:rPr>
              <w:t>Políticas restrictivas automáticas.</w:t>
            </w:r>
          </w:p>
        </w:tc>
      </w:tr>
      <w:tr>
        <w:tc>
          <w:tcPr>
            <w:tcW w:type="dxa" w:w="864"/>
            <w:vAlign w:val="center"/>
            <w:shd w:fill="F7FAFC"/>
          </w:tcPr>
          <w:p>
            <w:pPr>
              <w:spacing w:after="0" w:before="0"/>
              <w:jc w:val="left"/>
            </w:pPr>
            <w:r/>
            <w:r>
              <w:rPr>
                <w:rFonts w:ascii="Calibri" w:hAnsi="Calibri"/>
                <w:b w:val="0"/>
                <w:color w:val="232B35"/>
                <w:sz w:val="15"/>
              </w:rPr>
              <w:t>E18</w:t>
            </w:r>
          </w:p>
        </w:tc>
        <w:tc>
          <w:tcPr>
            <w:tcW w:type="dxa" w:w="3456"/>
            <w:vAlign w:val="center"/>
            <w:shd w:fill="F7FAFC"/>
          </w:tcPr>
          <w:p>
            <w:pPr>
              <w:spacing w:after="0" w:before="0"/>
              <w:jc w:val="left"/>
            </w:pPr>
            <w:r/>
            <w:r>
              <w:rPr>
                <w:rFonts w:ascii="Calibri" w:hAnsi="Calibri"/>
                <w:b w:val="0"/>
                <w:color w:val="232B35"/>
                <w:sz w:val="15"/>
              </w:rPr>
              <w:t>Personal Safety Mode</w:t>
            </w:r>
          </w:p>
        </w:tc>
        <w:tc>
          <w:tcPr>
            <w:tcW w:type="dxa" w:w="5616"/>
            <w:vAlign w:val="center"/>
            <w:shd w:fill="F7FAFC"/>
          </w:tcPr>
          <w:p>
            <w:pPr>
              <w:spacing w:after="0" w:before="0"/>
              <w:jc w:val="left"/>
            </w:pPr>
            <w:r/>
            <w:r>
              <w:rPr>
                <w:rFonts w:ascii="Calibri" w:hAnsi="Calibri"/>
                <w:b w:val="0"/>
                <w:color w:val="232B35"/>
                <w:sz w:val="15"/>
              </w:rPr>
              <w:t>Aumenta muestreo temporal + contactos preseleccionados.</w:t>
            </w:r>
          </w:p>
        </w:tc>
      </w:tr>
      <w:tr>
        <w:tc>
          <w:tcPr>
            <w:tcW w:type="dxa" w:w="864"/>
            <w:vAlign w:val="center"/>
          </w:tcPr>
          <w:p>
            <w:pPr>
              <w:spacing w:after="0" w:before="0"/>
              <w:jc w:val="left"/>
            </w:pPr>
            <w:r/>
            <w:r>
              <w:rPr>
                <w:rFonts w:ascii="Calibri" w:hAnsi="Calibri"/>
                <w:b w:val="0"/>
                <w:color w:val="232B35"/>
                <w:sz w:val="15"/>
              </w:rPr>
              <w:t>E19</w:t>
            </w:r>
          </w:p>
        </w:tc>
        <w:tc>
          <w:tcPr>
            <w:tcW w:type="dxa" w:w="3456"/>
            <w:vAlign w:val="center"/>
          </w:tcPr>
          <w:p>
            <w:pPr>
              <w:spacing w:after="0" w:before="0"/>
              <w:jc w:val="left"/>
            </w:pPr>
            <w:r/>
            <w:r>
              <w:rPr>
                <w:rFonts w:ascii="Calibri" w:hAnsi="Calibri"/>
                <w:b w:val="0"/>
                <w:color w:val="232B35"/>
                <w:sz w:val="15"/>
              </w:rPr>
              <w:t>P2P store-and-forward</w:t>
            </w:r>
          </w:p>
        </w:tc>
        <w:tc>
          <w:tcPr>
            <w:tcW w:type="dxa" w:w="5616"/>
            <w:vAlign w:val="center"/>
          </w:tcPr>
          <w:p>
            <w:pPr>
              <w:spacing w:after="0" w:before="0"/>
              <w:jc w:val="left"/>
            </w:pPr>
            <w:r/>
            <w:r>
              <w:rPr>
                <w:rFonts w:ascii="Calibri" w:hAnsi="Calibri"/>
                <w:b w:val="0"/>
                <w:color w:val="232B35"/>
                <w:sz w:val="15"/>
              </w:rPr>
              <w:t>Mensaje offline se entrega cuando reaparece conectividad.</w:t>
            </w:r>
          </w:p>
        </w:tc>
      </w:tr>
      <w:tr>
        <w:tc>
          <w:tcPr>
            <w:tcW w:type="dxa" w:w="864"/>
            <w:vAlign w:val="center"/>
            <w:shd w:fill="F7FAFC"/>
          </w:tcPr>
          <w:p>
            <w:pPr>
              <w:spacing w:after="0" w:before="0"/>
              <w:jc w:val="left"/>
            </w:pPr>
            <w:r/>
            <w:r>
              <w:rPr>
                <w:rFonts w:ascii="Calibri" w:hAnsi="Calibri"/>
                <w:b w:val="0"/>
                <w:color w:val="232B35"/>
                <w:sz w:val="15"/>
              </w:rPr>
              <w:t>E20</w:t>
            </w:r>
          </w:p>
        </w:tc>
        <w:tc>
          <w:tcPr>
            <w:tcW w:type="dxa" w:w="3456"/>
            <w:vAlign w:val="center"/>
            <w:shd w:fill="F7FAFC"/>
          </w:tcPr>
          <w:p>
            <w:pPr>
              <w:spacing w:after="0" w:before="0"/>
              <w:jc w:val="left"/>
            </w:pPr>
            <w:r/>
            <w:r>
              <w:rPr>
                <w:rFonts w:ascii="Calibri" w:hAnsi="Calibri"/>
                <w:b w:val="0"/>
                <w:color w:val="232B35"/>
                <w:sz w:val="15"/>
              </w:rPr>
              <w:t>SIRDEC Open Data</w:t>
            </w:r>
          </w:p>
        </w:tc>
        <w:tc>
          <w:tcPr>
            <w:tcW w:type="dxa" w:w="5616"/>
            <w:vAlign w:val="center"/>
            <w:shd w:fill="F7FAFC"/>
          </w:tcPr>
          <w:p>
            <w:pPr>
              <w:spacing w:after="0" w:before="0"/>
              <w:jc w:val="left"/>
            </w:pPr>
            <w:r/>
            <w:r>
              <w:rPr>
                <w:rFonts w:ascii="Calibri" w:hAnsi="Calibri"/>
                <w:b w:val="0"/>
                <w:color w:val="232B35"/>
                <w:sz w:val="15"/>
              </w:rPr>
              <w:t>Muestra fuente, corte y origen institucional.</w:t>
            </w:r>
          </w:p>
        </w:tc>
      </w:tr>
      <w:tr>
        <w:tc>
          <w:tcPr>
            <w:tcW w:type="dxa" w:w="864"/>
            <w:vAlign w:val="center"/>
          </w:tcPr>
          <w:p>
            <w:pPr>
              <w:spacing w:after="0" w:before="0"/>
              <w:jc w:val="left"/>
            </w:pPr>
            <w:r/>
            <w:r>
              <w:rPr>
                <w:rFonts w:ascii="Calibri" w:hAnsi="Calibri"/>
                <w:b w:val="0"/>
                <w:color w:val="232B35"/>
                <w:sz w:val="15"/>
              </w:rPr>
              <w:t>E21</w:t>
            </w:r>
          </w:p>
        </w:tc>
        <w:tc>
          <w:tcPr>
            <w:tcW w:type="dxa" w:w="3456"/>
            <w:vAlign w:val="center"/>
          </w:tcPr>
          <w:p>
            <w:pPr>
              <w:spacing w:after="0" w:before="0"/>
              <w:jc w:val="left"/>
            </w:pPr>
            <w:r/>
            <w:r>
              <w:rPr>
                <w:rFonts w:ascii="Calibri" w:hAnsi="Calibri"/>
                <w:b w:val="0"/>
                <w:color w:val="232B35"/>
                <w:sz w:val="15"/>
              </w:rPr>
              <w:t>Consulta pública institucional</w:t>
            </w:r>
          </w:p>
        </w:tc>
        <w:tc>
          <w:tcPr>
            <w:tcW w:type="dxa" w:w="5616"/>
            <w:vAlign w:val="center"/>
          </w:tcPr>
          <w:p>
            <w:pPr>
              <w:spacing w:after="0" w:before="0"/>
              <w:jc w:val="left"/>
            </w:pPr>
            <w:r/>
            <w:r>
              <w:rPr>
                <w:rFonts w:ascii="Calibri" w:hAnsi="Calibri"/>
                <w:b w:val="0"/>
                <w:color w:val="232B35"/>
                <w:sz w:val="15"/>
              </w:rPr>
              <w:t>Abre fuente oficial; no automatiza CAPTCHA.</w:t>
            </w:r>
          </w:p>
        </w:tc>
      </w:tr>
      <w:tr>
        <w:tc>
          <w:tcPr>
            <w:tcW w:type="dxa" w:w="864"/>
            <w:vAlign w:val="center"/>
            <w:shd w:fill="F7FAFC"/>
          </w:tcPr>
          <w:p>
            <w:pPr>
              <w:spacing w:after="0" w:before="0"/>
              <w:jc w:val="left"/>
            </w:pPr>
            <w:r/>
            <w:r>
              <w:rPr>
                <w:rFonts w:ascii="Calibri" w:hAnsi="Calibri"/>
                <w:b w:val="0"/>
                <w:color w:val="232B35"/>
                <w:sz w:val="15"/>
              </w:rPr>
              <w:t>E22</w:t>
            </w:r>
          </w:p>
        </w:tc>
        <w:tc>
          <w:tcPr>
            <w:tcW w:type="dxa" w:w="3456"/>
            <w:vAlign w:val="center"/>
            <w:shd w:fill="F7FAFC"/>
          </w:tcPr>
          <w:p>
            <w:pPr>
              <w:spacing w:after="0" w:before="0"/>
              <w:jc w:val="left"/>
            </w:pPr>
            <w:r/>
            <w:r>
              <w:rPr>
                <w:rFonts w:ascii="Calibri" w:hAnsi="Calibri"/>
                <w:b w:val="0"/>
                <w:color w:val="232B35"/>
                <w:sz w:val="15"/>
              </w:rPr>
              <w:t>Falsa confirmación</w:t>
            </w:r>
          </w:p>
        </w:tc>
        <w:tc>
          <w:tcPr>
            <w:tcW w:type="dxa" w:w="5616"/>
            <w:vAlign w:val="center"/>
            <w:shd w:fill="F7FAFC"/>
          </w:tcPr>
          <w:p>
            <w:pPr>
              <w:spacing w:after="0" w:before="0"/>
              <w:jc w:val="left"/>
            </w:pPr>
            <w:r/>
            <w:r>
              <w:rPr>
                <w:rFonts w:ascii="Calibri" w:hAnsi="Calibri"/>
                <w:b w:val="0"/>
                <w:color w:val="232B35"/>
                <w:sz w:val="15"/>
              </w:rPr>
              <w:t>No cierra automáticamente caso sensible.</w:t>
            </w:r>
          </w:p>
        </w:tc>
      </w:tr>
      <w:tr>
        <w:tc>
          <w:tcPr>
            <w:tcW w:type="dxa" w:w="864"/>
            <w:vAlign w:val="center"/>
          </w:tcPr>
          <w:p>
            <w:pPr>
              <w:spacing w:after="0" w:before="0"/>
              <w:jc w:val="left"/>
            </w:pPr>
            <w:r/>
            <w:r>
              <w:rPr>
                <w:rFonts w:ascii="Calibri" w:hAnsi="Calibri"/>
                <w:b w:val="0"/>
                <w:color w:val="232B35"/>
                <w:sz w:val="15"/>
              </w:rPr>
              <w:t>E23</w:t>
            </w:r>
          </w:p>
        </w:tc>
        <w:tc>
          <w:tcPr>
            <w:tcW w:type="dxa" w:w="3456"/>
            <w:vAlign w:val="center"/>
          </w:tcPr>
          <w:p>
            <w:pPr>
              <w:spacing w:after="0" w:before="0"/>
              <w:jc w:val="left"/>
            </w:pPr>
            <w:r/>
            <w:r>
              <w:rPr>
                <w:rFonts w:ascii="Calibri" w:hAnsi="Calibri"/>
                <w:b w:val="0"/>
                <w:color w:val="232B35"/>
                <w:sz w:val="15"/>
              </w:rPr>
              <w:t>Evento TEST</w:t>
            </w:r>
          </w:p>
        </w:tc>
        <w:tc>
          <w:tcPr>
            <w:tcW w:type="dxa" w:w="5616"/>
            <w:vAlign w:val="center"/>
          </w:tcPr>
          <w:p>
            <w:pPr>
              <w:spacing w:after="0" w:before="0"/>
              <w:jc w:val="left"/>
            </w:pPr>
            <w:r/>
            <w:r>
              <w:rPr>
                <w:rFonts w:ascii="Calibri" w:hAnsi="Calibri"/>
                <w:b w:val="0"/>
                <w:color w:val="232B35"/>
                <w:sz w:val="15"/>
              </w:rPr>
              <w:t>Nunca se confunde con evento oficial.</w:t>
            </w:r>
          </w:p>
        </w:tc>
      </w:tr>
      <w:tr>
        <w:tc>
          <w:tcPr>
            <w:tcW w:type="dxa" w:w="864"/>
            <w:vAlign w:val="center"/>
            <w:shd w:fill="F7FAFC"/>
          </w:tcPr>
          <w:p>
            <w:pPr>
              <w:spacing w:after="0" w:before="0"/>
              <w:jc w:val="left"/>
            </w:pPr>
            <w:r/>
            <w:r>
              <w:rPr>
                <w:rFonts w:ascii="Calibri" w:hAnsi="Calibri"/>
                <w:b w:val="0"/>
                <w:color w:val="232B35"/>
                <w:sz w:val="15"/>
              </w:rPr>
              <w:t>E24</w:t>
            </w:r>
          </w:p>
        </w:tc>
        <w:tc>
          <w:tcPr>
            <w:tcW w:type="dxa" w:w="3456"/>
            <w:vAlign w:val="center"/>
            <w:shd w:fill="F7FAFC"/>
          </w:tcPr>
          <w:p>
            <w:pPr>
              <w:spacing w:after="0" w:before="0"/>
              <w:jc w:val="left"/>
            </w:pPr>
            <w:r/>
            <w:r>
              <w:rPr>
                <w:rFonts w:ascii="Calibri" w:hAnsi="Calibri"/>
                <w:b w:val="0"/>
                <w:color w:val="232B35"/>
                <w:sz w:val="15"/>
              </w:rPr>
              <w:t>Backup/restore</w:t>
            </w:r>
          </w:p>
        </w:tc>
        <w:tc>
          <w:tcPr>
            <w:tcW w:type="dxa" w:w="5616"/>
            <w:vAlign w:val="center"/>
            <w:shd w:fill="F7FAFC"/>
          </w:tcPr>
          <w:p>
            <w:pPr>
              <w:spacing w:after="0" w:before="0"/>
              <w:jc w:val="left"/>
            </w:pPr>
            <w:r/>
            <w:r>
              <w:rPr>
                <w:rFonts w:ascii="Calibri" w:hAnsi="Calibri"/>
                <w:b w:val="0"/>
                <w:color w:val="232B35"/>
                <w:sz w:val="15"/>
              </w:rPr>
              <w:t>Se recuperan datos de prueba e integridad.</w:t>
            </w:r>
          </w:p>
        </w:tc>
      </w:tr>
      <w:tr>
        <w:tc>
          <w:tcPr>
            <w:tcW w:type="dxa" w:w="864"/>
            <w:vAlign w:val="center"/>
          </w:tcPr>
          <w:p>
            <w:pPr>
              <w:spacing w:after="0" w:before="0"/>
              <w:jc w:val="left"/>
            </w:pPr>
            <w:r/>
            <w:r>
              <w:rPr>
                <w:rFonts w:ascii="Calibri" w:hAnsi="Calibri"/>
                <w:b w:val="0"/>
                <w:color w:val="232B35"/>
                <w:sz w:val="15"/>
              </w:rPr>
              <w:t>E25</w:t>
            </w:r>
          </w:p>
        </w:tc>
        <w:tc>
          <w:tcPr>
            <w:tcW w:type="dxa" w:w="3456"/>
            <w:vAlign w:val="center"/>
          </w:tcPr>
          <w:p>
            <w:pPr>
              <w:spacing w:after="0" w:before="0"/>
              <w:jc w:val="left"/>
            </w:pPr>
            <w:r/>
            <w:r>
              <w:rPr>
                <w:rFonts w:ascii="Calibri" w:hAnsi="Calibri"/>
                <w:b w:val="0"/>
                <w:color w:val="232B35"/>
                <w:sz w:val="15"/>
              </w:rPr>
              <w:t>Falla Backend A</w:t>
            </w:r>
          </w:p>
        </w:tc>
        <w:tc>
          <w:tcPr>
            <w:tcW w:type="dxa" w:w="5616"/>
            <w:vAlign w:val="center"/>
          </w:tcPr>
          <w:p>
            <w:pPr>
              <w:spacing w:after="0" w:before="0"/>
              <w:jc w:val="left"/>
            </w:pPr>
            <w:r/>
            <w:r>
              <w:rPr>
                <w:rFonts w:ascii="Calibri" w:hAnsi="Calibri"/>
                <w:b w:val="0"/>
                <w:color w:val="232B35"/>
                <w:sz w:val="15"/>
              </w:rPr>
              <w:t>Nginx redirige a Backend B dentro del objetivo de prueba.</w:t>
            </w:r>
          </w:p>
        </w:tc>
      </w:tr>
    </w:tbl>
    <w:p>
      <w:pPr>
        <w:spacing w:after="20"/>
      </w:pPr>
    </w:p>
    <w:p>
      <w:pPr>
        <w:pStyle w:val="Ttulo2"/>
      </w:pPr>
      <w:r>
        <w:t>2.11 Experimento de geolocalización adaptativa</w:t>
      </w:r>
    </w:p>
    <w:p>
      <w:pPr>
        <w:pStyle w:val="BodyAcademic"/>
        <w:jc w:val="both"/>
      </w:pPr>
      <w:r>
        <w:t>Se ejecutarán recorridos comparables con estrategias de 30 s, 1, 5, 10 y 15 min, además de movimiento-contextual. Se controlarán versión del sistema operativo, batería inicial, recorrido, tipo de movilidad, red, brillo/pantalla y duración. Variables: % batería/h o mWh/h cuando exista instrumentación, KB/h y MB/día, error del último punto, antigüedad del checkpoint, TTC, tiempo hasta una localización suficientemente útil y Delivery Success Rate.</w:t>
      </w:r>
    </w:p>
    <w:p>
      <w:pPr>
        <w:pStyle w:val="BodyAcademic"/>
        <w:jc w:val="both"/>
      </w:pPr>
      <w:r>
        <w:t>Se propondrá un Privacy Exposure Index (PEI) experimental propio, claramente identificado como métrica del proyecto, combinando cantidad de puntos, precisión, retención y número de actores con capacidad de acceso. El resultado esperado no tiene por qué ser “10 minutos es óptimo”: puede demostrar que el intervalo depende del contexto y justificar el muestreo adaptativo.</w:t>
      </w:r>
    </w:p>
    <w:p>
      <w:pPr>
        <w:pStyle w:val="Ttulo2"/>
      </w:pPr>
      <w:r>
        <w:t>2.12 Simulaciones de resiliencia y conectividad degradada</w:t>
      </w:r>
    </w:p>
    <w:tbl>
      <w:tblPr>
        <w:tblStyle w:val="Tablaconcuadrcula"/>
        <w:tblW w:type="auto" w:w="0"/>
        <w:jc w:val="center"/>
        <w:tblLook w:firstColumn="1" w:firstRow="1" w:lastColumn="0" w:lastRow="0" w:noHBand="0" w:noVBand="1" w:val="04A0"/>
      </w:tblPr>
      <w:tblGrid>
        <w:gridCol w:w="2282"/>
        <w:gridCol w:w="2282"/>
        <w:gridCol w:w="2282"/>
        <w:gridCol w:w="2282"/>
      </w:tblGrid>
      <w:tr>
        <w:tc>
          <w:tcPr>
            <w:tcW w:type="dxa" w:w="1008"/>
            <w:vAlign w:val="center"/>
            <w:shd w:fill="17365D"/>
          </w:tcPr>
          <w:p>
            <w:pPr>
              <w:spacing w:after="0" w:before="0"/>
              <w:jc w:val="left"/>
            </w:pPr>
            <w:r/>
            <w:r>
              <w:rPr>
                <w:rFonts w:ascii="Calibri" w:hAnsi="Calibri"/>
                <w:b/>
                <w:color w:val="FFFFFF"/>
                <w:sz w:val="16"/>
              </w:rPr>
              <w:t>Condición</w:t>
            </w:r>
          </w:p>
        </w:tc>
        <w:tc>
          <w:tcPr>
            <w:tcW w:type="dxa" w:w="2880"/>
            <w:vAlign w:val="center"/>
            <w:shd w:fill="17365D"/>
          </w:tcPr>
          <w:p>
            <w:pPr>
              <w:spacing w:after="0" w:before="0"/>
              <w:jc w:val="left"/>
            </w:pPr>
            <w:r/>
            <w:r>
              <w:rPr>
                <w:rFonts w:ascii="Calibri" w:hAnsi="Calibri"/>
                <w:b/>
                <w:color w:val="FFFFFF"/>
                <w:sz w:val="16"/>
              </w:rPr>
              <w:t>Falla inyectada</w:t>
            </w:r>
          </w:p>
        </w:tc>
        <w:tc>
          <w:tcPr>
            <w:tcW w:type="dxa" w:w="2880"/>
            <w:vAlign w:val="center"/>
            <w:shd w:fill="17365D"/>
          </w:tcPr>
          <w:p>
            <w:pPr>
              <w:spacing w:after="0" w:before="0"/>
              <w:jc w:val="left"/>
            </w:pPr>
            <w:r/>
            <w:r>
              <w:rPr>
                <w:rFonts w:ascii="Calibri" w:hAnsi="Calibri"/>
                <w:b/>
                <w:color w:val="FFFFFF"/>
                <w:sz w:val="16"/>
              </w:rPr>
              <w:t>Comportamiento</w:t>
            </w:r>
          </w:p>
        </w:tc>
        <w:tc>
          <w:tcPr>
            <w:tcW w:type="dxa" w:w="3024"/>
            <w:vAlign w:val="center"/>
            <w:shd w:fill="17365D"/>
          </w:tcPr>
          <w:p>
            <w:pPr>
              <w:spacing w:after="0" w:before="0"/>
              <w:jc w:val="left"/>
            </w:pPr>
            <w:r/>
            <w:r>
              <w:rPr>
                <w:rFonts w:ascii="Calibri" w:hAnsi="Calibri"/>
                <w:b/>
                <w:color w:val="FFFFFF"/>
                <w:sz w:val="16"/>
              </w:rPr>
              <w:t>Criterio</w:t>
            </w:r>
          </w:p>
        </w:tc>
      </w:tr>
      <w:tr>
        <w:tc>
          <w:tcPr>
            <w:tcW w:type="dxa" w:w="1008"/>
            <w:vAlign w:val="center"/>
          </w:tcPr>
          <w:p>
            <w:pPr>
              <w:spacing w:after="0" w:before="0"/>
              <w:jc w:val="left"/>
            </w:pPr>
            <w:r/>
            <w:r>
              <w:rPr>
                <w:rFonts w:ascii="Calibri" w:hAnsi="Calibri"/>
                <w:b w:val="0"/>
                <w:color w:val="232B35"/>
                <w:sz w:val="16"/>
              </w:rPr>
              <w:t>A</w:t>
            </w:r>
          </w:p>
        </w:tc>
        <w:tc>
          <w:tcPr>
            <w:tcW w:type="dxa" w:w="2880"/>
            <w:vAlign w:val="center"/>
          </w:tcPr>
          <w:p>
            <w:pPr>
              <w:spacing w:after="0" w:before="0"/>
              <w:jc w:val="left"/>
            </w:pPr>
            <w:r/>
            <w:r>
              <w:rPr>
                <w:rFonts w:ascii="Calibri" w:hAnsi="Calibri"/>
                <w:b w:val="0"/>
                <w:color w:val="232B35"/>
                <w:sz w:val="16"/>
              </w:rPr>
              <w:t>Internet normal</w:t>
            </w:r>
          </w:p>
        </w:tc>
        <w:tc>
          <w:tcPr>
            <w:tcW w:type="dxa" w:w="2880"/>
            <w:vAlign w:val="center"/>
          </w:tcPr>
          <w:p>
            <w:pPr>
              <w:spacing w:after="0" w:before="0"/>
              <w:jc w:val="left"/>
            </w:pPr>
            <w:r/>
            <w:r>
              <w:rPr>
                <w:rFonts w:ascii="Calibri" w:hAnsi="Calibri"/>
                <w:b w:val="0"/>
                <w:color w:val="232B35"/>
                <w:sz w:val="16"/>
              </w:rPr>
              <w:t>Push/API normal</w:t>
            </w:r>
          </w:p>
        </w:tc>
        <w:tc>
          <w:tcPr>
            <w:tcW w:type="dxa" w:w="3024"/>
            <w:vAlign w:val="center"/>
          </w:tcPr>
          <w:p>
            <w:pPr>
              <w:spacing w:after="0" w:before="0"/>
              <w:jc w:val="left"/>
            </w:pPr>
            <w:r/>
            <w:r>
              <w:rPr>
                <w:rFonts w:ascii="Calibri" w:hAnsi="Calibri"/>
                <w:b w:val="0"/>
                <w:color w:val="232B35"/>
                <w:sz w:val="16"/>
              </w:rPr>
              <w:t>TTC y latencia base.</w:t>
            </w:r>
          </w:p>
        </w:tc>
      </w:tr>
      <w:tr>
        <w:tc>
          <w:tcPr>
            <w:tcW w:type="dxa" w:w="1008"/>
            <w:vAlign w:val="center"/>
            <w:shd w:fill="F7FAFC"/>
          </w:tcPr>
          <w:p>
            <w:pPr>
              <w:spacing w:after="0" w:before="0"/>
              <w:jc w:val="left"/>
            </w:pPr>
            <w:r/>
            <w:r>
              <w:rPr>
                <w:rFonts w:ascii="Calibri" w:hAnsi="Calibri"/>
                <w:b w:val="0"/>
                <w:color w:val="232B35"/>
                <w:sz w:val="16"/>
              </w:rPr>
              <w:t>B</w:t>
            </w:r>
          </w:p>
        </w:tc>
        <w:tc>
          <w:tcPr>
            <w:tcW w:type="dxa" w:w="2880"/>
            <w:vAlign w:val="center"/>
            <w:shd w:fill="F7FAFC"/>
          </w:tcPr>
          <w:p>
            <w:pPr>
              <w:spacing w:after="0" w:before="0"/>
              <w:jc w:val="left"/>
            </w:pPr>
            <w:r/>
            <w:r>
              <w:rPr>
                <w:rFonts w:ascii="Calibri" w:hAnsi="Calibri"/>
                <w:b w:val="0"/>
                <w:color w:val="232B35"/>
                <w:sz w:val="16"/>
              </w:rPr>
              <w:t>Datos móviles caídos, Wi-Fi disponible</w:t>
            </w:r>
          </w:p>
        </w:tc>
        <w:tc>
          <w:tcPr>
            <w:tcW w:type="dxa" w:w="2880"/>
            <w:vAlign w:val="center"/>
            <w:shd w:fill="F7FAFC"/>
          </w:tcPr>
          <w:p>
            <w:pPr>
              <w:spacing w:after="0" w:before="0"/>
              <w:jc w:val="left"/>
            </w:pPr>
            <w:r/>
            <w:r>
              <w:rPr>
                <w:rFonts w:ascii="Calibri" w:hAnsi="Calibri"/>
                <w:b w:val="0"/>
                <w:color w:val="232B35"/>
                <w:sz w:val="16"/>
              </w:rPr>
              <w:t>Cambio de interfaz</w:t>
            </w:r>
          </w:p>
        </w:tc>
        <w:tc>
          <w:tcPr>
            <w:tcW w:type="dxa" w:w="3024"/>
            <w:vAlign w:val="center"/>
            <w:shd w:fill="F7FAFC"/>
          </w:tcPr>
          <w:p>
            <w:pPr>
              <w:spacing w:after="0" w:before="0"/>
              <w:jc w:val="left"/>
            </w:pPr>
            <w:r/>
            <w:r>
              <w:rPr>
                <w:rFonts w:ascii="Calibri" w:hAnsi="Calibri"/>
                <w:b w:val="0"/>
                <w:color w:val="232B35"/>
                <w:sz w:val="16"/>
              </w:rPr>
              <w:t>Sin pérdida de evento.</w:t>
            </w:r>
          </w:p>
        </w:tc>
      </w:tr>
      <w:tr>
        <w:tc>
          <w:tcPr>
            <w:tcW w:type="dxa" w:w="1008"/>
            <w:vAlign w:val="center"/>
          </w:tcPr>
          <w:p>
            <w:pPr>
              <w:spacing w:after="0" w:before="0"/>
              <w:jc w:val="left"/>
            </w:pPr>
            <w:r/>
            <w:r>
              <w:rPr>
                <w:rFonts w:ascii="Calibri" w:hAnsi="Calibri"/>
                <w:b w:val="0"/>
                <w:color w:val="232B35"/>
                <w:sz w:val="16"/>
              </w:rPr>
              <w:t>C</w:t>
            </w:r>
          </w:p>
        </w:tc>
        <w:tc>
          <w:tcPr>
            <w:tcW w:type="dxa" w:w="2880"/>
            <w:vAlign w:val="center"/>
          </w:tcPr>
          <w:p>
            <w:pPr>
              <w:spacing w:after="0" w:before="0"/>
              <w:jc w:val="left"/>
            </w:pPr>
            <w:r/>
            <w:r>
              <w:rPr>
                <w:rFonts w:ascii="Calibri" w:hAnsi="Calibri"/>
                <w:b w:val="0"/>
                <w:color w:val="232B35"/>
                <w:sz w:val="16"/>
              </w:rPr>
              <w:t>Sin IP, SMS disponible</w:t>
            </w:r>
          </w:p>
        </w:tc>
        <w:tc>
          <w:tcPr>
            <w:tcW w:type="dxa" w:w="2880"/>
            <w:vAlign w:val="center"/>
          </w:tcPr>
          <w:p>
            <w:pPr>
              <w:spacing w:after="0" w:before="0"/>
              <w:jc w:val="left"/>
            </w:pPr>
            <w:r/>
            <w:r>
              <w:rPr>
                <w:rFonts w:ascii="Calibri" w:hAnsi="Calibri"/>
                <w:b w:val="0"/>
                <w:color w:val="232B35"/>
                <w:sz w:val="16"/>
              </w:rPr>
              <w:t>Fallback SMS</w:t>
            </w:r>
          </w:p>
        </w:tc>
        <w:tc>
          <w:tcPr>
            <w:tcW w:type="dxa" w:w="3024"/>
            <w:vAlign w:val="center"/>
          </w:tcPr>
          <w:p>
            <w:pPr>
              <w:spacing w:after="0" w:before="0"/>
              <w:jc w:val="left"/>
            </w:pPr>
            <w:r/>
            <w:r>
              <w:rPr>
                <w:rFonts w:ascii="Calibri" w:hAnsi="Calibri"/>
                <w:b w:val="0"/>
                <w:color w:val="232B35"/>
                <w:sz w:val="16"/>
              </w:rPr>
              <w:t>Alerta mínima entregada.</w:t>
            </w:r>
          </w:p>
        </w:tc>
      </w:tr>
      <w:tr>
        <w:tc>
          <w:tcPr>
            <w:tcW w:type="dxa" w:w="1008"/>
            <w:vAlign w:val="center"/>
            <w:shd w:fill="F7FAFC"/>
          </w:tcPr>
          <w:p>
            <w:pPr>
              <w:spacing w:after="0" w:before="0"/>
              <w:jc w:val="left"/>
            </w:pPr>
            <w:r/>
            <w:r>
              <w:rPr>
                <w:rFonts w:ascii="Calibri" w:hAnsi="Calibri"/>
                <w:b w:val="0"/>
                <w:color w:val="232B35"/>
                <w:sz w:val="16"/>
              </w:rPr>
              <w:t>D</w:t>
            </w:r>
          </w:p>
        </w:tc>
        <w:tc>
          <w:tcPr>
            <w:tcW w:type="dxa" w:w="2880"/>
            <w:vAlign w:val="center"/>
            <w:shd w:fill="F7FAFC"/>
          </w:tcPr>
          <w:p>
            <w:pPr>
              <w:spacing w:after="0" w:before="0"/>
              <w:jc w:val="left"/>
            </w:pPr>
            <w:r/>
            <w:r>
              <w:rPr>
                <w:rFonts w:ascii="Calibri" w:hAnsi="Calibri"/>
                <w:b w:val="0"/>
                <w:color w:val="232B35"/>
                <w:sz w:val="16"/>
              </w:rPr>
              <w:t>Teléfonos offline + relay conectado</w:t>
            </w:r>
          </w:p>
        </w:tc>
        <w:tc>
          <w:tcPr>
            <w:tcW w:type="dxa" w:w="2880"/>
            <w:vAlign w:val="center"/>
            <w:shd w:fill="F7FAFC"/>
          </w:tcPr>
          <w:p>
            <w:pPr>
              <w:spacing w:after="0" w:before="0"/>
              <w:jc w:val="left"/>
            </w:pPr>
            <w:r/>
            <w:r>
              <w:rPr>
                <w:rFonts w:ascii="Calibri" w:hAnsi="Calibri"/>
                <w:b w:val="0"/>
                <w:color w:val="232B35"/>
                <w:sz w:val="16"/>
              </w:rPr>
              <w:t>P2P/store-and-forward</w:t>
            </w:r>
          </w:p>
        </w:tc>
        <w:tc>
          <w:tcPr>
            <w:tcW w:type="dxa" w:w="3024"/>
            <w:vAlign w:val="center"/>
            <w:shd w:fill="F7FAFC"/>
          </w:tcPr>
          <w:p>
            <w:pPr>
              <w:spacing w:after="0" w:before="0"/>
              <w:jc w:val="left"/>
            </w:pPr>
            <w:r/>
            <w:r>
              <w:rPr>
                <w:rFonts w:ascii="Calibri" w:hAnsi="Calibri"/>
                <w:b w:val="0"/>
                <w:color w:val="232B35"/>
                <w:sz w:val="16"/>
              </w:rPr>
              <w:t>Entrega eventual verificable.</w:t>
            </w:r>
          </w:p>
        </w:tc>
      </w:tr>
      <w:tr>
        <w:tc>
          <w:tcPr>
            <w:tcW w:type="dxa" w:w="1008"/>
            <w:vAlign w:val="center"/>
          </w:tcPr>
          <w:p>
            <w:pPr>
              <w:spacing w:after="0" w:before="0"/>
              <w:jc w:val="left"/>
            </w:pPr>
            <w:r/>
            <w:r>
              <w:rPr>
                <w:rFonts w:ascii="Calibri" w:hAnsi="Calibri"/>
                <w:b w:val="0"/>
                <w:color w:val="232B35"/>
                <w:sz w:val="16"/>
              </w:rPr>
              <w:t>E</w:t>
            </w:r>
          </w:p>
        </w:tc>
        <w:tc>
          <w:tcPr>
            <w:tcW w:type="dxa" w:w="2880"/>
            <w:vAlign w:val="center"/>
          </w:tcPr>
          <w:p>
            <w:pPr>
              <w:spacing w:after="0" w:before="0"/>
              <w:jc w:val="left"/>
            </w:pPr>
            <w:r/>
            <w:r>
              <w:rPr>
                <w:rFonts w:ascii="Calibri" w:hAnsi="Calibri"/>
                <w:b w:val="0"/>
                <w:color w:val="232B35"/>
                <w:sz w:val="16"/>
              </w:rPr>
              <w:t>Instancia primaria caída</w:t>
            </w:r>
          </w:p>
        </w:tc>
        <w:tc>
          <w:tcPr>
            <w:tcW w:type="dxa" w:w="2880"/>
            <w:vAlign w:val="center"/>
          </w:tcPr>
          <w:p>
            <w:pPr>
              <w:spacing w:after="0" w:before="0"/>
              <w:jc w:val="left"/>
            </w:pPr>
            <w:r/>
            <w:r>
              <w:rPr>
                <w:rFonts w:ascii="Calibri" w:hAnsi="Calibri"/>
                <w:b w:val="0"/>
                <w:color w:val="232B35"/>
                <w:sz w:val="16"/>
              </w:rPr>
              <w:t>Failover local</w:t>
            </w:r>
          </w:p>
        </w:tc>
        <w:tc>
          <w:tcPr>
            <w:tcW w:type="dxa" w:w="3024"/>
            <w:vAlign w:val="center"/>
          </w:tcPr>
          <w:p>
            <w:pPr>
              <w:spacing w:after="0" w:before="0"/>
              <w:jc w:val="left"/>
            </w:pPr>
            <w:r/>
            <w:r>
              <w:rPr>
                <w:rFonts w:ascii="Calibri" w:hAnsi="Calibri"/>
                <w:b w:val="0"/>
                <w:color w:val="232B35"/>
                <w:sz w:val="16"/>
              </w:rPr>
              <w:t>Recuperar servicio dentro de RTO de prueba.</w:t>
            </w:r>
          </w:p>
        </w:tc>
      </w:tr>
      <w:tr>
        <w:tc>
          <w:tcPr>
            <w:tcW w:type="dxa" w:w="1008"/>
            <w:vAlign w:val="center"/>
            <w:shd w:fill="F7FAFC"/>
          </w:tcPr>
          <w:p>
            <w:pPr>
              <w:spacing w:after="0" w:before="0"/>
              <w:jc w:val="left"/>
            </w:pPr>
            <w:r/>
            <w:r>
              <w:rPr>
                <w:rFonts w:ascii="Calibri" w:hAnsi="Calibri"/>
                <w:b w:val="0"/>
                <w:color w:val="232B35"/>
                <w:sz w:val="16"/>
              </w:rPr>
              <w:t>F</w:t>
            </w:r>
          </w:p>
        </w:tc>
        <w:tc>
          <w:tcPr>
            <w:tcW w:type="dxa" w:w="2880"/>
            <w:vAlign w:val="center"/>
            <w:shd w:fill="F7FAFC"/>
          </w:tcPr>
          <w:p>
            <w:pPr>
              <w:spacing w:after="0" w:before="0"/>
              <w:jc w:val="left"/>
            </w:pPr>
            <w:r/>
            <w:r>
              <w:rPr>
                <w:rFonts w:ascii="Calibri" w:hAnsi="Calibri"/>
                <w:b w:val="0"/>
                <w:color w:val="232B35"/>
                <w:sz w:val="16"/>
              </w:rPr>
              <w:t>Región simulada no disponible</w:t>
            </w:r>
          </w:p>
        </w:tc>
        <w:tc>
          <w:tcPr>
            <w:tcW w:type="dxa" w:w="2880"/>
            <w:vAlign w:val="center"/>
            <w:shd w:fill="F7FAFC"/>
          </w:tcPr>
          <w:p>
            <w:pPr>
              <w:spacing w:after="0" w:before="0"/>
              <w:jc w:val="left"/>
            </w:pPr>
            <w:r/>
            <w:r>
              <w:rPr>
                <w:rFonts w:ascii="Calibri" w:hAnsi="Calibri"/>
                <w:b w:val="0"/>
                <w:color w:val="232B35"/>
                <w:sz w:val="16"/>
              </w:rPr>
              <w:t>DR conceptual / entorno secundario</w:t>
            </w:r>
          </w:p>
        </w:tc>
        <w:tc>
          <w:tcPr>
            <w:tcW w:type="dxa" w:w="3024"/>
            <w:vAlign w:val="center"/>
            <w:shd w:fill="F7FAFC"/>
          </w:tcPr>
          <w:p>
            <w:pPr>
              <w:spacing w:after="0" w:before="0"/>
              <w:jc w:val="left"/>
            </w:pPr>
            <w:r/>
            <w:r>
              <w:rPr>
                <w:rFonts w:ascii="Calibri" w:hAnsi="Calibri"/>
                <w:b w:val="0"/>
                <w:color w:val="232B35"/>
                <w:sz w:val="16"/>
              </w:rPr>
              <w:t>Recuperación dentro de RTO/RPO de diseño.</w:t>
            </w:r>
          </w:p>
        </w:tc>
      </w:tr>
      <w:tr>
        <w:tc>
          <w:tcPr>
            <w:tcW w:type="dxa" w:w="1008"/>
            <w:vAlign w:val="center"/>
          </w:tcPr>
          <w:p>
            <w:pPr>
              <w:spacing w:after="0" w:before="0"/>
              <w:jc w:val="left"/>
            </w:pPr>
            <w:r/>
            <w:r>
              <w:rPr>
                <w:rFonts w:ascii="Calibri" w:hAnsi="Calibri"/>
                <w:b w:val="0"/>
                <w:color w:val="232B35"/>
                <w:sz w:val="16"/>
              </w:rPr>
              <w:t>G</w:t>
            </w:r>
          </w:p>
        </w:tc>
        <w:tc>
          <w:tcPr>
            <w:tcW w:type="dxa" w:w="2880"/>
            <w:vAlign w:val="center"/>
          </w:tcPr>
          <w:p>
            <w:pPr>
              <w:spacing w:after="0" w:before="0"/>
              <w:jc w:val="left"/>
            </w:pPr>
            <w:r/>
            <w:r>
              <w:rPr>
                <w:rFonts w:ascii="Calibri" w:hAnsi="Calibri"/>
                <w:b w:val="0"/>
                <w:color w:val="232B35"/>
                <w:sz w:val="16"/>
              </w:rPr>
              <w:t>Teléfono apagado después de checkpoint</w:t>
            </w:r>
          </w:p>
        </w:tc>
        <w:tc>
          <w:tcPr>
            <w:tcW w:type="dxa" w:w="2880"/>
            <w:vAlign w:val="center"/>
          </w:tcPr>
          <w:p>
            <w:pPr>
              <w:spacing w:after="0" w:before="0"/>
              <w:jc w:val="left"/>
            </w:pPr>
            <w:r/>
            <w:r>
              <w:rPr>
                <w:rFonts w:ascii="Calibri" w:hAnsi="Calibri"/>
                <w:b w:val="0"/>
                <w:color w:val="232B35"/>
                <w:sz w:val="16"/>
              </w:rPr>
              <w:t>Recuperar último punto sincronizado</w:t>
            </w:r>
          </w:p>
        </w:tc>
        <w:tc>
          <w:tcPr>
            <w:tcW w:type="dxa" w:w="3024"/>
            <w:vAlign w:val="center"/>
          </w:tcPr>
          <w:p>
            <w:pPr>
              <w:spacing w:after="0" w:before="0"/>
              <w:jc w:val="left"/>
            </w:pPr>
            <w:r/>
            <w:r>
              <w:rPr>
                <w:rFonts w:ascii="Calibri" w:hAnsi="Calibri"/>
                <w:b w:val="0"/>
                <w:color w:val="232B35"/>
                <w:sz w:val="16"/>
              </w:rPr>
              <w:t>Mostrar timestamp y antigüedad sin inventar estado actual.</w:t>
            </w:r>
          </w:p>
        </w:tc>
      </w:tr>
    </w:tbl>
    <w:p>
      <w:pPr>
        <w:spacing w:after="20"/>
      </w:pPr>
    </w:p>
    <w:p>
      <w:pPr>
        <w:pStyle w:val="Ttulo2"/>
      </w:pPr>
      <w:r>
        <w:t>2.13 Evaluación de UX bajo estrés simulado</w:t>
      </w:r>
    </w:p>
    <w:p>
      <w:pPr>
        <w:pStyle w:val="BodyAcademic"/>
        <w:jc w:val="both"/>
      </w:pPr>
      <w:r>
        <w:t>Se evaluarán tareas críticas con adultos voluntarios en condiciones seguras: reconocer una alerta, seleccionar estado, iniciar Safety Mode y consultar un caso. Se medirán tiempo de tarea, tasa de error, comprensión del mensaje, número de toques y, si resulta aplicable, SUS o NASA-TLX. No se provocará estrés clínico ni se utilizarán menores o familiares de desaparecidos como sujetos del MVP.</w:t>
      </w:r>
    </w:p>
    <w:p>
      <w:pPr>
        <w:pStyle w:val="Ttulo2"/>
      </w:pPr>
      <w:r>
        <w:t>2.14 Pruebas de seguridad y privacidad</w:t>
      </w:r>
    </w:p>
    <w:p>
      <w:pPr>
        <w:pStyle w:val="BodyAcademic"/>
        <w:jc w:val="both"/>
      </w:pPr>
      <w:r>
        <w:t>Las pruebas incluirán autenticación/autorización, revocación, rate limiting, anti-enumeration, acceso indebido al Vault, cifrado de campos sensibles, verificación de que no se registren coordenadas en logs técnicos, prueba de expiración TTL, restauración de backup y análisis con OWASP ZAP, Bandit/Semgrep y Trivy. El audit trail se separará de los logs de debugging y registrará actor, acción, recurso, resultado y timestamp.</w:t>
      </w:r>
    </w:p>
    <w:p>
      <w:pPr>
        <w:pStyle w:val="Ttulo2"/>
      </w:pPr>
      <w:r>
        <w:t>2.15 Métricas principales</w:t>
      </w:r>
    </w:p>
    <w:tbl>
      <w:tblPr>
        <w:tblStyle w:val="Tablaconcuadrcula"/>
        <w:tblW w:type="auto" w:w="0"/>
        <w:jc w:val="center"/>
        <w:tblLook w:firstColumn="1" w:firstRow="1" w:lastColumn="0" w:lastRow="0" w:noHBand="0" w:noVBand="1" w:val="04A0"/>
      </w:tblPr>
      <w:tblGrid>
        <w:gridCol w:w="4565"/>
        <w:gridCol w:w="4565"/>
      </w:tblGrid>
      <w:tr>
        <w:tc>
          <w:tcPr>
            <w:tcW w:type="dxa" w:w="3168"/>
            <w:vAlign w:val="center"/>
            <w:shd w:fill="17365D"/>
          </w:tcPr>
          <w:p>
            <w:pPr>
              <w:spacing w:after="0" w:before="0"/>
              <w:jc w:val="left"/>
            </w:pPr>
            <w:r/>
            <w:r>
              <w:rPr>
                <w:rFonts w:ascii="Calibri" w:hAnsi="Calibri"/>
                <w:b/>
                <w:color w:val="FFFFFF"/>
                <w:sz w:val="17"/>
              </w:rPr>
              <w:t>Métrica</w:t>
            </w:r>
          </w:p>
        </w:tc>
        <w:tc>
          <w:tcPr>
            <w:tcW w:type="dxa" w:w="6768"/>
            <w:vAlign w:val="center"/>
            <w:shd w:fill="17365D"/>
          </w:tcPr>
          <w:p>
            <w:pPr>
              <w:spacing w:after="0" w:before="0"/>
              <w:jc w:val="left"/>
            </w:pPr>
            <w:r/>
            <w:r>
              <w:rPr>
                <w:rFonts w:ascii="Calibri" w:hAnsi="Calibri"/>
                <w:b/>
                <w:color w:val="FFFFFF"/>
                <w:sz w:val="17"/>
              </w:rPr>
              <w:t>Definición operacional</w:t>
            </w:r>
          </w:p>
        </w:tc>
      </w:tr>
      <w:tr>
        <w:tc>
          <w:tcPr>
            <w:tcW w:type="dxa" w:w="3168"/>
            <w:vAlign w:val="center"/>
          </w:tcPr>
          <w:p>
            <w:pPr>
              <w:spacing w:after="0" w:before="0"/>
              <w:jc w:val="left"/>
            </w:pPr>
            <w:r/>
            <w:r>
              <w:rPr>
                <w:rFonts w:ascii="Calibri" w:hAnsi="Calibri"/>
                <w:b w:val="0"/>
                <w:color w:val="232B35"/>
                <w:sz w:val="17"/>
              </w:rPr>
              <w:t>TTC · Time to Confirmation</w:t>
            </w:r>
          </w:p>
        </w:tc>
        <w:tc>
          <w:tcPr>
            <w:tcW w:type="dxa" w:w="6768"/>
            <w:vAlign w:val="center"/>
          </w:tcPr>
          <w:p>
            <w:pPr>
              <w:spacing w:after="0" w:before="0"/>
              <w:jc w:val="left"/>
            </w:pPr>
            <w:r/>
            <w:r>
              <w:rPr>
                <w:rFonts w:ascii="Calibri" w:hAnsi="Calibri"/>
                <w:b w:val="0"/>
                <w:color w:val="232B35"/>
                <w:sz w:val="17"/>
              </w:rPr>
              <w:t>Tiempo desde el evento hasta confirmación confiable de bienestar.</w:t>
            </w:r>
          </w:p>
        </w:tc>
      </w:tr>
      <w:tr>
        <w:tc>
          <w:tcPr>
            <w:tcW w:type="dxa" w:w="3168"/>
            <w:vAlign w:val="center"/>
            <w:shd w:fill="F7FAFC"/>
          </w:tcPr>
          <w:p>
            <w:pPr>
              <w:spacing w:after="0" w:before="0"/>
              <w:jc w:val="left"/>
            </w:pPr>
            <w:r/>
            <w:r>
              <w:rPr>
                <w:rFonts w:ascii="Calibri" w:hAnsi="Calibri"/>
                <w:b w:val="0"/>
                <w:color w:val="232B35"/>
                <w:sz w:val="17"/>
              </w:rPr>
              <w:t>Checkpoint age</w:t>
            </w:r>
          </w:p>
        </w:tc>
        <w:tc>
          <w:tcPr>
            <w:tcW w:type="dxa" w:w="6768"/>
            <w:vAlign w:val="center"/>
            <w:shd w:fill="F7FAFC"/>
          </w:tcPr>
          <w:p>
            <w:pPr>
              <w:spacing w:after="0" w:before="0"/>
              <w:jc w:val="left"/>
            </w:pPr>
            <w:r/>
            <w:r>
              <w:rPr>
                <w:rFonts w:ascii="Calibri" w:hAnsi="Calibri"/>
                <w:b w:val="0"/>
                <w:color w:val="232B35"/>
                <w:sz w:val="17"/>
              </w:rPr>
              <w:t>Antigüedad del último punto cuando el usuario deja de responder.</w:t>
            </w:r>
          </w:p>
        </w:tc>
      </w:tr>
      <w:tr>
        <w:tc>
          <w:tcPr>
            <w:tcW w:type="dxa" w:w="3168"/>
            <w:vAlign w:val="center"/>
          </w:tcPr>
          <w:p>
            <w:pPr>
              <w:spacing w:after="0" w:before="0"/>
              <w:jc w:val="left"/>
            </w:pPr>
            <w:r/>
            <w:r>
              <w:rPr>
                <w:rFonts w:ascii="Calibri" w:hAnsi="Calibri"/>
                <w:b w:val="0"/>
                <w:color w:val="232B35"/>
                <w:sz w:val="17"/>
              </w:rPr>
              <w:t>Location error</w:t>
            </w:r>
          </w:p>
        </w:tc>
        <w:tc>
          <w:tcPr>
            <w:tcW w:type="dxa" w:w="6768"/>
            <w:vAlign w:val="center"/>
          </w:tcPr>
          <w:p>
            <w:pPr>
              <w:spacing w:after="0" w:before="0"/>
              <w:jc w:val="left"/>
            </w:pPr>
            <w:r/>
            <w:r>
              <w:rPr>
                <w:rFonts w:ascii="Calibri" w:hAnsi="Calibri"/>
                <w:b w:val="0"/>
                <w:color w:val="232B35"/>
                <w:sz w:val="17"/>
              </w:rPr>
              <w:t>Distancia entre última ubicación registrada y referencia real.</w:t>
            </w:r>
          </w:p>
        </w:tc>
      </w:tr>
      <w:tr>
        <w:tc>
          <w:tcPr>
            <w:tcW w:type="dxa" w:w="3168"/>
            <w:vAlign w:val="center"/>
            <w:shd w:fill="F7FAFC"/>
          </w:tcPr>
          <w:p>
            <w:pPr>
              <w:spacing w:after="0" w:before="0"/>
              <w:jc w:val="left"/>
            </w:pPr>
            <w:r/>
            <w:r>
              <w:rPr>
                <w:rFonts w:ascii="Calibri" w:hAnsi="Calibri"/>
                <w:b w:val="0"/>
                <w:color w:val="232B35"/>
                <w:sz w:val="17"/>
              </w:rPr>
              <w:t>Delivery Success Rate</w:t>
            </w:r>
          </w:p>
        </w:tc>
        <w:tc>
          <w:tcPr>
            <w:tcW w:type="dxa" w:w="6768"/>
            <w:vAlign w:val="center"/>
            <w:shd w:fill="F7FAFC"/>
          </w:tcPr>
          <w:p>
            <w:pPr>
              <w:spacing w:after="0" w:before="0"/>
              <w:jc w:val="left"/>
            </w:pPr>
            <w:r/>
            <w:r>
              <w:rPr>
                <w:rFonts w:ascii="Calibri" w:hAnsi="Calibri"/>
                <w:b w:val="0"/>
                <w:color w:val="232B35"/>
                <w:sz w:val="17"/>
              </w:rPr>
              <w:t>Porcentaje de alertas entregadas por canal.</w:t>
            </w:r>
          </w:p>
        </w:tc>
      </w:tr>
      <w:tr>
        <w:tc>
          <w:tcPr>
            <w:tcW w:type="dxa" w:w="3168"/>
            <w:vAlign w:val="center"/>
          </w:tcPr>
          <w:p>
            <w:pPr>
              <w:spacing w:after="0" w:before="0"/>
              <w:jc w:val="left"/>
            </w:pPr>
            <w:r/>
            <w:r>
              <w:rPr>
                <w:rFonts w:ascii="Calibri" w:hAnsi="Calibri"/>
                <w:b w:val="0"/>
                <w:color w:val="232B35"/>
                <w:sz w:val="17"/>
              </w:rPr>
              <w:t>Battery/Data cost</w:t>
            </w:r>
          </w:p>
        </w:tc>
        <w:tc>
          <w:tcPr>
            <w:tcW w:type="dxa" w:w="6768"/>
            <w:vAlign w:val="center"/>
          </w:tcPr>
          <w:p>
            <w:pPr>
              <w:spacing w:after="0" w:before="0"/>
              <w:jc w:val="left"/>
            </w:pPr>
            <w:r/>
            <w:r>
              <w:rPr>
                <w:rFonts w:ascii="Calibri" w:hAnsi="Calibri"/>
                <w:b w:val="0"/>
                <w:color w:val="232B35"/>
                <w:sz w:val="17"/>
              </w:rPr>
              <w:t>% batería/h, mWh/h cuando sea posible, KB/h o MB/día.</w:t>
            </w:r>
          </w:p>
        </w:tc>
      </w:tr>
      <w:tr>
        <w:tc>
          <w:tcPr>
            <w:tcW w:type="dxa" w:w="3168"/>
            <w:vAlign w:val="center"/>
            <w:shd w:fill="F7FAFC"/>
          </w:tcPr>
          <w:p>
            <w:pPr>
              <w:spacing w:after="0" w:before="0"/>
              <w:jc w:val="left"/>
            </w:pPr>
            <w:r/>
            <w:r>
              <w:rPr>
                <w:rFonts w:ascii="Calibri" w:hAnsi="Calibri"/>
                <w:b w:val="0"/>
                <w:color w:val="232B35"/>
                <w:sz w:val="17"/>
              </w:rPr>
              <w:t>Sync delay</w:t>
            </w:r>
          </w:p>
        </w:tc>
        <w:tc>
          <w:tcPr>
            <w:tcW w:type="dxa" w:w="6768"/>
            <w:vAlign w:val="center"/>
            <w:shd w:fill="F7FAFC"/>
          </w:tcPr>
          <w:p>
            <w:pPr>
              <w:spacing w:after="0" w:before="0"/>
              <w:jc w:val="left"/>
            </w:pPr>
            <w:r/>
            <w:r>
              <w:rPr>
                <w:rFonts w:ascii="Calibri" w:hAnsi="Calibri"/>
                <w:b w:val="0"/>
                <w:color w:val="232B35"/>
                <w:sz w:val="17"/>
              </w:rPr>
              <w:t>Diferencia entre created_at y synced_at.</w:t>
            </w:r>
          </w:p>
        </w:tc>
      </w:tr>
      <w:tr>
        <w:tc>
          <w:tcPr>
            <w:tcW w:type="dxa" w:w="3168"/>
            <w:vAlign w:val="center"/>
          </w:tcPr>
          <w:p>
            <w:pPr>
              <w:spacing w:after="0" w:before="0"/>
              <w:jc w:val="left"/>
            </w:pPr>
            <w:r/>
            <w:r>
              <w:rPr>
                <w:rFonts w:ascii="Calibri" w:hAnsi="Calibri"/>
                <w:b w:val="0"/>
                <w:color w:val="232B35"/>
                <w:sz w:val="17"/>
              </w:rPr>
              <w:t>PEI experimental</w:t>
            </w:r>
          </w:p>
        </w:tc>
        <w:tc>
          <w:tcPr>
            <w:tcW w:type="dxa" w:w="6768"/>
            <w:vAlign w:val="center"/>
          </w:tcPr>
          <w:p>
            <w:pPr>
              <w:spacing w:after="0" w:before="0"/>
              <w:jc w:val="left"/>
            </w:pPr>
            <w:r/>
            <w:r>
              <w:rPr>
                <w:rFonts w:ascii="Calibri" w:hAnsi="Calibri"/>
                <w:b w:val="0"/>
                <w:color w:val="232B35"/>
                <w:sz w:val="17"/>
              </w:rPr>
              <w:t>Exposición aproximada de privacidad por puntos, precisión, retención y actores.</w:t>
            </w:r>
          </w:p>
        </w:tc>
      </w:tr>
      <w:tr>
        <w:tc>
          <w:tcPr>
            <w:tcW w:type="dxa" w:w="3168"/>
            <w:vAlign w:val="center"/>
            <w:shd w:fill="F7FAFC"/>
          </w:tcPr>
          <w:p>
            <w:pPr>
              <w:spacing w:after="0" w:before="0"/>
              <w:jc w:val="left"/>
            </w:pPr>
            <w:r/>
            <w:r>
              <w:rPr>
                <w:rFonts w:ascii="Calibri" w:hAnsi="Calibri"/>
                <w:b w:val="0"/>
                <w:color w:val="232B35"/>
                <w:sz w:val="17"/>
              </w:rPr>
              <w:t>Recovery time</w:t>
            </w:r>
          </w:p>
        </w:tc>
        <w:tc>
          <w:tcPr>
            <w:tcW w:type="dxa" w:w="6768"/>
            <w:vAlign w:val="center"/>
            <w:shd w:fill="F7FAFC"/>
          </w:tcPr>
          <w:p>
            <w:pPr>
              <w:spacing w:after="0" w:before="0"/>
              <w:jc w:val="left"/>
            </w:pPr>
            <w:r/>
            <w:r>
              <w:rPr>
                <w:rFonts w:ascii="Calibri" w:hAnsi="Calibri"/>
                <w:b w:val="0"/>
                <w:color w:val="232B35"/>
                <w:sz w:val="17"/>
              </w:rPr>
              <w:t>Tiempo de recuperación tras fallo de servicio/backup.</w:t>
            </w:r>
          </w:p>
        </w:tc>
      </w:tr>
      <w:tr>
        <w:tc>
          <w:tcPr>
            <w:tcW w:type="dxa" w:w="3168"/>
            <w:vAlign w:val="center"/>
          </w:tcPr>
          <w:p>
            <w:pPr>
              <w:spacing w:after="0" w:before="0"/>
              <w:jc w:val="left"/>
            </w:pPr>
            <w:r/>
            <w:r>
              <w:rPr>
                <w:rFonts w:ascii="Calibri" w:hAnsi="Calibri"/>
                <w:b w:val="0"/>
                <w:color w:val="232B35"/>
                <w:sz w:val="17"/>
              </w:rPr>
              <w:t>Unauthorized access blocked</w:t>
            </w:r>
          </w:p>
        </w:tc>
        <w:tc>
          <w:tcPr>
            <w:tcW w:type="dxa" w:w="6768"/>
            <w:vAlign w:val="center"/>
          </w:tcPr>
          <w:p>
            <w:pPr>
              <w:spacing w:after="0" w:before="0"/>
              <w:jc w:val="left"/>
            </w:pPr>
            <w:r/>
            <w:r>
              <w:rPr>
                <w:rFonts w:ascii="Calibri" w:hAnsi="Calibri"/>
                <w:b w:val="0"/>
                <w:color w:val="232B35"/>
                <w:sz w:val="17"/>
              </w:rPr>
              <w:t>Intentos indebidos rechazados y auditados.</w:t>
            </w:r>
          </w:p>
        </w:tc>
      </w:tr>
    </w:tbl>
    <w:p>
      <w:pPr>
        <w:spacing w:after="20"/>
      </w:pPr>
    </w:p>
    <w:p>
      <w:pPr>
        <w:pStyle w:val="Ttulo2"/>
      </w:pPr>
      <w:r>
        <w:t>2.16 Consideraciones éticas, límites y validez</w:t>
      </w:r>
    </w:p>
    <w:p>
      <w:pPr>
        <w:pStyle w:val="BodyAcademic"/>
        <w:jc w:val="both"/>
      </w:pPr>
      <w:r>
        <w:t>No se utilizarán menores reales ni se rasparán publicaciones personales de familiares. Los datos SIRDEC se analizarán preferentemente de forma agregada y se conservará procedencia. Los escenarios de acoso, coacción o secuestro se simularán sin afirmar que la aplicación puede diagnosticar esos hechos. Los resultados del MVP no se generalizarán a escala nacional sin evidencia adicional. Las limitaciones de iOS, disponibilidad de APIs, precisión GPS y comportamiento de redes se reportarán como resultados y no se ocultarán.</w:t>
      </w:r>
    </w:p>
    <w:p>
      <w:pPr>
        <w:pStyle w:val="Ttulo2"/>
      </w:pPr>
      <w:r>
        <w:t>2.17 Entregables</w:t>
      </w:r>
    </w:p>
    <w:p>
      <w:pPr>
        <w:pStyle w:val="BodyAcademic"/>
        <w:ind w:left="288" w:hanging="288"/>
      </w:pPr>
      <w:r>
        <w:rPr>
          <w:b/>
        </w:rPr>
        <w:t xml:space="preserve">1. </w:t>
      </w:r>
      <w:r>
        <w:t>Protocolo y matriz de estado del arte.</w:t>
      </w:r>
    </w:p>
    <w:p>
      <w:pPr>
        <w:pStyle w:val="BodyAcademic"/>
        <w:ind w:left="288" w:hanging="288"/>
      </w:pPr>
      <w:r>
        <w:rPr>
          <w:b/>
        </w:rPr>
        <w:t xml:space="preserve">2. </w:t>
      </w:r>
      <w:r>
        <w:t>Corpus y matriz de casos reales.</w:t>
      </w:r>
    </w:p>
    <w:p>
      <w:pPr>
        <w:pStyle w:val="BodyAcademic"/>
        <w:ind w:left="288" w:hanging="288"/>
      </w:pPr>
      <w:r>
        <w:rPr>
          <w:b/>
        </w:rPr>
        <w:t xml:space="preserve">3. </w:t>
      </w:r>
      <w:r>
        <w:t>Dataset SIRDEC versionado y notebook reproducible si la estructura pública permite la explotación prevista.</w:t>
      </w:r>
    </w:p>
    <w:p>
      <w:pPr>
        <w:pStyle w:val="BodyAcademic"/>
        <w:ind w:left="288" w:hanging="288"/>
      </w:pPr>
      <w:r>
        <w:rPr>
          <w:b/>
        </w:rPr>
        <w:t xml:space="preserve">4. </w:t>
      </w:r>
      <w:r>
        <w:t>Matriz jurídica/ética y threat model.</w:t>
      </w:r>
    </w:p>
    <w:p>
      <w:pPr>
        <w:pStyle w:val="BodyAcademic"/>
        <w:ind w:left="288" w:hanging="288"/>
      </w:pPr>
      <w:r>
        <w:rPr>
          <w:b/>
        </w:rPr>
        <w:t xml:space="preserve">5. </w:t>
      </w:r>
      <w:r>
        <w:t>Especificación de requisitos, reglas de negocio y trazabilidad.</w:t>
      </w:r>
    </w:p>
    <w:p>
      <w:pPr>
        <w:pStyle w:val="BodyAcademic"/>
        <w:ind w:left="288" w:hanging="288"/>
      </w:pPr>
      <w:r>
        <w:rPr>
          <w:b/>
        </w:rPr>
        <w:t xml:space="preserve">6. </w:t>
      </w:r>
      <w:r>
        <w:t>Arquitectura lógica, de datos, integración, seguridad e infraestructura.</w:t>
      </w:r>
    </w:p>
    <w:p>
      <w:pPr>
        <w:pStyle w:val="BodyAcademic"/>
        <w:ind w:left="288" w:hanging="288"/>
      </w:pPr>
      <w:r>
        <w:rPr>
          <w:b/>
        </w:rPr>
        <w:t xml:space="preserve">7. </w:t>
      </w:r>
      <w:r>
        <w:t>Aplicación móvil, backend, base geoespacial y colección Postman.</w:t>
      </w:r>
    </w:p>
    <w:p>
      <w:pPr>
        <w:pStyle w:val="BodyAcademic"/>
        <w:ind w:left="288" w:hanging="288"/>
      </w:pPr>
      <w:r>
        <w:rPr>
          <w:b/>
        </w:rPr>
        <w:t xml:space="preserve">8. </w:t>
      </w:r>
      <w:r>
        <w:t>Simulador de eventos y adaptadores de fuentes oficiales/abiertas.</w:t>
      </w:r>
    </w:p>
    <w:p>
      <w:pPr>
        <w:pStyle w:val="BodyAcademic"/>
        <w:ind w:left="288" w:hanging="288"/>
      </w:pPr>
      <w:r>
        <w:rPr>
          <w:b/>
        </w:rPr>
        <w:t xml:space="preserve">9. </w:t>
      </w:r>
      <w:r>
        <w:t>Resultados del experimento de geolocalización/batería/datos.</w:t>
      </w:r>
    </w:p>
    <w:p>
      <w:pPr>
        <w:pStyle w:val="BodyAcademic"/>
        <w:ind w:left="288" w:hanging="288"/>
      </w:pPr>
      <w:r>
        <w:rPr>
          <w:b/>
        </w:rPr>
        <w:t xml:space="preserve">10. </w:t>
      </w:r>
      <w:r>
        <w:t>Informe de resiliencia, seguridad, backup/restore y conectividad degradada.</w:t>
      </w:r>
    </w:p>
    <w:p>
      <w:pPr>
        <w:pStyle w:val="BodyAcademic"/>
        <w:ind w:left="288" w:hanging="288"/>
      </w:pPr>
      <w:r>
        <w:rPr>
          <w:b/>
        </w:rPr>
        <w:t xml:space="preserve">11. </w:t>
      </w:r>
      <w:r>
        <w:t>Evidencia audiovisual de escenarios E01–E25.</w:t>
      </w:r>
    </w:p>
    <w:p>
      <w:pPr>
        <w:pStyle w:val="BodyAcademic"/>
        <w:ind w:left="288" w:hanging="288"/>
      </w:pPr>
      <w:r>
        <w:rPr>
          <w:b/>
        </w:rPr>
        <w:t xml:space="preserve">12. </w:t>
      </w:r>
      <w:r>
        <w:t>Documento final y sustentación técnica.</w:t>
      </w:r>
    </w:p>
    <w:p>
      <w:r>
        <w:br w:type="page"/>
      </w:r>
    </w:p>
    <w:p>
      <w:pPr>
        <w:pStyle w:val="Ttulo1"/>
      </w:pPr>
      <w:r>
        <w:t>3. CRONOGRAMA DE ACTIVIDADES</w:t>
      </w:r>
    </w:p>
    <w:p>
      <w:pPr>
        <w:pStyle w:val="BodyAcademic"/>
        <w:jc w:val="both"/>
      </w:pPr>
      <w:r>
        <w:t>El proyecto se organiza en 16 semanas. El objetivo es disponer de un MVP integrado alrededor de la semana 10–11 y reservar el tramo final para pruebas, análisis, correcciones, evidencia y redacción. La alta disponibilidad multi-región se diseña y simula; no se condiciona la entrega a un despliegue productivo de escala nacional.</w:t>
      </w:r>
    </w:p>
    <w:p>
      <w:pPr>
        <w:spacing w:before="80" w:after="40"/>
        <w:jc w:val="center"/>
      </w:pPr>
      <w:r>
        <w:drawing>
          <wp:inline xmlns:a="http://schemas.openxmlformats.org/drawingml/2006/main" xmlns:pic="http://schemas.openxmlformats.org/drawingml/2006/picture">
            <wp:extent cx="5715000" cy="2779943"/>
            <wp:docPr id="20" name="Picture 20"/>
            <wp:cNvGraphicFramePr>
              <a:graphicFrameLocks noChangeAspect="1"/>
            </wp:cNvGraphicFramePr>
            <a:graphic>
              <a:graphicData uri="http://schemas.openxmlformats.org/drawingml/2006/picture">
                <pic:pic>
                  <pic:nvPicPr>
                    <pic:cNvPr id="0" name="18_gantt_16_semanas.png"/>
                    <pic:cNvPicPr/>
                  </pic:nvPicPr>
                  <pic:blipFill>
                    <a:blip r:embed="rId36"/>
                    <a:stretch>
                      <a:fillRect/>
                    </a:stretch>
                  </pic:blipFill>
                  <pic:spPr>
                    <a:xfrm>
                      <a:off x="0" y="0"/>
                      <a:ext cx="5715000" cy="2779943"/>
                    </a:xfrm>
                    <a:prstGeom prst="rect"/>
                  </pic:spPr>
                </pic:pic>
              </a:graphicData>
            </a:graphic>
          </wp:inline>
        </w:drawing>
      </w:r>
    </w:p>
    <w:p>
      <w:pPr>
        <w:pStyle w:val="CaptionAcademic"/>
        <w:jc w:val="center"/>
      </w:pPr>
      <w:r>
        <w:t>Figura 19. Cronograma propuesto de 16 semanas.</w:t>
      </w:r>
    </w:p>
    <w:tbl>
      <w:tblPr>
        <w:tblStyle w:val="Tablaconcuadrcula"/>
        <w:tblW w:type="auto" w:w="0"/>
        <w:jc w:val="center"/>
        <w:tblLook w:firstColumn="1" w:firstRow="1" w:lastColumn="0" w:lastRow="0" w:noHBand="0" w:noVBand="1" w:val="04A0"/>
      </w:tblPr>
      <w:tblGrid>
        <w:gridCol w:w="4565"/>
        <w:gridCol w:w="4565"/>
      </w:tblGrid>
      <w:tr>
        <w:tc>
          <w:tcPr>
            <w:tcW w:type="dxa" w:w="1584"/>
            <w:vAlign w:val="center"/>
            <w:shd w:fill="17365D"/>
          </w:tcPr>
          <w:p>
            <w:pPr>
              <w:spacing w:after="0" w:before="0"/>
              <w:jc w:val="left"/>
            </w:pPr>
            <w:r/>
            <w:r>
              <w:rPr>
                <w:rFonts w:ascii="Calibri" w:hAnsi="Calibri"/>
                <w:b/>
                <w:color w:val="FFFFFF"/>
                <w:sz w:val="17"/>
              </w:rPr>
              <w:t>Semanas</w:t>
            </w:r>
          </w:p>
        </w:tc>
        <w:tc>
          <w:tcPr>
            <w:tcW w:type="dxa" w:w="8352"/>
            <w:vAlign w:val="center"/>
            <w:shd w:fill="17365D"/>
          </w:tcPr>
          <w:p>
            <w:pPr>
              <w:spacing w:after="0" w:before="0"/>
              <w:jc w:val="left"/>
            </w:pPr>
            <w:r/>
            <w:r>
              <w:rPr>
                <w:rFonts w:ascii="Calibri" w:hAnsi="Calibri"/>
                <w:b/>
                <w:color w:val="FFFFFF"/>
                <w:sz w:val="17"/>
              </w:rPr>
              <w:t>Resultado</w:t>
            </w:r>
          </w:p>
        </w:tc>
      </w:tr>
      <w:tr>
        <w:tc>
          <w:tcPr>
            <w:tcW w:type="dxa" w:w="1584"/>
            <w:vAlign w:val="center"/>
          </w:tcPr>
          <w:p>
            <w:pPr>
              <w:spacing w:after="0" w:before="0"/>
              <w:jc w:val="left"/>
            </w:pPr>
            <w:r/>
            <w:r>
              <w:rPr>
                <w:rFonts w:ascii="Calibri" w:hAnsi="Calibri"/>
                <w:b w:val="0"/>
                <w:color w:val="232B35"/>
                <w:sz w:val="17"/>
              </w:rPr>
              <w:t>1–2</w:t>
            </w:r>
          </w:p>
        </w:tc>
        <w:tc>
          <w:tcPr>
            <w:tcW w:type="dxa" w:w="8352"/>
            <w:vAlign w:val="center"/>
          </w:tcPr>
          <w:p>
            <w:pPr>
              <w:spacing w:after="0" w:before="0"/>
              <w:jc w:val="left"/>
            </w:pPr>
            <w:r/>
            <w:r>
              <w:rPr>
                <w:rFonts w:ascii="Calibri" w:hAnsi="Calibri"/>
                <w:b w:val="0"/>
                <w:color w:val="232B35"/>
                <w:sz w:val="17"/>
              </w:rPr>
              <w:t>Cierre documental, requisitos, arquitectura, backlog y entornos.</w:t>
            </w:r>
          </w:p>
        </w:tc>
      </w:tr>
      <w:tr>
        <w:tc>
          <w:tcPr>
            <w:tcW w:type="dxa" w:w="1584"/>
            <w:vAlign w:val="center"/>
            <w:shd w:fill="F7FAFC"/>
          </w:tcPr>
          <w:p>
            <w:pPr>
              <w:spacing w:after="0" w:before="0"/>
              <w:jc w:val="left"/>
            </w:pPr>
            <w:r/>
            <w:r>
              <w:rPr>
                <w:rFonts w:ascii="Calibri" w:hAnsi="Calibri"/>
                <w:b w:val="0"/>
                <w:color w:val="232B35"/>
                <w:sz w:val="17"/>
              </w:rPr>
              <w:t>3–4</w:t>
            </w:r>
          </w:p>
        </w:tc>
        <w:tc>
          <w:tcPr>
            <w:tcW w:type="dxa" w:w="8352"/>
            <w:vAlign w:val="center"/>
            <w:shd w:fill="F7FAFC"/>
          </w:tcPr>
          <w:p>
            <w:pPr>
              <w:spacing w:after="0" w:before="0"/>
              <w:jc w:val="left"/>
            </w:pPr>
            <w:r/>
            <w:r>
              <w:rPr>
                <w:rFonts w:ascii="Calibri" w:hAnsi="Calibri"/>
                <w:b w:val="0"/>
                <w:color w:val="232B35"/>
                <w:sz w:val="17"/>
              </w:rPr>
              <w:t>Identidad, dispositivos, Trusted Circle, Consent/Policy y auditoría.</w:t>
            </w:r>
          </w:p>
        </w:tc>
      </w:tr>
      <w:tr>
        <w:tc>
          <w:tcPr>
            <w:tcW w:type="dxa" w:w="1584"/>
            <w:vAlign w:val="center"/>
          </w:tcPr>
          <w:p>
            <w:pPr>
              <w:spacing w:after="0" w:before="0"/>
              <w:jc w:val="left"/>
            </w:pPr>
            <w:r/>
            <w:r>
              <w:rPr>
                <w:rFonts w:ascii="Calibri" w:hAnsi="Calibri"/>
                <w:b w:val="0"/>
                <w:color w:val="232B35"/>
                <w:sz w:val="17"/>
              </w:rPr>
              <w:t>5–6</w:t>
            </w:r>
          </w:p>
        </w:tc>
        <w:tc>
          <w:tcPr>
            <w:tcW w:type="dxa" w:w="8352"/>
            <w:vAlign w:val="center"/>
          </w:tcPr>
          <w:p>
            <w:pPr>
              <w:spacing w:after="0" w:before="0"/>
              <w:jc w:val="left"/>
            </w:pPr>
            <w:r/>
            <w:r>
              <w:rPr>
                <w:rFonts w:ascii="Calibri" w:hAnsi="Calibri"/>
                <w:b w:val="0"/>
                <w:color w:val="232B35"/>
                <w:sz w:val="17"/>
              </w:rPr>
              <w:t>Emergency Location Vault, cifrado, TTL deslizante y sincronización.</w:t>
            </w:r>
          </w:p>
        </w:tc>
      </w:tr>
      <w:tr>
        <w:tc>
          <w:tcPr>
            <w:tcW w:type="dxa" w:w="1584"/>
            <w:vAlign w:val="center"/>
            <w:shd w:fill="F7FAFC"/>
          </w:tcPr>
          <w:p>
            <w:pPr>
              <w:spacing w:after="0" w:before="0"/>
              <w:jc w:val="left"/>
            </w:pPr>
            <w:r/>
            <w:r>
              <w:rPr>
                <w:rFonts w:ascii="Calibri" w:hAnsi="Calibri"/>
                <w:b w:val="0"/>
                <w:color w:val="232B35"/>
                <w:sz w:val="17"/>
              </w:rPr>
              <w:t>7–8</w:t>
            </w:r>
          </w:p>
        </w:tc>
        <w:tc>
          <w:tcPr>
            <w:tcW w:type="dxa" w:w="8352"/>
            <w:vAlign w:val="center"/>
            <w:shd w:fill="F7FAFC"/>
          </w:tcPr>
          <w:p>
            <w:pPr>
              <w:spacing w:after="0" w:before="0"/>
              <w:jc w:val="left"/>
            </w:pPr>
            <w:r/>
            <w:r>
              <w:rPr>
                <w:rFonts w:ascii="Calibri" w:hAnsi="Calibri"/>
                <w:b w:val="0"/>
                <w:color w:val="232B35"/>
                <w:sz w:val="17"/>
              </w:rPr>
              <w:t>Adaptive Sampling, EmergencyEvent, SGC/Test Adapter y check-in.</w:t>
            </w:r>
          </w:p>
        </w:tc>
      </w:tr>
      <w:tr>
        <w:tc>
          <w:tcPr>
            <w:tcW w:type="dxa" w:w="1584"/>
            <w:vAlign w:val="center"/>
          </w:tcPr>
          <w:p>
            <w:pPr>
              <w:spacing w:after="0" w:before="0"/>
              <w:jc w:val="left"/>
            </w:pPr>
            <w:r/>
            <w:r>
              <w:rPr>
                <w:rFonts w:ascii="Calibri" w:hAnsi="Calibri"/>
                <w:b w:val="0"/>
                <w:color w:val="232B35"/>
                <w:sz w:val="17"/>
              </w:rPr>
              <w:t>9–10</w:t>
            </w:r>
          </w:p>
        </w:tc>
        <w:tc>
          <w:tcPr>
            <w:tcW w:type="dxa" w:w="8352"/>
            <w:vAlign w:val="center"/>
          </w:tcPr>
          <w:p>
            <w:pPr>
              <w:spacing w:after="0" w:before="0"/>
              <w:jc w:val="left"/>
            </w:pPr>
            <w:r/>
            <w:r>
              <w:rPr>
                <w:rFonts w:ascii="Calibri" w:hAnsi="Calibri"/>
                <w:b w:val="0"/>
                <w:color w:val="232B35"/>
                <w:sz w:val="17"/>
              </w:rPr>
              <w:t>IDEAM/dataset oficial, alertas, escalamiento, métricas y panel básico.</w:t>
            </w:r>
          </w:p>
        </w:tc>
      </w:tr>
      <w:tr>
        <w:tc>
          <w:tcPr>
            <w:tcW w:type="dxa" w:w="1584"/>
            <w:vAlign w:val="center"/>
            <w:shd w:fill="F7FAFC"/>
          </w:tcPr>
          <w:p>
            <w:pPr>
              <w:spacing w:after="0" w:before="0"/>
              <w:jc w:val="left"/>
            </w:pPr>
            <w:r/>
            <w:r>
              <w:rPr>
                <w:rFonts w:ascii="Calibri" w:hAnsi="Calibri"/>
                <w:b w:val="0"/>
                <w:color w:val="232B35"/>
                <w:sz w:val="17"/>
              </w:rPr>
              <w:t>11–12</w:t>
            </w:r>
          </w:p>
        </w:tc>
        <w:tc>
          <w:tcPr>
            <w:tcW w:type="dxa" w:w="8352"/>
            <w:vAlign w:val="center"/>
            <w:shd w:fill="F7FAFC"/>
          </w:tcPr>
          <w:p>
            <w:pPr>
              <w:spacing w:after="0" w:before="0"/>
              <w:jc w:val="left"/>
            </w:pPr>
            <w:r/>
            <w:r>
              <w:rPr>
                <w:rFonts w:ascii="Calibri" w:hAnsi="Calibri"/>
                <w:b w:val="0"/>
                <w:color w:val="232B35"/>
                <w:sz w:val="17"/>
              </w:rPr>
              <w:t>Welfare Check, desaparición controlada, SIRDEC Open Data y mocks institucionales.</w:t>
            </w:r>
          </w:p>
        </w:tc>
      </w:tr>
      <w:tr>
        <w:tc>
          <w:tcPr>
            <w:tcW w:type="dxa" w:w="1584"/>
            <w:vAlign w:val="center"/>
          </w:tcPr>
          <w:p>
            <w:pPr>
              <w:spacing w:after="0" w:before="0"/>
              <w:jc w:val="left"/>
            </w:pPr>
            <w:r/>
            <w:r>
              <w:rPr>
                <w:rFonts w:ascii="Calibri" w:hAnsi="Calibri"/>
                <w:b w:val="0"/>
                <w:color w:val="232B35"/>
                <w:sz w:val="17"/>
              </w:rPr>
              <w:t>13–14</w:t>
            </w:r>
          </w:p>
        </w:tc>
        <w:tc>
          <w:tcPr>
            <w:tcW w:type="dxa" w:w="8352"/>
            <w:vAlign w:val="center"/>
          </w:tcPr>
          <w:p>
            <w:pPr>
              <w:spacing w:after="0" w:before="0"/>
              <w:jc w:val="left"/>
            </w:pPr>
            <w:r/>
            <w:r>
              <w:rPr>
                <w:rFonts w:ascii="Calibri" w:hAnsi="Calibri"/>
                <w:b w:val="0"/>
                <w:color w:val="232B35"/>
                <w:sz w:val="17"/>
              </w:rPr>
              <w:t>P2P/store-and-forward, Personal Safety Mode, threat testing, backup/restore y failover.</w:t>
            </w:r>
          </w:p>
        </w:tc>
      </w:tr>
      <w:tr>
        <w:tc>
          <w:tcPr>
            <w:tcW w:type="dxa" w:w="1584"/>
            <w:vAlign w:val="center"/>
            <w:shd w:fill="F7FAFC"/>
          </w:tcPr>
          <w:p>
            <w:pPr>
              <w:spacing w:after="0" w:before="0"/>
              <w:jc w:val="left"/>
            </w:pPr>
            <w:r/>
            <w:r>
              <w:rPr>
                <w:rFonts w:ascii="Calibri" w:hAnsi="Calibri"/>
                <w:b w:val="0"/>
                <w:color w:val="232B35"/>
                <w:sz w:val="17"/>
              </w:rPr>
              <w:t>15</w:t>
            </w:r>
          </w:p>
        </w:tc>
        <w:tc>
          <w:tcPr>
            <w:tcW w:type="dxa" w:w="8352"/>
            <w:vAlign w:val="center"/>
            <w:shd w:fill="F7FAFC"/>
          </w:tcPr>
          <w:p>
            <w:pPr>
              <w:spacing w:after="0" w:before="0"/>
              <w:jc w:val="left"/>
            </w:pPr>
            <w:r/>
            <w:r>
              <w:rPr>
                <w:rFonts w:ascii="Calibri" w:hAnsi="Calibri"/>
                <w:b w:val="0"/>
                <w:color w:val="232B35"/>
                <w:sz w:val="17"/>
              </w:rPr>
              <w:t>Experimentos integrales, batería/datos, UX y escenarios E01–E25.</w:t>
            </w:r>
          </w:p>
        </w:tc>
      </w:tr>
      <w:tr>
        <w:tc>
          <w:tcPr>
            <w:tcW w:type="dxa" w:w="1584"/>
            <w:vAlign w:val="center"/>
          </w:tcPr>
          <w:p>
            <w:pPr>
              <w:spacing w:after="0" w:before="0"/>
              <w:jc w:val="left"/>
            </w:pPr>
            <w:r/>
            <w:r>
              <w:rPr>
                <w:rFonts w:ascii="Calibri" w:hAnsi="Calibri"/>
                <w:b w:val="0"/>
                <w:color w:val="232B35"/>
                <w:sz w:val="17"/>
              </w:rPr>
              <w:t>16</w:t>
            </w:r>
          </w:p>
        </w:tc>
        <w:tc>
          <w:tcPr>
            <w:tcW w:type="dxa" w:w="8352"/>
            <w:vAlign w:val="center"/>
          </w:tcPr>
          <w:p>
            <w:pPr>
              <w:spacing w:after="0" w:before="0"/>
              <w:jc w:val="left"/>
            </w:pPr>
            <w:r/>
            <w:r>
              <w:rPr>
                <w:rFonts w:ascii="Calibri" w:hAnsi="Calibri"/>
                <w:b w:val="0"/>
                <w:color w:val="232B35"/>
                <w:sz w:val="17"/>
              </w:rPr>
              <w:t>Análisis, correcciones, documento final, video y sustentación.</w:t>
            </w:r>
          </w:p>
        </w:tc>
      </w:tr>
    </w:tbl>
    <w:p>
      <w:pPr>
        <w:spacing w:after="20"/>
      </w:pPr>
    </w:p>
    <w:p>
      <w:r>
        <w:br w:type="page"/>
      </w:r>
    </w:p>
    <w:p>
      <w:pPr>
        <w:pStyle w:val="Ttulo1"/>
      </w:pPr>
      <w:r>
        <w:t>REFERENCIAS</w:t>
      </w:r>
    </w:p>
    <w:p>
      <w:pPr>
        <w:pStyle w:val="BodyAcademic"/>
        <w:spacing w:after="60"/>
        <w:ind w:left="360" w:hanging="360"/>
        <w:jc w:val="left"/>
      </w:pPr>
      <w:r>
        <w:rPr>
          <w:sz w:val="17"/>
        </w:rPr>
        <w:t>[1] Servicio Geológico Colombiano, “SGC actualiza la información sobre el sismo ocurrido en San José del Palmar, Chocó,” 10 ago. 2026. [En línea]. Disponible: https://www2.sgc.gov.co/Noticias/Paginas/SGC-actualiza-la-informacion-sobre-el-sismo-ocurrido-en-San-Jose-del-Palmar-Choco.aspx</w:t>
      </w:r>
    </w:p>
    <w:p>
      <w:pPr>
        <w:pStyle w:val="BodyAcademic"/>
        <w:spacing w:after="60"/>
        <w:ind w:left="360" w:hanging="360"/>
        <w:jc w:val="left"/>
      </w:pPr>
      <w:r>
        <w:rPr>
          <w:sz w:val="17"/>
        </w:rPr>
        <w:t>[2] Unidad Nacional para la Gestión del Riesgo de Desastres, “Portal de Gestión del Riesgo – respuesta al evento de agosto de 2026,” ago.–sep. 2026. [En línea]. Disponible: https://portal.gestiondelriesgo.gov.co/</w:t>
      </w:r>
    </w:p>
    <w:p>
      <w:pPr>
        <w:pStyle w:val="BodyAcademic"/>
        <w:spacing w:after="60"/>
        <w:ind w:left="360" w:hanging="360"/>
        <w:jc w:val="left"/>
      </w:pPr>
      <w:r>
        <w:rPr>
          <w:sz w:val="17"/>
        </w:rPr>
        <w:t>[3] Instituto Nacional de Medicina Legal y Ciencias Forenses, “Reporte Oficial No. 03 – personas desaparecidas asociadas al terremoto,” 16 ago. 2026.</w:t>
      </w:r>
    </w:p>
    <w:p>
      <w:pPr>
        <w:pStyle w:val="BodyAcademic"/>
        <w:spacing w:after="60"/>
        <w:ind w:left="360" w:hanging="360"/>
        <w:jc w:val="left"/>
      </w:pPr>
      <w:r>
        <w:rPr>
          <w:sz w:val="17"/>
        </w:rPr>
        <w:t>[4] Instituto Nacional de Medicina Legal y Ciencias Forenses, “Reporte Oficial No. 04 – personas desaparecidas asociadas al terremoto,” 17 ago. 2026.</w:t>
      </w:r>
    </w:p>
    <w:p>
      <w:pPr>
        <w:pStyle w:val="BodyAcademic"/>
        <w:spacing w:after="60"/>
        <w:ind w:left="360" w:hanging="360"/>
        <w:jc w:val="left"/>
      </w:pPr>
      <w:r>
        <w:rPr>
          <w:sz w:val="17"/>
        </w:rPr>
        <w:t>[5] Instituto Nacional de Medicina Legal y Ciencias Forenses, “Reporte Oficial No. 07 – personas desaparecidas asociadas al terremoto,” 26 ago. 2026.</w:t>
      </w:r>
    </w:p>
    <w:p>
      <w:pPr>
        <w:pStyle w:val="BodyAcademic"/>
        <w:spacing w:after="60"/>
        <w:ind w:left="360" w:hanging="360"/>
        <w:jc w:val="left"/>
      </w:pPr>
      <w:r>
        <w:rPr>
          <w:sz w:val="17"/>
        </w:rPr>
        <w:t>[6] Servicio Geológico Colombiano, “Cinco lecciones que la tragedia de Armero nos dejó,” 13 nov. 2023. [En línea]. Disponible: https://www2.sgc.gov.co/Noticias/Paginas/Cinco-lecciones-que-la-tragedia-de-Armero-nos-dejo.aspx</w:t>
      </w:r>
    </w:p>
    <w:p>
      <w:pPr>
        <w:pStyle w:val="BodyAcademic"/>
        <w:spacing w:after="60"/>
        <w:ind w:left="360" w:hanging="360"/>
        <w:jc w:val="left"/>
      </w:pPr>
      <w:r>
        <w:rPr>
          <w:sz w:val="17"/>
        </w:rPr>
        <w:t>[7] International Federation of Red Cross and Red Crescent Societies, “One month after Venezuela’s earthquakes, the Red Cross is still on the ground supporting those affected,” 2026. [En línea]. Disponible: https://www.ifrc.org/article/one-month-after-venezuelas-earthquakes-red-cross-still-ground-supporting-those-affected</w:t>
      </w:r>
    </w:p>
    <w:p>
      <w:pPr>
        <w:pStyle w:val="BodyAcademic"/>
        <w:spacing w:after="60"/>
        <w:ind w:left="360" w:hanging="360"/>
        <w:jc w:val="left"/>
      </w:pPr>
      <w:r>
        <w:rPr>
          <w:sz w:val="17"/>
        </w:rPr>
        <w:t>[8] Gobierno de San Cristóbal de Las Casas, “San Cristóbal se mantiene sin afectaciones tras sismo; Gobierno Municipal activa protocolos de prevención,” 17 jul. 2026. [En línea]. Disponible: https://www.sancristobal.gob.mx/2026/07/17/san-cristobal-se-mantiene-sin-afectaciones-tras-sismo-gobierno-municipal-activa-protocolos-de-prevencion/</w:t>
      </w:r>
    </w:p>
    <w:p>
      <w:pPr>
        <w:pStyle w:val="BodyAcademic"/>
        <w:spacing w:after="60"/>
        <w:ind w:left="360" w:hanging="360"/>
        <w:jc w:val="left"/>
      </w:pPr>
      <w:r>
        <w:rPr>
          <w:sz w:val="17"/>
        </w:rPr>
        <w:t>[9] International Committee of the Red Cross, “Reconnecting Families.” [En línea]. Disponible: https://www.icrc.org/en/what-we-do/reconnecting-families</w:t>
      </w:r>
    </w:p>
    <w:p>
      <w:pPr>
        <w:pStyle w:val="BodyAcademic"/>
        <w:spacing w:after="60"/>
        <w:ind w:left="360" w:hanging="360"/>
        <w:jc w:val="left"/>
      </w:pPr>
      <w:r>
        <w:rPr>
          <w:sz w:val="17"/>
        </w:rPr>
        <w:t>[10] International Committee of the Red Cross, “Restoring Family Links Guide for National Red Cross and Red Crescent Societies.” [En línea]. Disponible: https://www.icrc.org/en/publication/0784-restoring-family-links-guide-national-red-cross-and-red-crescent-societies</w:t>
      </w:r>
    </w:p>
    <w:p>
      <w:pPr>
        <w:pStyle w:val="BodyAcademic"/>
        <w:spacing w:after="60"/>
        <w:ind w:left="360" w:hanging="360"/>
        <w:jc w:val="left"/>
      </w:pPr>
      <w:r>
        <w:rPr>
          <w:sz w:val="17"/>
        </w:rPr>
        <w:t>[11] International Committee of the Red Cross, “Nepal: ICRC introduces new app to help reconnect families,” 1 jul. 2015. [En línea]. Disponible: https://www.icrc.org/en/document/nepal-icrc-introduces-new-app-help-reconnect-families</w:t>
      </w:r>
    </w:p>
    <w:p>
      <w:pPr>
        <w:pStyle w:val="BodyAcademic"/>
        <w:spacing w:after="60"/>
        <w:ind w:left="360" w:hanging="360"/>
        <w:jc w:val="left"/>
      </w:pPr>
      <w:r>
        <w:rPr>
          <w:sz w:val="17"/>
        </w:rPr>
        <w:t>[12] Instituto Nacional de Medicina Legal y Ciencias Forenses / Datos Abiertos Colombia, “Desaparecidos en Colombia – Histórico junio de 2026.” [En línea]. Disponible: https://www.datos.gov.co/Justicia-y-Derecho/Desaparecidos-en-Colombia-Hist-rico-junio-de-2026/8hqm-7fdt</w:t>
      </w:r>
    </w:p>
    <w:p>
      <w:pPr>
        <w:pStyle w:val="BodyAcademic"/>
        <w:spacing w:after="60"/>
        <w:ind w:left="360" w:hanging="360"/>
        <w:jc w:val="left"/>
      </w:pPr>
      <w:r>
        <w:rPr>
          <w:sz w:val="17"/>
        </w:rPr>
        <w:t>[13] Instituto Nacional de Medicina Legal y Ciencias Forenses, “RND – Registro Nacional de Desaparecidos.” [En línea]. Disponible: https://www.medicinalegal.gov.co/rnd-registro-de-desaparecidos</w:t>
      </w:r>
    </w:p>
    <w:p>
      <w:pPr>
        <w:pStyle w:val="BodyAcademic"/>
        <w:spacing w:after="60"/>
        <w:ind w:left="360" w:hanging="360"/>
        <w:jc w:val="left"/>
      </w:pPr>
      <w:r>
        <w:rPr>
          <w:sz w:val="17"/>
        </w:rPr>
        <w:t>[14] Instituto Nacional de Medicina Legal y Ciencias Forenses, “Consultas Públicas de Desaparecidos – SICLICO.” [En línea]. Disponible: https://siclico.medicinalegal.gov.co/consultasPublicas/Desaparecidos.xhtml</w:t>
      </w:r>
    </w:p>
    <w:p>
      <w:pPr>
        <w:pStyle w:val="BodyAcademic"/>
        <w:spacing w:after="60"/>
        <w:ind w:left="360" w:hanging="360"/>
        <w:jc w:val="left"/>
      </w:pPr>
      <w:r>
        <w:rPr>
          <w:sz w:val="17"/>
        </w:rPr>
        <w:t>[15] Instituto Nacional de Medicina Legal y Ciencias Forenses, “Boletines estadísticos de niños, niñas y adolescentes.” [En línea]. Disponible: https://www.medicinalegal.gov.co/cifras-estadisticas/boletines-estadisticos-nna</w:t>
      </w:r>
    </w:p>
    <w:p>
      <w:pPr>
        <w:pStyle w:val="BodyAcademic"/>
        <w:spacing w:after="60"/>
        <w:ind w:left="360" w:hanging="360"/>
        <w:jc w:val="left"/>
      </w:pPr>
      <w:r>
        <w:rPr>
          <w:sz w:val="17"/>
        </w:rPr>
        <w:t>[16] Fiscalía General de la Nación, “Portafolio de servicios – Mecanismo de Búsqueda Urgente.” [En línea]. Disponible: https://www.fiscalia.gov.co/portafolio-de-servicios/</w:t>
      </w:r>
    </w:p>
    <w:p>
      <w:pPr>
        <w:pStyle w:val="BodyAcademic"/>
        <w:spacing w:after="60"/>
        <w:ind w:left="360" w:hanging="360"/>
        <w:jc w:val="left"/>
      </w:pPr>
      <w:r>
        <w:rPr>
          <w:sz w:val="17"/>
        </w:rPr>
        <w:t>[17] República de Colombia, Ley 971 de 2005, “Por medio de la cual se reglamenta el mecanismo de búsqueda urgente.” [En línea]. Disponible: https://www.secretariasenado.gov.co/senado/basedoc/ley_0971_2005.html</w:t>
      </w:r>
    </w:p>
    <w:p>
      <w:pPr>
        <w:pStyle w:val="BodyAcademic"/>
        <w:spacing w:after="60"/>
        <w:ind w:left="360" w:hanging="360"/>
        <w:jc w:val="left"/>
      </w:pPr>
      <w:r>
        <w:rPr>
          <w:sz w:val="17"/>
        </w:rPr>
        <w:t>[18] República de Colombia, Ley 2326 de 2023, “Por medio de la cual se adopta la Alerta Rosa.” [En línea]. Disponible: https://www.secretariasenado.gov.co/senado/basedoc/ley_2326_2023.html</w:t>
      </w:r>
    </w:p>
    <w:p>
      <w:pPr>
        <w:pStyle w:val="BodyAcademic"/>
        <w:spacing w:after="60"/>
        <w:ind w:left="360" w:hanging="360"/>
        <w:jc w:val="left"/>
      </w:pPr>
      <w:r>
        <w:rPr>
          <w:sz w:val="17"/>
        </w:rPr>
        <w:t>[19] República de Colombia, Decreto 1428 de 2024, reglamentación relacionada con Alerta Rosa. [En línea]. Disponible: https://www.funcionpublica.gov.co/eva/gestornormativo/norma.php?i=256636</w:t>
      </w:r>
    </w:p>
    <w:p>
      <w:pPr>
        <w:pStyle w:val="BodyAcademic"/>
        <w:spacing w:after="60"/>
        <w:ind w:left="360" w:hanging="360"/>
        <w:jc w:val="left"/>
      </w:pPr>
      <w:r>
        <w:rPr>
          <w:sz w:val="17"/>
        </w:rPr>
        <w:t>[20] República de Colombia, Constitución Política de Colombia, art. 15. [En línea]. Disponible: https://www.secretariasenado.gov.co/senado/basedoc/constitucion_politica_1991.html</w:t>
      </w:r>
    </w:p>
    <w:p>
      <w:pPr>
        <w:pStyle w:val="BodyAcademic"/>
        <w:spacing w:after="60"/>
        <w:ind w:left="360" w:hanging="360"/>
        <w:jc w:val="left"/>
      </w:pPr>
      <w:r>
        <w:rPr>
          <w:sz w:val="17"/>
        </w:rPr>
        <w:t>[21] República de Colombia, Ley 1581 de 2012, “Por la cual se dictan disposiciones generales para la protección de datos personales.” [En línea]. Disponible: https://www.funcionpublica.gov.co/eva/gestornormativo/norma.php?i=49981</w:t>
      </w:r>
    </w:p>
    <w:p>
      <w:pPr>
        <w:pStyle w:val="BodyAcademic"/>
        <w:spacing w:after="60"/>
        <w:ind w:left="360" w:hanging="360"/>
        <w:jc w:val="left"/>
      </w:pPr>
      <w:r>
        <w:rPr>
          <w:sz w:val="17"/>
        </w:rPr>
        <w:t>[22] República de Colombia, Decreto 1074 de 2015, disposiciones aplicables a protección de datos personales. [En línea]. Disponible: https://www.funcionpublica.gov.co/eva/gestornormativo/norma.php?i=76608</w:t>
      </w:r>
    </w:p>
    <w:p>
      <w:pPr>
        <w:pStyle w:val="BodyAcademic"/>
        <w:spacing w:after="60"/>
        <w:ind w:left="360" w:hanging="360"/>
        <w:jc w:val="left"/>
      </w:pPr>
      <w:r>
        <w:rPr>
          <w:sz w:val="17"/>
        </w:rPr>
        <w:t>[23] República de Colombia, Ley 1098 de 2006, Código de la Infancia y la Adolescencia. [En línea]. Disponible: https://www.funcionpublica.gov.co/eva/gestornormativo/norma.php?i=22106</w:t>
      </w:r>
    </w:p>
    <w:p>
      <w:pPr>
        <w:pStyle w:val="BodyAcademic"/>
        <w:spacing w:after="60"/>
        <w:ind w:left="360" w:hanging="360"/>
        <w:jc w:val="left"/>
      </w:pPr>
      <w:r>
        <w:rPr>
          <w:sz w:val="17"/>
        </w:rPr>
        <w:t>[24] OASIS, “Common Alerting Protocol Version 1.2,” 1 jul. 2010. [En línea]. Disponible: https://docs.oasis-open.org/emergency/cap/v1.2/CAP-v1.2-os.html</w:t>
      </w:r>
    </w:p>
    <w:p>
      <w:pPr>
        <w:pStyle w:val="BodyAcademic"/>
        <w:spacing w:after="60"/>
        <w:ind w:left="360" w:hanging="360"/>
        <w:jc w:val="left"/>
      </w:pPr>
      <w:r>
        <w:rPr>
          <w:sz w:val="17"/>
        </w:rPr>
        <w:t>[25] United Nations Office for Disaster Risk Reduction, “Sendai Framework for Disaster Risk Reduction 2015–2030.” [En línea]. Disponible: https://www.undrr.org/publication/sendai-framework-disaster-risk-reduction-2015-2030</w:t>
      </w:r>
    </w:p>
    <w:p>
      <w:pPr>
        <w:pStyle w:val="BodyAcademic"/>
        <w:spacing w:after="60"/>
        <w:ind w:left="360" w:hanging="360"/>
        <w:jc w:val="left"/>
      </w:pPr>
      <w:r>
        <w:rPr>
          <w:sz w:val="17"/>
        </w:rPr>
        <w:t>[26] International Telecommunication Union, “ICTs for Disaster Management / Emergency Telecommunications.” [En línea]. Disponible: https://www.itu.int/en/ITU-D/Emergency-Telecommunications/Pages/ICTs-4-DM.aspx</w:t>
      </w:r>
    </w:p>
    <w:p>
      <w:pPr>
        <w:pStyle w:val="BodyAcademic"/>
        <w:spacing w:after="60"/>
        <w:ind w:left="360" w:hanging="360"/>
        <w:jc w:val="left"/>
      </w:pPr>
      <w:r>
        <w:rPr>
          <w:sz w:val="17"/>
        </w:rPr>
        <w:t>[27] National Institute of Standards and Technology, “Human Response to Emergency Communication: Guidance on Alerts and Warning Messages for Emergencies.” [En línea]. Disponible: https://tsapps.nist.gov/publication/get_pdf.cfm?pub_id=907983</w:t>
      </w:r>
    </w:p>
    <w:p>
      <w:pPr>
        <w:pStyle w:val="BodyAcademic"/>
        <w:spacing w:after="60"/>
        <w:ind w:left="360" w:hanging="360"/>
        <w:jc w:val="left"/>
      </w:pPr>
      <w:r>
        <w:rPr>
          <w:sz w:val="17"/>
        </w:rPr>
        <w:t>[28] Apple, “Use Emergency SOS on your iPhone.” [En línea]. Disponible: https://support.apple.com/en-us/101573</w:t>
      </w:r>
    </w:p>
    <w:p>
      <w:pPr>
        <w:pStyle w:val="BodyAcademic"/>
        <w:spacing w:after="60"/>
        <w:ind w:left="360" w:hanging="360"/>
        <w:jc w:val="left"/>
      </w:pPr>
      <w:r>
        <w:rPr>
          <w:sz w:val="17"/>
        </w:rPr>
        <w:t>[29] Apple, “Use Check In on iPhone.” [En línea]. Disponible: https://support.apple.com/guide/iphone/iphc143bb7e9/ios</w:t>
      </w:r>
    </w:p>
    <w:p>
      <w:pPr>
        <w:pStyle w:val="BodyAcademic"/>
        <w:spacing w:after="60"/>
        <w:ind w:left="360" w:hanging="360"/>
        <w:jc w:val="left"/>
      </w:pPr>
      <w:r>
        <w:rPr>
          <w:sz w:val="17"/>
        </w:rPr>
        <w:t>[30] Google, “Get help in an emergency using your Pixel phone / Personal Safety.” [En línea]. Disponible: https://support.google.com/pixelphone/answer/7055029</w:t>
      </w:r>
    </w:p>
    <w:p>
      <w:pPr>
        <w:pStyle w:val="BodyAcademic"/>
        <w:spacing w:after="60"/>
        <w:ind w:left="360" w:hanging="360"/>
        <w:jc w:val="left"/>
      </w:pPr>
      <w:r>
        <w:rPr>
          <w:sz w:val="17"/>
        </w:rPr>
        <w:t>[31] Google, “Emergency Location Service.” [En línea]. Disponible: https://support.google.com/pixelphone/answer/9083770</w:t>
      </w:r>
    </w:p>
    <w:p>
      <w:pPr>
        <w:pStyle w:val="BodyAcademic"/>
        <w:spacing w:after="60"/>
        <w:ind w:left="360" w:hanging="360"/>
        <w:jc w:val="left"/>
      </w:pPr>
      <w:r>
        <w:rPr>
          <w:sz w:val="17"/>
        </w:rPr>
        <w:t>[32] Google Developers, “Nearby Connections overview.” [En línea]. Disponible: https://developers.google.com/nearby/connections/overview</w:t>
      </w:r>
    </w:p>
    <w:p>
      <w:pPr>
        <w:pStyle w:val="BodyAcademic"/>
        <w:spacing w:after="60"/>
        <w:ind w:left="360" w:hanging="360"/>
        <w:jc w:val="left"/>
      </w:pPr>
      <w:r>
        <w:rPr>
          <w:sz w:val="17"/>
        </w:rPr>
        <w:t>[33] IETF, “RFC 9171 – Bundle Protocol Version 7,” ene. 2022. [En línea]. Disponible: https://www.rfc-editor.org/info/rfc9171/</w:t>
      </w:r>
    </w:p>
    <w:p>
      <w:pPr>
        <w:pStyle w:val="BodyAcademic"/>
        <w:spacing w:after="60"/>
        <w:ind w:left="360" w:hanging="360"/>
        <w:jc w:val="left"/>
      </w:pPr>
      <w:r>
        <w:rPr>
          <w:sz w:val="17"/>
        </w:rPr>
        <w:t>[34] Apple Developer, “Multipeer Connectivity.” [En línea]. Disponible: https://developer.apple.com/documentation/multipeerconnectivity</w:t>
      </w:r>
    </w:p>
    <w:p>
      <w:pPr>
        <w:pStyle w:val="BodyAcademic"/>
        <w:spacing w:after="60"/>
        <w:ind w:left="360" w:hanging="360"/>
        <w:jc w:val="left"/>
      </w:pPr>
      <w:r>
        <w:rPr>
          <w:sz w:val="17"/>
        </w:rPr>
        <w:t>[35] Apple Developer, “TN3151: Choosing the right networking API.” [En línea]. Disponible: https://developer.apple.com/documentation/technotes/tn3151-choosing-the-right-networking-api</w:t>
      </w:r>
    </w:p>
    <w:p>
      <w:pPr>
        <w:pStyle w:val="BodyAcademic"/>
        <w:spacing w:after="60"/>
        <w:ind w:left="360" w:hanging="360"/>
        <w:jc w:val="left"/>
      </w:pPr>
      <w:r>
        <w:rPr>
          <w:sz w:val="17"/>
        </w:rPr>
        <w:t>[36] Life360, “Crash Detection.” [En línea]. Disponible: https://www.life360.com/crash-detection</w:t>
      </w:r>
    </w:p>
    <w:p>
      <w:pPr>
        <w:pStyle w:val="BodyAcademic"/>
        <w:spacing w:after="60"/>
        <w:ind w:left="360" w:hanging="360"/>
        <w:jc w:val="left"/>
      </w:pPr>
      <w:r>
        <w:rPr>
          <w:sz w:val="17"/>
        </w:rPr>
        <w:t>[37] UC Berkeley, “MyShake.” [En línea]. Disponible: https://myshake.berkeley.edu/</w:t>
      </w:r>
    </w:p>
    <w:p>
      <w:pPr>
        <w:pStyle w:val="BodyAcademic"/>
        <w:spacing w:after="60"/>
        <w:ind w:left="360" w:hanging="360"/>
        <w:jc w:val="left"/>
      </w:pPr>
      <w:r>
        <w:rPr>
          <w:sz w:val="17"/>
        </w:rPr>
        <w:t>[38] IDEAM, “FEWS Colombia – Visor nacional.” [En línea]. Disponible: https://fews.ideam.gov.co/visorfews/nacional</w:t>
      </w:r>
    </w:p>
    <w:p>
      <w:pPr>
        <w:pStyle w:val="BodyAcademic"/>
        <w:spacing w:after="60"/>
        <w:ind w:left="360" w:hanging="360"/>
        <w:jc w:val="left"/>
      </w:pPr>
      <w:r>
        <w:rPr>
          <w:sz w:val="17"/>
        </w:rPr>
        <w:t>[39] Android Developers, “About background location and battery life.” [En línea]. Disponible: https://developer.android.com/develop/sensors-and-location/location/battery</w:t>
      </w:r>
    </w:p>
    <w:p>
      <w:pPr>
        <w:pStyle w:val="BodyAcademic"/>
        <w:spacing w:after="60"/>
        <w:ind w:left="360" w:hanging="360"/>
        <w:jc w:val="left"/>
      </w:pPr>
      <w:r>
        <w:rPr>
          <w:sz w:val="17"/>
        </w:rPr>
        <w:t>[40] International Organization for Standardization, ISO 31000:2018, “Risk management — Guidelines,” 2018.</w:t>
      </w:r>
    </w:p>
    <w:p>
      <w:pPr>
        <w:pStyle w:val="BodyAcademic"/>
        <w:spacing w:after="60"/>
        <w:ind w:left="360" w:hanging="360"/>
        <w:jc w:val="left"/>
      </w:pPr>
      <w:r>
        <w:rPr>
          <w:sz w:val="17"/>
        </w:rPr>
        <w:t>[41] International Organization for Standardization, ISO 22301:2019, “Security and resilience — Business continuity management systems — Requirements,” 2019.</w:t>
      </w:r>
    </w:p>
    <w:p>
      <w:pPr>
        <w:pStyle w:val="BodyAcademic"/>
        <w:spacing w:after="60"/>
        <w:ind w:left="360" w:hanging="360"/>
        <w:jc w:val="left"/>
      </w:pPr>
      <w:r>
        <w:rPr>
          <w:sz w:val="17"/>
        </w:rPr>
        <w:t>[42] International Organization for Standardization, ISO/IEC 27001:2022, “Information security management systems — Requirements,” 2022.</w:t>
      </w:r>
    </w:p>
    <w:p>
      <w:pPr>
        <w:pStyle w:val="BodyAcademic"/>
        <w:spacing w:after="60"/>
        <w:ind w:left="360" w:hanging="360"/>
        <w:jc w:val="left"/>
      </w:pPr>
      <w:r>
        <w:rPr>
          <w:sz w:val="17"/>
        </w:rPr>
        <w:t>[43] International Organization for Standardization, ISO/IEC 27701, “Privacy information management systems,” edición vigente consultada en 2026.</w:t>
      </w:r>
    </w:p>
    <w:p>
      <w:pPr>
        <w:pStyle w:val="BodyAcademic"/>
        <w:spacing w:after="60"/>
        <w:ind w:left="360" w:hanging="360"/>
        <w:jc w:val="left"/>
      </w:pPr>
      <w:r>
        <w:rPr>
          <w:sz w:val="17"/>
        </w:rPr>
        <w:t>[44] International Organization for Standardization, ISO 9241-210:2019, “Ergonomics of human-system interaction — Human-centred design for interactive systems,” 2019.</w:t>
      </w:r>
    </w:p>
    <w:sectPr w:rsidR="00D12908" w:rsidRPr="00335073" w:rsidSect="00034616">
      <w:footerReference w:type="default" r:id="rId16"/>
      <w:footerReference w:type="first" r:id="rId17"/>
      <w:pgSz w:w="12240" w:h="15840"/>
      <w:pgMar w:top="1699" w:right="1411" w:bottom="1411"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8189"/>
        <w:sz w:val="16"/>
      </w:rPr>
      <w:t xml:space="preserve">Anteproyecto – Plataforma resiliente de continuidad personal  |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64695842">
    <w:abstractNumId w:val="8"/>
  </w:num>
  <w:num w:numId="2" w16cid:durableId="1376662258">
    <w:abstractNumId w:val="6"/>
  </w:num>
  <w:num w:numId="3" w16cid:durableId="2015915877">
    <w:abstractNumId w:val="5"/>
  </w:num>
  <w:num w:numId="4" w16cid:durableId="1182623504">
    <w:abstractNumId w:val="4"/>
  </w:num>
  <w:num w:numId="5" w16cid:durableId="1976982536">
    <w:abstractNumId w:val="7"/>
  </w:num>
  <w:num w:numId="6" w16cid:durableId="1746218757">
    <w:abstractNumId w:val="3"/>
  </w:num>
  <w:num w:numId="7" w16cid:durableId="918253282">
    <w:abstractNumId w:val="2"/>
  </w:num>
  <w:num w:numId="8" w16cid:durableId="804464377">
    <w:abstractNumId w:val="1"/>
  </w:num>
  <w:num w:numId="9" w16cid:durableId="1144465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27C6"/>
    <w:rsid w:val="0029639D"/>
    <w:rsid w:val="00326F90"/>
    <w:rsid w:val="00335073"/>
    <w:rsid w:val="0039429B"/>
    <w:rsid w:val="006C1B70"/>
    <w:rsid w:val="00827F38"/>
    <w:rsid w:val="00902EE3"/>
    <w:rsid w:val="009C5806"/>
    <w:rsid w:val="00AA1D8D"/>
    <w:rsid w:val="00B41077"/>
    <w:rsid w:val="00B47730"/>
    <w:rsid w:val="00CB0664"/>
    <w:rsid w:val="00D12908"/>
    <w:rsid w:val="00DB7920"/>
    <w:rsid w:val="00F526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96E04B"/>
  <w14:defaultImageDpi w14:val="300"/>
  <w15:docId w15:val="{0AE0E5F6-FBD9-461F-8907-2FDF2BC4E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eastAsia="Calibri"/>
      <w:color w:val="333333"/>
      <w:sz w:val="21"/>
    </w:rPr>
  </w:style>
  <w:style w:type="paragraph" w:styleId="Ttulo1">
    <w:name w:val="heading 1"/>
    <w:basedOn w:val="Normal"/>
    <w:next w:val="Normal"/>
    <w:link w:val="Ttulo1Car"/>
    <w:uiPriority w:val="9"/>
    <w:qFormat/>
    <w:rsid w:val="00FC693F"/>
    <w:pPr>
      <w:keepNext/>
      <w:keepLines/>
      <w:spacing w:before="200" w:after="100"/>
      <w:outlineLvl w:val="0"/>
    </w:pPr>
    <w:rPr>
      <w:rFonts w:asciiTheme="majorHAnsi" w:eastAsiaTheme="majorEastAsia" w:hAnsiTheme="majorHAnsi" w:cstheme="majorBidi" w:ascii="Calibri" w:hAnsi="Calibri"/>
      <w:b/>
      <w:bCs/>
      <w:color w:val="44546A"/>
      <w:sz w:val="30"/>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44546A"/>
      <w:sz w:val="25"/>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4F81BD"/>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Academic">
    <w:name w:val="Body Academic"/>
    <w:pPr>
      <w:spacing w:after="100" w:line="259" w:lineRule="auto"/>
      <w:jc w:val="both"/>
    </w:pPr>
    <w:rPr>
      <w:rFonts w:ascii="Calibri" w:hAnsi="Calibri" w:eastAsia="Calibri"/>
      <w:color w:val="232B35"/>
      <w:sz w:val="21"/>
    </w:rPr>
  </w:style>
  <w:style w:type="paragraph" w:customStyle="1" w:styleId="BodySmall">
    <w:name w:val="Body Small"/>
    <w:pPr>
      <w:spacing w:after="60" w:line="252" w:lineRule="auto"/>
    </w:pPr>
    <w:rPr>
      <w:rFonts w:ascii="Calibri" w:hAnsi="Calibri"/>
      <w:color w:val="46505A"/>
      <w:sz w:val="18"/>
    </w:rPr>
  </w:style>
  <w:style w:type="paragraph" w:customStyle="1" w:styleId="CaptionCustom">
    <w:name w:val="Caption Custom"/>
    <w:pPr>
      <w:spacing w:before="60" w:after="40"/>
    </w:pPr>
    <w:rPr>
      <w:rFonts w:ascii="Calibri" w:hAnsi="Calibri"/>
      <w:color w:val="374151"/>
      <w:sz w:val="18"/>
    </w:rPr>
  </w:style>
  <w:style w:type="paragraph" w:customStyle="1" w:styleId="SourceCustom">
    <w:name w:val="Source Custom"/>
    <w:pPr>
      <w:spacing w:after="160"/>
    </w:pPr>
    <w:rPr>
      <w:rFonts w:ascii="Calibri" w:hAnsi="Calibri"/>
      <w:i/>
      <w:color w:val="6B7280"/>
      <w:sz w:val="17"/>
    </w:rPr>
  </w:style>
  <w:style w:type="paragraph" w:customStyle="1" w:styleId="ReferenceCustom">
    <w:name w:val="Reference Custom"/>
    <w:pPr>
      <w:spacing w:after="60" w:line="240" w:lineRule="auto"/>
      <w:ind w:left="317" w:hanging="317"/>
    </w:pPr>
    <w:rPr>
      <w:rFonts w:ascii="Calibri" w:hAnsi="Calibri"/>
      <w:color w:val="2B3138"/>
      <w:sz w:val="17"/>
    </w:rPr>
  </w:style>
  <w:style w:type="paragraph" w:customStyle="1" w:styleId="CaptionAcademic">
    <w:name w:val="Caption Academic"/>
    <w:pPr>
      <w:spacing w:before="60" w:after="120"/>
    </w:pPr>
    <w:rPr>
      <w:rFonts w:ascii="Calibri" w:hAnsi="Calibri"/>
      <w:b/>
      <w:color w:val="44546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1100</Words>
  <Characters>6050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Anteproyecto - Plataforma móvil resiliente de continuidad personal</dc:title>
  <dc:subject>Trabajo de Grado - Ingeniería de Software</dc:subject>
  <dc:creator>Carlos Andrés Hernández Izquierdo</dc:creator>
  <cp:keywords>emergencias, desapariciones, resiliencia, geolocalización, privacidad, software</cp:keywords>
  <dc:description>generated by python-docx</dc:description>
  <cp:lastModifiedBy>Manuel Eberto Baez Mancera</cp:lastModifiedBy>
  <cp:revision>7</cp:revision>
  <dcterms:created xsi:type="dcterms:W3CDTF">2026-09-09T14:47:00Z</dcterms:created>
  <dcterms:modified xsi:type="dcterms:W3CDTF">2026-09-10T02:42:00Z</dcterms:modified>
  <cp:category/>
</cp:coreProperties>
</file>