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35E"/>
          <w:sz w:val="22"/>
        </w:rPr>
        <w:t>INSTITUCIÓN UNIVERSITARIA POLITÉCNICO GRANCOLOMBIANO</w:t>
      </w:r>
    </w:p>
    <w:p>
      <w:pPr>
        <w:jc w:val="center"/>
      </w:pPr>
      <w:r>
        <w:rPr>
          <w:b/>
          <w:sz w:val="20"/>
        </w:rPr>
        <w:t>FACULTAD DE INGENIERÍA, DISEÑO E INNOVACIÓN</w:t>
      </w:r>
    </w:p>
    <w:p>
      <w:pPr>
        <w:jc w:val="center"/>
      </w:pPr>
      <w:r>
        <w:rPr>
          <w:b/>
          <w:sz w:val="20"/>
        </w:rPr>
        <w:t>INGENIERÍA DE SOFTWARE</w:t>
      </w:r>
    </w:p>
    <w:p>
      <w:pPr>
        <w:jc w:val="center"/>
      </w:pPr>
      <w:r>
        <w:rPr>
          <w:b/>
          <w:sz w:val="20"/>
        </w:rPr>
        <w:t>GRUPO DE INVESTIGACIÓN E-TIC</w:t>
      </w:r>
    </w:p>
    <w:p/>
    <w:p>
      <w:pPr>
        <w:pStyle w:val="Title"/>
        <w:jc w:val="center"/>
      </w:pPr>
      <w:r>
        <w:t>DOCUMENTO TÉCNICO DEL MVP</w:t>
      </w:r>
    </w:p>
    <w:p>
      <w:pPr>
        <w:jc w:val="center"/>
      </w:pPr>
      <w:r>
        <w:rPr>
          <w:b/>
          <w:sz w:val="30"/>
        </w:rPr>
        <w:t>Plataforma móvil resiliente para verificación de bienestar, localización mínima y coordinación controlada de ayuda</w:t>
      </w:r>
    </w:p>
    <w:p/>
    <w:p>
      <w:pPr>
        <w:jc w:val="center"/>
      </w:pPr>
      <w:r>
        <w:rPr>
          <w:b/>
        </w:rPr>
        <w:t>Carlos Andrés Hernández Izquierdo</w:t>
      </w:r>
    </w:p>
    <w:p>
      <w:pPr>
        <w:jc w:val="center"/>
      </w:pPr>
      <w:r>
        <w:t>Octubre de 2026</w:t>
      </w:r>
    </w:p>
    <w:tbl>
      <w:tblPr>
        <w:tblStyle w:val="TableGrid"/>
        <w:tblW w:type="auto" w:w="0"/>
        <w:tblLook w:firstColumn="1" w:firstRow="1" w:lastColumn="0" w:lastRow="0" w:noHBand="0" w:noVBand="1" w:val="04A0"/>
      </w:tblPr>
      <w:tblGrid>
        <w:gridCol w:w="10166"/>
      </w:tblGrid>
      <w:tr>
        <w:tc>
          <w:tcPr>
            <w:tcW w:type="dxa" w:w="10166"/>
            <w:shd w:fill="EDF3F7"/>
            <w:vAlign w:val="center"/>
          </w:tcPr>
          <w:p>
            <w:r/>
            <w:r>
              <w:rPr>
                <w:b w:val="0"/>
                <w:color w:val="23435E"/>
                <w:sz w:val="19"/>
              </w:rPr>
              <w:t>Alcance del documento: describe lo que está implementado en el paquete MVP, cómo se ejecuta, qué interfaces externas consume o referencia y qué capacidades siguen siendo experimentales o futuras. No sustituye el anteproyecto académico incluido en /docs.</w:t>
            </w:r>
          </w:p>
        </w:tc>
      </w:tr>
    </w:tbl>
    <w:p>
      <w:r>
        <w:br w:type="page"/>
      </w:r>
    </w:p>
    <w:p>
      <w:r>
        <w:t>1. Alcance implementado</w:t>
      </w:r>
    </w:p>
    <w:p>
      <w:r>
        <w:t>2. Arquitectura técnica</w:t>
      </w:r>
    </w:p>
    <w:p>
      <w:r>
        <w:t>3. Requisitos funcionales y reglas de negocio</w:t>
      </w:r>
    </w:p>
    <w:p>
      <w:r>
        <w:t>4. Seguridad y privacidad</w:t>
      </w:r>
    </w:p>
    <w:p>
      <w:r>
        <w:t>5. Modelo de datos</w:t>
      </w:r>
    </w:p>
    <w:p>
      <w:r>
        <w:t>6. APIs y fuentes externas</w:t>
      </w:r>
    </w:p>
    <w:p>
      <w:r>
        <w:t>7. Aplicación móvil</w:t>
      </w:r>
    </w:p>
    <w:p>
      <w:r>
        <w:t>8. Base de datos y retención</w:t>
      </w:r>
    </w:p>
    <w:p>
      <w:r>
        <w:t>9. Escenarios de prueba</w:t>
      </w:r>
    </w:p>
    <w:p>
      <w:r>
        <w:t>10. Instalación y ejecución</w:t>
      </w:r>
    </w:p>
    <w:p>
      <w:r>
        <w:t>11. Evidencia de validación</w:t>
      </w:r>
    </w:p>
    <w:p>
      <w:r>
        <w:t>12. Límites y evolución</w:t>
      </w:r>
    </w:p>
    <w:p>
      <w:r>
        <w:br w:type="page"/>
      </w:r>
    </w:p>
    <w:p>
      <w:pPr>
        <w:pStyle w:val="Heading1"/>
      </w:pPr>
      <w:r>
        <w:t>1. Alcance implementado</w:t>
      </w:r>
    </w:p>
    <w:p>
      <w:r>
        <w:t>El paquete implementa un MVP funcional para laboratorio con backend FastAPI, persistencia PostgreSQL/PostGIS, aplicación móvil Flutter, simulador multiamenaza, Trusted Circle, Consent Policy, Emergency Location Vault, Welfare Check, quórum de confianza, modo de seguridad personal, auditoría y adaptadores oficiales. La separación entre caso ciudadano y referencia institucional evita presentar una solicitud dentro de la app como denuncia, MBU o registro SIRDEC.</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3435E"/>
          </w:tcPr>
          <w:p>
            <w:r/>
            <w:r>
              <w:rPr>
                <w:b/>
                <w:color w:val="FFFFFF"/>
                <w:sz w:val="17"/>
              </w:rPr>
              <w:t>Área</w:t>
            </w:r>
          </w:p>
        </w:tc>
        <w:tc>
          <w:tcPr>
            <w:tcW w:type="dxa" w:w="3389"/>
            <w:vAlign w:val="center"/>
            <w:shd w:fill="23435E"/>
          </w:tcPr>
          <w:p>
            <w:r/>
            <w:r>
              <w:rPr>
                <w:b/>
                <w:color w:val="FFFFFF"/>
                <w:sz w:val="17"/>
              </w:rPr>
              <w:t>Implementado</w:t>
            </w:r>
          </w:p>
        </w:tc>
        <w:tc>
          <w:tcPr>
            <w:tcW w:type="dxa" w:w="3389"/>
            <w:vAlign w:val="center"/>
            <w:shd w:fill="23435E"/>
          </w:tcPr>
          <w:p>
            <w:r/>
            <w:r>
              <w:rPr>
                <w:b/>
                <w:color w:val="FFFFFF"/>
                <w:sz w:val="17"/>
              </w:rPr>
              <w:t>Condición</w:t>
            </w:r>
          </w:p>
        </w:tc>
      </w:tr>
      <w:tr>
        <w:tc>
          <w:tcPr>
            <w:tcW w:type="dxa" w:w="3389"/>
            <w:vAlign w:val="center"/>
          </w:tcPr>
          <w:p>
            <w:r/>
            <w:r>
              <w:rPr>
                <w:b w:val="0"/>
                <w:sz w:val="17"/>
              </w:rPr>
              <w:t>Identidad</w:t>
            </w:r>
          </w:p>
        </w:tc>
        <w:tc>
          <w:tcPr>
            <w:tcW w:type="dxa" w:w="3389"/>
            <w:vAlign w:val="center"/>
          </w:tcPr>
          <w:p>
            <w:r/>
            <w:r>
              <w:rPr>
                <w:b w:val="0"/>
                <w:sz w:val="17"/>
              </w:rPr>
              <w:t>Registro, login, token firmado, Argon2</w:t>
            </w:r>
          </w:p>
        </w:tc>
        <w:tc>
          <w:tcPr>
            <w:tcW w:type="dxa" w:w="3389"/>
            <w:vAlign w:val="center"/>
          </w:tcPr>
          <w:p>
            <w:r/>
            <w:r>
              <w:rPr>
                <w:b w:val="0"/>
                <w:sz w:val="17"/>
              </w:rPr>
              <w:t>Demo/local</w:t>
            </w:r>
          </w:p>
        </w:tc>
      </w:tr>
      <w:tr>
        <w:tc>
          <w:tcPr>
            <w:tcW w:type="dxa" w:w="3389"/>
            <w:vAlign w:val="center"/>
          </w:tcPr>
          <w:p>
            <w:r/>
            <w:r>
              <w:rPr>
                <w:b w:val="0"/>
                <w:sz w:val="17"/>
              </w:rPr>
              <w:t>Trusted Circle</w:t>
            </w:r>
          </w:p>
        </w:tc>
        <w:tc>
          <w:tcPr>
            <w:tcW w:type="dxa" w:w="3389"/>
            <w:vAlign w:val="center"/>
          </w:tcPr>
          <w:p>
            <w:r/>
            <w:r>
              <w:rPr>
                <w:b w:val="0"/>
                <w:sz w:val="17"/>
              </w:rPr>
              <w:t>Invitación, aceptación, permisos</w:t>
            </w:r>
          </w:p>
        </w:tc>
        <w:tc>
          <w:tcPr>
            <w:tcW w:type="dxa" w:w="3389"/>
            <w:vAlign w:val="center"/>
          </w:tcPr>
          <w:p>
            <w:r/>
            <w:r>
              <w:rPr>
                <w:b w:val="0"/>
                <w:sz w:val="17"/>
              </w:rPr>
              <w:t>Funcional</w:t>
            </w:r>
          </w:p>
        </w:tc>
      </w:tr>
      <w:tr>
        <w:tc>
          <w:tcPr>
            <w:tcW w:type="dxa" w:w="3389"/>
            <w:vAlign w:val="center"/>
          </w:tcPr>
          <w:p>
            <w:r/>
            <w:r>
              <w:rPr>
                <w:b w:val="0"/>
                <w:sz w:val="17"/>
              </w:rPr>
              <w:t>Vault</w:t>
            </w:r>
          </w:p>
        </w:tc>
        <w:tc>
          <w:tcPr>
            <w:tcW w:type="dxa" w:w="3389"/>
            <w:vAlign w:val="center"/>
          </w:tcPr>
          <w:p>
            <w:r/>
            <w:r>
              <w:rPr>
                <w:b w:val="0"/>
                <w:sz w:val="17"/>
              </w:rPr>
              <w:t>Checkpoint cifrado, TTL móvil 24 h, incident hold</w:t>
            </w:r>
          </w:p>
        </w:tc>
        <w:tc>
          <w:tcPr>
            <w:tcW w:type="dxa" w:w="3389"/>
            <w:vAlign w:val="center"/>
          </w:tcPr>
          <w:p>
            <w:r/>
            <w:r>
              <w:rPr>
                <w:b w:val="0"/>
                <w:sz w:val="17"/>
              </w:rPr>
              <w:t>Funcional</w:t>
            </w:r>
          </w:p>
        </w:tc>
      </w:tr>
      <w:tr>
        <w:tc>
          <w:tcPr>
            <w:tcW w:type="dxa" w:w="3389"/>
            <w:vAlign w:val="center"/>
          </w:tcPr>
          <w:p>
            <w:r/>
            <w:r>
              <w:rPr>
                <w:b w:val="0"/>
                <w:sz w:val="17"/>
              </w:rPr>
              <w:t>Emergencias</w:t>
            </w:r>
          </w:p>
        </w:tc>
        <w:tc>
          <w:tcPr>
            <w:tcW w:type="dxa" w:w="3389"/>
            <w:vAlign w:val="center"/>
          </w:tcPr>
          <w:p>
            <w:r/>
            <w:r>
              <w:rPr>
                <w:b w:val="0"/>
                <w:sz w:val="17"/>
              </w:rPr>
              <w:t>Eventos TEST y correlación geográfica</w:t>
            </w:r>
          </w:p>
        </w:tc>
        <w:tc>
          <w:tcPr>
            <w:tcW w:type="dxa" w:w="3389"/>
            <w:vAlign w:val="center"/>
          </w:tcPr>
          <w:p>
            <w:r/>
            <w:r>
              <w:rPr>
                <w:b w:val="0"/>
                <w:sz w:val="17"/>
              </w:rPr>
              <w:t>Funcional</w:t>
            </w:r>
          </w:p>
        </w:tc>
      </w:tr>
      <w:tr>
        <w:tc>
          <w:tcPr>
            <w:tcW w:type="dxa" w:w="3389"/>
            <w:vAlign w:val="center"/>
          </w:tcPr>
          <w:p>
            <w:r/>
            <w:r>
              <w:rPr>
                <w:b w:val="0"/>
                <w:sz w:val="17"/>
              </w:rPr>
              <w:t>Sismo oficial</w:t>
            </w:r>
          </w:p>
        </w:tc>
        <w:tc>
          <w:tcPr>
            <w:tcW w:type="dxa" w:w="3389"/>
            <w:vAlign w:val="center"/>
          </w:tcPr>
          <w:p>
            <w:r/>
            <w:r>
              <w:rPr>
                <w:b w:val="0"/>
                <w:sz w:val="17"/>
              </w:rPr>
              <w:t>Adapter SGC ArcGIS configurable</w:t>
            </w:r>
          </w:p>
        </w:tc>
        <w:tc>
          <w:tcPr>
            <w:tcW w:type="dxa" w:w="3389"/>
            <w:vAlign w:val="center"/>
          </w:tcPr>
          <w:p>
            <w:r/>
            <w:r>
              <w:rPr>
                <w:b w:val="0"/>
                <w:sz w:val="17"/>
              </w:rPr>
              <w:t>Código listo; validar conectividad externa</w:t>
            </w:r>
          </w:p>
        </w:tc>
      </w:tr>
      <w:tr>
        <w:tc>
          <w:tcPr>
            <w:tcW w:type="dxa" w:w="3389"/>
            <w:vAlign w:val="center"/>
          </w:tcPr>
          <w:p>
            <w:r/>
            <w:r>
              <w:rPr>
                <w:b w:val="0"/>
                <w:sz w:val="17"/>
              </w:rPr>
              <w:t>Desapariciones</w:t>
            </w:r>
          </w:p>
        </w:tc>
        <w:tc>
          <w:tcPr>
            <w:tcW w:type="dxa" w:w="3389"/>
            <w:vAlign w:val="center"/>
          </w:tcPr>
          <w:p>
            <w:r/>
            <w:r>
              <w:rPr>
                <w:b w:val="0"/>
                <w:sz w:val="17"/>
              </w:rPr>
              <w:t>Solicitud de verificación + caso app + referencia institucional</w:t>
            </w:r>
          </w:p>
        </w:tc>
        <w:tc>
          <w:tcPr>
            <w:tcW w:type="dxa" w:w="3389"/>
            <w:vAlign w:val="center"/>
          </w:tcPr>
          <w:p>
            <w:r/>
            <w:r>
              <w:rPr>
                <w:b w:val="0"/>
                <w:sz w:val="17"/>
              </w:rPr>
              <w:t>Funcional, no denuncia oficial</w:t>
            </w:r>
          </w:p>
        </w:tc>
      </w:tr>
      <w:tr>
        <w:tc>
          <w:tcPr>
            <w:tcW w:type="dxa" w:w="3389"/>
            <w:vAlign w:val="center"/>
          </w:tcPr>
          <w:p>
            <w:r/>
            <w:r>
              <w:rPr>
                <w:b w:val="0"/>
                <w:sz w:val="17"/>
              </w:rPr>
              <w:t>SIRDEC</w:t>
            </w:r>
          </w:p>
        </w:tc>
        <w:tc>
          <w:tcPr>
            <w:tcW w:type="dxa" w:w="3389"/>
            <w:vAlign w:val="center"/>
          </w:tcPr>
          <w:p>
            <w:r/>
            <w:r>
              <w:rPr>
                <w:b w:val="0"/>
                <w:sz w:val="17"/>
              </w:rPr>
              <w:t>Datos Abiertos SODA + enlace SICLICO</w:t>
            </w:r>
          </w:p>
        </w:tc>
        <w:tc>
          <w:tcPr>
            <w:tcW w:type="dxa" w:w="3389"/>
            <w:vAlign w:val="center"/>
          </w:tcPr>
          <w:p>
            <w:r/>
            <w:r>
              <w:rPr>
                <w:b w:val="0"/>
                <w:sz w:val="17"/>
              </w:rPr>
              <w:t>Read-only; sin eludir CAPTCHA</w:t>
            </w:r>
          </w:p>
        </w:tc>
      </w:tr>
      <w:tr>
        <w:tc>
          <w:tcPr>
            <w:tcW w:type="dxa" w:w="3389"/>
            <w:vAlign w:val="center"/>
          </w:tcPr>
          <w:p>
            <w:r/>
            <w:r>
              <w:rPr>
                <w:b w:val="0"/>
                <w:sz w:val="17"/>
              </w:rPr>
              <w:t>Personal Safety</w:t>
            </w:r>
          </w:p>
        </w:tc>
        <w:tc>
          <w:tcPr>
            <w:tcW w:type="dxa" w:w="3389"/>
            <w:vAlign w:val="center"/>
          </w:tcPr>
          <w:p>
            <w:r/>
            <w:r>
              <w:rPr>
                <w:b w:val="0"/>
                <w:sz w:val="17"/>
              </w:rPr>
              <w:t>Activación por vulnerabilidad inmediata</w:t>
            </w:r>
          </w:p>
        </w:tc>
        <w:tc>
          <w:tcPr>
            <w:tcW w:type="dxa" w:w="3389"/>
            <w:vAlign w:val="center"/>
          </w:tcPr>
          <w:p>
            <w:r/>
            <w:r>
              <w:rPr>
                <w:b w:val="0"/>
                <w:sz w:val="17"/>
              </w:rPr>
              <w:t>Funcional</w:t>
            </w:r>
          </w:p>
        </w:tc>
      </w:tr>
      <w:tr>
        <w:tc>
          <w:tcPr>
            <w:tcW w:type="dxa" w:w="3389"/>
            <w:vAlign w:val="center"/>
          </w:tcPr>
          <w:p>
            <w:r/>
            <w:r>
              <w:rPr>
                <w:b w:val="0"/>
                <w:sz w:val="17"/>
              </w:rPr>
              <w:t>P2P/DTN</w:t>
            </w:r>
          </w:p>
        </w:tc>
        <w:tc>
          <w:tcPr>
            <w:tcW w:type="dxa" w:w="3389"/>
            <w:vAlign w:val="center"/>
          </w:tcPr>
          <w:p>
            <w:r/>
            <w:r>
              <w:rPr>
                <w:b w:val="0"/>
                <w:sz w:val="17"/>
              </w:rPr>
              <w:t>Arquitectura y diagramas</w:t>
            </w:r>
          </w:p>
        </w:tc>
        <w:tc>
          <w:tcPr>
            <w:tcW w:type="dxa" w:w="3389"/>
            <w:vAlign w:val="center"/>
          </w:tcPr>
          <w:p>
            <w:r/>
            <w:r>
              <w:rPr>
                <w:b w:val="0"/>
                <w:sz w:val="17"/>
              </w:rPr>
              <w:t>Experimental; no integrado al build móvil</w:t>
            </w:r>
          </w:p>
        </w:tc>
      </w:tr>
      <w:tr>
        <w:tc>
          <w:tcPr>
            <w:tcW w:type="dxa" w:w="3389"/>
            <w:vAlign w:val="center"/>
          </w:tcPr>
          <w:p>
            <w:r/>
            <w:r>
              <w:rPr>
                <w:b w:val="0"/>
                <w:sz w:val="17"/>
              </w:rPr>
              <w:t>HA/DR</w:t>
            </w:r>
          </w:p>
        </w:tc>
        <w:tc>
          <w:tcPr>
            <w:tcW w:type="dxa" w:w="3389"/>
            <w:vAlign w:val="center"/>
          </w:tcPr>
          <w:p>
            <w:r/>
            <w:r>
              <w:rPr>
                <w:b w:val="0"/>
                <w:sz w:val="17"/>
              </w:rPr>
              <w:t>Diseño y simulación</w:t>
            </w:r>
          </w:p>
        </w:tc>
        <w:tc>
          <w:tcPr>
            <w:tcW w:type="dxa" w:w="3389"/>
            <w:vAlign w:val="center"/>
          </w:tcPr>
          <w:p>
            <w:r/>
            <w:r>
              <w:rPr>
                <w:b w:val="0"/>
                <w:sz w:val="17"/>
              </w:rPr>
              <w:t>No despliegue multi-región real</w:t>
            </w:r>
          </w:p>
        </w:tc>
      </w:tr>
    </w:tbl>
    <w:p>
      <w:pPr>
        <w:jc w:val="center"/>
      </w:pPr>
      <w:r>
        <w:drawing>
          <wp:inline xmlns:a="http://schemas.openxmlformats.org/drawingml/2006/main" xmlns:pic="http://schemas.openxmlformats.org/drawingml/2006/picture">
            <wp:extent cx="5760720" cy="1459730"/>
            <wp:docPr id="1" name="Picture 1"/>
            <wp:cNvGraphicFramePr>
              <a:graphicFrameLocks noChangeAspect="1"/>
            </wp:cNvGraphicFramePr>
            <a:graphic>
              <a:graphicData uri="http://schemas.openxmlformats.org/drawingml/2006/picture">
                <pic:pic>
                  <pic:nvPicPr>
                    <pic:cNvPr id="0" name="20_mvp_local_implementado.png"/>
                    <pic:cNvPicPr/>
                  </pic:nvPicPr>
                  <pic:blipFill>
                    <a:blip r:embed="rId11"/>
                    <a:stretch>
                      <a:fillRect/>
                    </a:stretch>
                  </pic:blipFill>
                  <pic:spPr>
                    <a:xfrm>
                      <a:off x="0" y="0"/>
                      <a:ext cx="5760720" cy="1459730"/>
                    </a:xfrm>
                    <a:prstGeom prst="rect"/>
                  </pic:spPr>
                </pic:pic>
              </a:graphicData>
            </a:graphic>
          </wp:inline>
        </w:drawing>
      </w:r>
    </w:p>
    <w:p>
      <w:pPr>
        <w:jc w:val="center"/>
      </w:pPr>
      <w:r>
        <w:rPr>
          <w:i/>
          <w:color w:val="5A5A5A"/>
          <w:sz w:val="17"/>
        </w:rPr>
        <w:t>Figura 1. Arquitectura local realmente implementada en el MVP.</w:t>
      </w:r>
    </w:p>
    <w:p>
      <w:pPr>
        <w:pStyle w:val="Heading1"/>
      </w:pPr>
      <w:r>
        <w:t>2. Arquitectura técnica</w:t>
      </w:r>
    </w:p>
    <w:p>
      <w:r>
        <w:t>El backend se implementa como monolito modular. Para el MVP académico esta decisión reduce complejidad distribuida, mantiene una única API y permite aislar dominios mediante servicios y adapters. La arquitectura objetivo de alta disponibilidad se conserva en el anteproyecto, pero el paquete local utiliza una API y una base PostgreSQL/PostGIS.</w:t>
      </w:r>
    </w:p>
    <w:p>
      <w:pPr>
        <w:jc w:val="center"/>
      </w:pPr>
      <w:r>
        <w:drawing>
          <wp:inline xmlns:a="http://schemas.openxmlformats.org/drawingml/2006/main" xmlns:pic="http://schemas.openxmlformats.org/drawingml/2006/picture">
            <wp:extent cx="5943600" cy="3571980"/>
            <wp:docPr id="2" name="Picture 2"/>
            <wp:cNvGraphicFramePr>
              <a:graphicFrameLocks noChangeAspect="1"/>
            </wp:cNvGraphicFramePr>
            <a:graphic>
              <a:graphicData uri="http://schemas.openxmlformats.org/drawingml/2006/picture">
                <pic:pic>
                  <pic:nvPicPr>
                    <pic:cNvPr id="0" name="21_modulos_backend_implementados.png"/>
                    <pic:cNvPicPr/>
                  </pic:nvPicPr>
                  <pic:blipFill>
                    <a:blip r:embed="rId12"/>
                    <a:stretch>
                      <a:fillRect/>
                    </a:stretch>
                  </pic:blipFill>
                  <pic:spPr>
                    <a:xfrm>
                      <a:off x="0" y="0"/>
                      <a:ext cx="5943600" cy="3571980"/>
                    </a:xfrm>
                    <a:prstGeom prst="rect"/>
                  </pic:spPr>
                </pic:pic>
              </a:graphicData>
            </a:graphic>
          </wp:inline>
        </w:drawing>
      </w:r>
    </w:p>
    <w:p>
      <w:pPr>
        <w:jc w:val="center"/>
      </w:pPr>
      <w:r>
        <w:rPr>
          <w:i/>
          <w:color w:val="5A5A5A"/>
          <w:sz w:val="17"/>
        </w:rPr>
        <w:t>Figura 2. Módulos implementados en el backend FastAPI.</w:t>
      </w:r>
    </w:p>
    <w:p>
      <w:pPr>
        <w:jc w:val="center"/>
      </w:pPr>
      <w:r>
        <w:drawing>
          <wp:inline xmlns:a="http://schemas.openxmlformats.org/drawingml/2006/main" xmlns:pic="http://schemas.openxmlformats.org/drawingml/2006/picture">
            <wp:extent cx="5852160" cy="1710029"/>
            <wp:docPr id="3" name="Picture 3"/>
            <wp:cNvGraphicFramePr>
              <a:graphicFrameLocks noChangeAspect="1"/>
            </wp:cNvGraphicFramePr>
            <a:graphic>
              <a:graphicData uri="http://schemas.openxmlformats.org/drawingml/2006/picture">
                <pic:pic>
                  <pic:nvPicPr>
                    <pic:cNvPr id="0" name="08_arquitectura_logica.png"/>
                    <pic:cNvPicPr/>
                  </pic:nvPicPr>
                  <pic:blipFill>
                    <a:blip r:embed="rId13"/>
                    <a:stretch>
                      <a:fillRect/>
                    </a:stretch>
                  </pic:blipFill>
                  <pic:spPr>
                    <a:xfrm>
                      <a:off x="0" y="0"/>
                      <a:ext cx="5852160" cy="1710029"/>
                    </a:xfrm>
                    <a:prstGeom prst="rect"/>
                  </pic:spPr>
                </pic:pic>
              </a:graphicData>
            </a:graphic>
          </wp:inline>
        </w:drawing>
      </w:r>
    </w:p>
    <w:p>
      <w:pPr>
        <w:jc w:val="center"/>
      </w:pPr>
      <w:r>
        <w:rPr>
          <w:i/>
          <w:color w:val="5A5A5A"/>
          <w:sz w:val="17"/>
        </w:rPr>
        <w:t>Figura 3. Arquitectura lógica objetivo y separación de responsabilidades.</w:t>
      </w:r>
    </w:p>
    <w:p>
      <w:pPr>
        <w:pStyle w:val="Heading1"/>
      </w:pPr>
      <w:r>
        <w:t>3. Requisitos funcionales y reglas de negocio</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3435E"/>
          </w:tcPr>
          <w:p>
            <w:r/>
            <w:r>
              <w:rPr>
                <w:b/>
                <w:color w:val="FFFFFF"/>
                <w:sz w:val="17"/>
              </w:rPr>
              <w:t>ID</w:t>
            </w:r>
          </w:p>
        </w:tc>
        <w:tc>
          <w:tcPr>
            <w:tcW w:type="dxa" w:w="2541"/>
            <w:vAlign w:val="center"/>
            <w:shd w:fill="23435E"/>
          </w:tcPr>
          <w:p>
            <w:r/>
            <w:r>
              <w:rPr>
                <w:b/>
                <w:color w:val="FFFFFF"/>
                <w:sz w:val="17"/>
              </w:rPr>
              <w:t>Requisito</w:t>
            </w:r>
          </w:p>
        </w:tc>
        <w:tc>
          <w:tcPr>
            <w:tcW w:type="dxa" w:w="2541"/>
            <w:vAlign w:val="center"/>
            <w:shd w:fill="23435E"/>
          </w:tcPr>
          <w:p>
            <w:r/>
            <w:r>
              <w:rPr>
                <w:b/>
                <w:color w:val="FFFFFF"/>
                <w:sz w:val="17"/>
              </w:rPr>
              <w:t>Prioridad</w:t>
            </w:r>
          </w:p>
        </w:tc>
        <w:tc>
          <w:tcPr>
            <w:tcW w:type="dxa" w:w="2541"/>
            <w:vAlign w:val="center"/>
            <w:shd w:fill="23435E"/>
          </w:tcPr>
          <w:p>
            <w:r/>
            <w:r>
              <w:rPr>
                <w:b/>
                <w:color w:val="FFFFFF"/>
                <w:sz w:val="17"/>
              </w:rPr>
              <w:t>Implementación</w:t>
            </w:r>
          </w:p>
        </w:tc>
      </w:tr>
      <w:tr>
        <w:tc>
          <w:tcPr>
            <w:tcW w:type="dxa" w:w="2541"/>
            <w:vAlign w:val="center"/>
          </w:tcPr>
          <w:p>
            <w:r/>
            <w:r>
              <w:rPr>
                <w:b w:val="0"/>
                <w:sz w:val="17"/>
              </w:rPr>
              <w:t>RF-01</w:t>
            </w:r>
          </w:p>
        </w:tc>
        <w:tc>
          <w:tcPr>
            <w:tcW w:type="dxa" w:w="2541"/>
            <w:vAlign w:val="center"/>
          </w:tcPr>
          <w:p>
            <w:r/>
            <w:r>
              <w:rPr>
                <w:b w:val="0"/>
                <w:sz w:val="17"/>
              </w:rPr>
              <w:t>Autenticar usuarios y mantener sesión firmada</w:t>
            </w:r>
          </w:p>
        </w:tc>
        <w:tc>
          <w:tcPr>
            <w:tcW w:type="dxa" w:w="2541"/>
            <w:vAlign w:val="center"/>
          </w:tcPr>
          <w:p>
            <w:r/>
            <w:r>
              <w:rPr>
                <w:b w:val="0"/>
                <w:sz w:val="17"/>
              </w:rPr>
              <w:t>Must</w:t>
            </w:r>
          </w:p>
        </w:tc>
        <w:tc>
          <w:tcPr>
            <w:tcW w:type="dxa" w:w="2541"/>
            <w:vAlign w:val="center"/>
          </w:tcPr>
          <w:p>
            <w:r/>
            <w:r>
              <w:rPr>
                <w:b w:val="0"/>
                <w:sz w:val="17"/>
              </w:rPr>
              <w:t>/auth/register, /auth/login</w:t>
            </w:r>
          </w:p>
        </w:tc>
      </w:tr>
      <w:tr>
        <w:tc>
          <w:tcPr>
            <w:tcW w:type="dxa" w:w="2541"/>
            <w:vAlign w:val="center"/>
          </w:tcPr>
          <w:p>
            <w:r/>
            <w:r>
              <w:rPr>
                <w:b w:val="0"/>
                <w:sz w:val="17"/>
              </w:rPr>
              <w:t>RF-02</w:t>
            </w:r>
          </w:p>
        </w:tc>
        <w:tc>
          <w:tcPr>
            <w:tcW w:type="dxa" w:w="2541"/>
            <w:vAlign w:val="center"/>
          </w:tcPr>
          <w:p>
            <w:r/>
            <w:r>
              <w:rPr>
                <w:b w:val="0"/>
                <w:sz w:val="17"/>
              </w:rPr>
              <w:t>Gestionar Trusted Circle y aceptación</w:t>
            </w:r>
          </w:p>
        </w:tc>
        <w:tc>
          <w:tcPr>
            <w:tcW w:type="dxa" w:w="2541"/>
            <w:vAlign w:val="center"/>
          </w:tcPr>
          <w:p>
            <w:r/>
            <w:r>
              <w:rPr>
                <w:b w:val="0"/>
                <w:sz w:val="17"/>
              </w:rPr>
              <w:t>Must</w:t>
            </w:r>
          </w:p>
        </w:tc>
        <w:tc>
          <w:tcPr>
            <w:tcW w:type="dxa" w:w="2541"/>
            <w:vAlign w:val="center"/>
          </w:tcPr>
          <w:p>
            <w:r/>
            <w:r>
              <w:rPr>
                <w:b w:val="0"/>
                <w:sz w:val="17"/>
              </w:rPr>
              <w:t>/trusted-contacts</w:t>
            </w:r>
          </w:p>
        </w:tc>
      </w:tr>
      <w:tr>
        <w:tc>
          <w:tcPr>
            <w:tcW w:type="dxa" w:w="2541"/>
            <w:vAlign w:val="center"/>
          </w:tcPr>
          <w:p>
            <w:r/>
            <w:r>
              <w:rPr>
                <w:b w:val="0"/>
                <w:sz w:val="17"/>
              </w:rPr>
              <w:t>RF-03</w:t>
            </w:r>
          </w:p>
        </w:tc>
        <w:tc>
          <w:tcPr>
            <w:tcW w:type="dxa" w:w="2541"/>
            <w:vAlign w:val="center"/>
          </w:tcPr>
          <w:p>
            <w:r/>
            <w:r>
              <w:rPr>
                <w:b w:val="0"/>
                <w:sz w:val="17"/>
              </w:rPr>
              <w:t>Configurar política y quórum N-de-M</w:t>
            </w:r>
          </w:p>
        </w:tc>
        <w:tc>
          <w:tcPr>
            <w:tcW w:type="dxa" w:w="2541"/>
            <w:vAlign w:val="center"/>
          </w:tcPr>
          <w:p>
            <w:r/>
            <w:r>
              <w:rPr>
                <w:b w:val="0"/>
                <w:sz w:val="17"/>
              </w:rPr>
              <w:t>Must</w:t>
            </w:r>
          </w:p>
        </w:tc>
        <w:tc>
          <w:tcPr>
            <w:tcW w:type="dxa" w:w="2541"/>
            <w:vAlign w:val="center"/>
          </w:tcPr>
          <w:p>
            <w:r/>
            <w:r>
              <w:rPr>
                <w:b w:val="0"/>
                <w:sz w:val="17"/>
              </w:rPr>
              <w:t>/policies</w:t>
            </w:r>
          </w:p>
        </w:tc>
      </w:tr>
      <w:tr>
        <w:tc>
          <w:tcPr>
            <w:tcW w:type="dxa" w:w="2541"/>
            <w:vAlign w:val="center"/>
          </w:tcPr>
          <w:p>
            <w:r/>
            <w:r>
              <w:rPr>
                <w:b w:val="0"/>
                <w:sz w:val="17"/>
              </w:rPr>
              <w:t>RF-04</w:t>
            </w:r>
          </w:p>
        </w:tc>
        <w:tc>
          <w:tcPr>
            <w:tcW w:type="dxa" w:w="2541"/>
            <w:vAlign w:val="center"/>
          </w:tcPr>
          <w:p>
            <w:r/>
            <w:r>
              <w:rPr>
                <w:b w:val="0"/>
                <w:sz w:val="17"/>
              </w:rPr>
              <w:t>Registrar checkpoint cifrado y temporal</w:t>
            </w:r>
          </w:p>
        </w:tc>
        <w:tc>
          <w:tcPr>
            <w:tcW w:type="dxa" w:w="2541"/>
            <w:vAlign w:val="center"/>
          </w:tcPr>
          <w:p>
            <w:r/>
            <w:r>
              <w:rPr>
                <w:b w:val="0"/>
                <w:sz w:val="17"/>
              </w:rPr>
              <w:t>Must</w:t>
            </w:r>
          </w:p>
        </w:tc>
        <w:tc>
          <w:tcPr>
            <w:tcW w:type="dxa" w:w="2541"/>
            <w:vAlign w:val="center"/>
          </w:tcPr>
          <w:p>
            <w:r/>
            <w:r>
              <w:rPr>
                <w:b w:val="0"/>
                <w:sz w:val="17"/>
              </w:rPr>
              <w:t>/checkpoints</w:t>
            </w:r>
          </w:p>
        </w:tc>
      </w:tr>
      <w:tr>
        <w:tc>
          <w:tcPr>
            <w:tcW w:type="dxa" w:w="2541"/>
            <w:vAlign w:val="center"/>
          </w:tcPr>
          <w:p>
            <w:r/>
            <w:r>
              <w:rPr>
                <w:b w:val="0"/>
                <w:sz w:val="17"/>
              </w:rPr>
              <w:t>RF-05</w:t>
            </w:r>
          </w:p>
        </w:tc>
        <w:tc>
          <w:tcPr>
            <w:tcW w:type="dxa" w:w="2541"/>
            <w:vAlign w:val="center"/>
          </w:tcPr>
          <w:p>
            <w:r/>
            <w:r>
              <w:rPr>
                <w:b w:val="0"/>
                <w:sz w:val="17"/>
              </w:rPr>
              <w:t>Generar Safety Check por evento relevante</w:t>
            </w:r>
          </w:p>
        </w:tc>
        <w:tc>
          <w:tcPr>
            <w:tcW w:type="dxa" w:w="2541"/>
            <w:vAlign w:val="center"/>
          </w:tcPr>
          <w:p>
            <w:r/>
            <w:r>
              <w:rPr>
                <w:b w:val="0"/>
                <w:sz w:val="17"/>
              </w:rPr>
              <w:t>Must</w:t>
            </w:r>
          </w:p>
        </w:tc>
        <w:tc>
          <w:tcPr>
            <w:tcW w:type="dxa" w:w="2541"/>
            <w:vAlign w:val="center"/>
          </w:tcPr>
          <w:p>
            <w:r/>
            <w:r>
              <w:rPr>
                <w:b w:val="0"/>
                <w:sz w:val="17"/>
              </w:rPr>
              <w:t>/test/emergency-events, /events/sync/sgc</w:t>
            </w:r>
          </w:p>
        </w:tc>
      </w:tr>
      <w:tr>
        <w:tc>
          <w:tcPr>
            <w:tcW w:type="dxa" w:w="2541"/>
            <w:vAlign w:val="center"/>
          </w:tcPr>
          <w:p>
            <w:r/>
            <w:r>
              <w:rPr>
                <w:b w:val="0"/>
                <w:sz w:val="17"/>
              </w:rPr>
              <w:t>RF-06</w:t>
            </w:r>
          </w:p>
        </w:tc>
        <w:tc>
          <w:tcPr>
            <w:tcW w:type="dxa" w:w="2541"/>
            <w:vAlign w:val="center"/>
          </w:tcPr>
          <w:p>
            <w:r/>
            <w:r>
              <w:rPr>
                <w:b w:val="0"/>
                <w:sz w:val="17"/>
              </w:rPr>
              <w:t>Responder SAFE/HELP_REQUIRED/UNABLE_TO_EXIT</w:t>
            </w:r>
          </w:p>
        </w:tc>
        <w:tc>
          <w:tcPr>
            <w:tcW w:type="dxa" w:w="2541"/>
            <w:vAlign w:val="center"/>
          </w:tcPr>
          <w:p>
            <w:r/>
            <w:r>
              <w:rPr>
                <w:b w:val="0"/>
                <w:sz w:val="17"/>
              </w:rPr>
              <w:t>Must</w:t>
            </w:r>
          </w:p>
        </w:tc>
        <w:tc>
          <w:tcPr>
            <w:tcW w:type="dxa" w:w="2541"/>
            <w:vAlign w:val="center"/>
          </w:tcPr>
          <w:p>
            <w:r/>
            <w:r>
              <w:rPr>
                <w:b w:val="0"/>
                <w:sz w:val="17"/>
              </w:rPr>
              <w:t>/safety/respond</w:t>
            </w:r>
          </w:p>
        </w:tc>
      </w:tr>
      <w:tr>
        <w:tc>
          <w:tcPr>
            <w:tcW w:type="dxa" w:w="2541"/>
            <w:vAlign w:val="center"/>
          </w:tcPr>
          <w:p>
            <w:r/>
            <w:r>
              <w:rPr>
                <w:b w:val="0"/>
                <w:sz w:val="17"/>
              </w:rPr>
              <w:t>RF-07</w:t>
            </w:r>
          </w:p>
        </w:tc>
        <w:tc>
          <w:tcPr>
            <w:tcW w:type="dxa" w:w="2541"/>
            <w:vAlign w:val="center"/>
          </w:tcPr>
          <w:p>
            <w:r/>
            <w:r>
              <w:rPr>
                <w:b w:val="0"/>
                <w:sz w:val="17"/>
              </w:rPr>
              <w:t>Solicitar Welfare Check por contacto autorizado</w:t>
            </w:r>
          </w:p>
        </w:tc>
        <w:tc>
          <w:tcPr>
            <w:tcW w:type="dxa" w:w="2541"/>
            <w:vAlign w:val="center"/>
          </w:tcPr>
          <w:p>
            <w:r/>
            <w:r>
              <w:rPr>
                <w:b w:val="0"/>
                <w:sz w:val="17"/>
              </w:rPr>
              <w:t>Must</w:t>
            </w:r>
          </w:p>
        </w:tc>
        <w:tc>
          <w:tcPr>
            <w:tcW w:type="dxa" w:w="2541"/>
            <w:vAlign w:val="center"/>
          </w:tcPr>
          <w:p>
            <w:r/>
            <w:r>
              <w:rPr>
                <w:b w:val="0"/>
                <w:sz w:val="17"/>
              </w:rPr>
              <w:t>/welfare-checks</w:t>
            </w:r>
          </w:p>
        </w:tc>
      </w:tr>
      <w:tr>
        <w:tc>
          <w:tcPr>
            <w:tcW w:type="dxa" w:w="2541"/>
            <w:vAlign w:val="center"/>
          </w:tcPr>
          <w:p>
            <w:r/>
            <w:r>
              <w:rPr>
                <w:b w:val="0"/>
                <w:sz w:val="17"/>
              </w:rPr>
              <w:t>RF-08</w:t>
            </w:r>
          </w:p>
        </w:tc>
        <w:tc>
          <w:tcPr>
            <w:tcW w:type="dxa" w:w="2541"/>
            <w:vAlign w:val="center"/>
          </w:tcPr>
          <w:p>
            <w:r/>
            <w:r>
              <w:rPr>
                <w:b w:val="0"/>
                <w:sz w:val="17"/>
              </w:rPr>
              <w:t>Confirmar preocupación por quórum</w:t>
            </w:r>
          </w:p>
        </w:tc>
        <w:tc>
          <w:tcPr>
            <w:tcW w:type="dxa" w:w="2541"/>
            <w:vAlign w:val="center"/>
          </w:tcPr>
          <w:p>
            <w:r/>
            <w:r>
              <w:rPr>
                <w:b w:val="0"/>
                <w:sz w:val="17"/>
              </w:rPr>
              <w:t>Must</w:t>
            </w:r>
          </w:p>
        </w:tc>
        <w:tc>
          <w:tcPr>
            <w:tcW w:type="dxa" w:w="2541"/>
            <w:vAlign w:val="center"/>
          </w:tcPr>
          <w:p>
            <w:r/>
            <w:r>
              <w:rPr>
                <w:b w:val="0"/>
                <w:sz w:val="17"/>
              </w:rPr>
              <w:t>/welfare-checks/{id}/quorum</w:t>
            </w:r>
          </w:p>
        </w:tc>
      </w:tr>
      <w:tr>
        <w:tc>
          <w:tcPr>
            <w:tcW w:type="dxa" w:w="2541"/>
            <w:vAlign w:val="center"/>
          </w:tcPr>
          <w:p>
            <w:r/>
            <w:r>
              <w:rPr>
                <w:b w:val="0"/>
                <w:sz w:val="17"/>
              </w:rPr>
              <w:t>RF-09</w:t>
            </w:r>
          </w:p>
        </w:tc>
        <w:tc>
          <w:tcPr>
            <w:tcW w:type="dxa" w:w="2541"/>
            <w:vAlign w:val="center"/>
          </w:tcPr>
          <w:p>
            <w:r/>
            <w:r>
              <w:rPr>
                <w:b w:val="0"/>
                <w:sz w:val="17"/>
              </w:rPr>
              <w:t>Gestionar caso ciudadano sin equipararlo a denuncia</w:t>
            </w:r>
          </w:p>
        </w:tc>
        <w:tc>
          <w:tcPr>
            <w:tcW w:type="dxa" w:w="2541"/>
            <w:vAlign w:val="center"/>
          </w:tcPr>
          <w:p>
            <w:r/>
            <w:r>
              <w:rPr>
                <w:b w:val="0"/>
                <w:sz w:val="17"/>
              </w:rPr>
              <w:t>Must</w:t>
            </w:r>
          </w:p>
        </w:tc>
        <w:tc>
          <w:tcPr>
            <w:tcW w:type="dxa" w:w="2541"/>
            <w:vAlign w:val="center"/>
          </w:tcPr>
          <w:p>
            <w:r/>
            <w:r>
              <w:rPr>
                <w:b w:val="0"/>
                <w:sz w:val="17"/>
              </w:rPr>
              <w:t>/cases</w:t>
            </w:r>
          </w:p>
        </w:tc>
      </w:tr>
      <w:tr>
        <w:tc>
          <w:tcPr>
            <w:tcW w:type="dxa" w:w="2541"/>
            <w:vAlign w:val="center"/>
          </w:tcPr>
          <w:p>
            <w:r/>
            <w:r>
              <w:rPr>
                <w:b w:val="0"/>
                <w:sz w:val="17"/>
              </w:rPr>
              <w:t>RF-10</w:t>
            </w:r>
          </w:p>
        </w:tc>
        <w:tc>
          <w:tcPr>
            <w:tcW w:type="dxa" w:w="2541"/>
            <w:vAlign w:val="center"/>
          </w:tcPr>
          <w:p>
            <w:r/>
            <w:r>
              <w:rPr>
                <w:b w:val="0"/>
                <w:sz w:val="17"/>
              </w:rPr>
              <w:t>Asociar referencia institucional</w:t>
            </w:r>
          </w:p>
        </w:tc>
        <w:tc>
          <w:tcPr>
            <w:tcW w:type="dxa" w:w="2541"/>
            <w:vAlign w:val="center"/>
          </w:tcPr>
          <w:p>
            <w:r/>
            <w:r>
              <w:rPr>
                <w:b w:val="0"/>
                <w:sz w:val="17"/>
              </w:rPr>
              <w:t>Should</w:t>
            </w:r>
          </w:p>
        </w:tc>
        <w:tc>
          <w:tcPr>
            <w:tcW w:type="dxa" w:w="2541"/>
            <w:vAlign w:val="center"/>
          </w:tcPr>
          <w:p>
            <w:r/>
            <w:r>
              <w:rPr>
                <w:b w:val="0"/>
                <w:sz w:val="17"/>
              </w:rPr>
              <w:t>/cases/{id}/institutional-reference</w:t>
            </w:r>
          </w:p>
        </w:tc>
      </w:tr>
      <w:tr>
        <w:tc>
          <w:tcPr>
            <w:tcW w:type="dxa" w:w="2541"/>
            <w:vAlign w:val="center"/>
          </w:tcPr>
          <w:p>
            <w:r/>
            <w:r>
              <w:rPr>
                <w:b w:val="0"/>
                <w:sz w:val="17"/>
              </w:rPr>
              <w:t>RF-11</w:t>
            </w:r>
          </w:p>
        </w:tc>
        <w:tc>
          <w:tcPr>
            <w:tcW w:type="dxa" w:w="2541"/>
            <w:vAlign w:val="center"/>
          </w:tcPr>
          <w:p>
            <w:r/>
            <w:r>
              <w:rPr>
                <w:b w:val="0"/>
                <w:sz w:val="17"/>
              </w:rPr>
              <w:t>Activar Personal Safety Mode</w:t>
            </w:r>
          </w:p>
        </w:tc>
        <w:tc>
          <w:tcPr>
            <w:tcW w:type="dxa" w:w="2541"/>
            <w:vAlign w:val="center"/>
          </w:tcPr>
          <w:p>
            <w:r/>
            <w:r>
              <w:rPr>
                <w:b w:val="0"/>
                <w:sz w:val="17"/>
              </w:rPr>
              <w:t>Must</w:t>
            </w:r>
          </w:p>
        </w:tc>
        <w:tc>
          <w:tcPr>
            <w:tcW w:type="dxa" w:w="2541"/>
            <w:vAlign w:val="center"/>
          </w:tcPr>
          <w:p>
            <w:r/>
            <w:r>
              <w:rPr>
                <w:b w:val="0"/>
                <w:sz w:val="17"/>
              </w:rPr>
              <w:t>/personal-safety/start</w:t>
            </w:r>
          </w:p>
        </w:tc>
      </w:tr>
      <w:tr>
        <w:tc>
          <w:tcPr>
            <w:tcW w:type="dxa" w:w="2541"/>
            <w:vAlign w:val="center"/>
          </w:tcPr>
          <w:p>
            <w:r/>
            <w:r>
              <w:rPr>
                <w:b w:val="0"/>
                <w:sz w:val="17"/>
              </w:rPr>
              <w:t>RF-12</w:t>
            </w:r>
          </w:p>
        </w:tc>
        <w:tc>
          <w:tcPr>
            <w:tcW w:type="dxa" w:w="2541"/>
            <w:vAlign w:val="center"/>
          </w:tcPr>
          <w:p>
            <w:r/>
            <w:r>
              <w:rPr>
                <w:b w:val="0"/>
                <w:sz w:val="17"/>
              </w:rPr>
              <w:t>Consultar SIRDEC Open Data y portal oficial</w:t>
            </w:r>
          </w:p>
        </w:tc>
        <w:tc>
          <w:tcPr>
            <w:tcW w:type="dxa" w:w="2541"/>
            <w:vAlign w:val="center"/>
          </w:tcPr>
          <w:p>
            <w:r/>
            <w:r>
              <w:rPr>
                <w:b w:val="0"/>
                <w:sz w:val="17"/>
              </w:rPr>
              <w:t>Should</w:t>
            </w:r>
          </w:p>
        </w:tc>
        <w:tc>
          <w:tcPr>
            <w:tcW w:type="dxa" w:w="2541"/>
            <w:vAlign w:val="center"/>
          </w:tcPr>
          <w:p>
            <w:r/>
            <w:r>
              <w:rPr>
                <w:b w:val="0"/>
                <w:sz w:val="17"/>
              </w:rPr>
              <w:t>/official/sirdec/*</w:t>
            </w:r>
          </w:p>
        </w:tc>
      </w:tr>
      <w:tr>
        <w:tc>
          <w:tcPr>
            <w:tcW w:type="dxa" w:w="2541"/>
            <w:vAlign w:val="center"/>
          </w:tcPr>
          <w:p>
            <w:r/>
            <w:r>
              <w:rPr>
                <w:b w:val="0"/>
                <w:sz w:val="17"/>
              </w:rPr>
              <w:t>RF-13</w:t>
            </w:r>
          </w:p>
        </w:tc>
        <w:tc>
          <w:tcPr>
            <w:tcW w:type="dxa" w:w="2541"/>
            <w:vAlign w:val="center"/>
          </w:tcPr>
          <w:p>
            <w:r/>
            <w:r>
              <w:rPr>
                <w:b w:val="0"/>
                <w:sz w:val="17"/>
              </w:rPr>
              <w:t>Simular sismo/deslizamiento/inundación/incendio</w:t>
            </w:r>
          </w:p>
        </w:tc>
        <w:tc>
          <w:tcPr>
            <w:tcW w:type="dxa" w:w="2541"/>
            <w:vAlign w:val="center"/>
          </w:tcPr>
          <w:p>
            <w:r/>
            <w:r>
              <w:rPr>
                <w:b w:val="0"/>
                <w:sz w:val="17"/>
              </w:rPr>
              <w:t>Must</w:t>
            </w:r>
          </w:p>
        </w:tc>
        <w:tc>
          <w:tcPr>
            <w:tcW w:type="dxa" w:w="2541"/>
            <w:vAlign w:val="center"/>
          </w:tcPr>
          <w:p>
            <w:r/>
            <w:r>
              <w:rPr>
                <w:b w:val="0"/>
                <w:sz w:val="17"/>
              </w:rPr>
              <w:t>/test/emergency-events</w:t>
            </w:r>
          </w:p>
        </w:tc>
      </w:tr>
      <w:tr>
        <w:tc>
          <w:tcPr>
            <w:tcW w:type="dxa" w:w="2541"/>
            <w:vAlign w:val="center"/>
          </w:tcPr>
          <w:p>
            <w:r/>
            <w:r>
              <w:rPr>
                <w:b w:val="0"/>
                <w:sz w:val="17"/>
              </w:rPr>
              <w:t>RF-14</w:t>
            </w:r>
          </w:p>
        </w:tc>
        <w:tc>
          <w:tcPr>
            <w:tcW w:type="dxa" w:w="2541"/>
            <w:vAlign w:val="center"/>
          </w:tcPr>
          <w:p>
            <w:r/>
            <w:r>
              <w:rPr>
                <w:b w:val="0"/>
                <w:sz w:val="17"/>
              </w:rPr>
              <w:t>Auditar acciones sensibles</w:t>
            </w:r>
          </w:p>
        </w:tc>
        <w:tc>
          <w:tcPr>
            <w:tcW w:type="dxa" w:w="2541"/>
            <w:vAlign w:val="center"/>
          </w:tcPr>
          <w:p>
            <w:r/>
            <w:r>
              <w:rPr>
                <w:b w:val="0"/>
                <w:sz w:val="17"/>
              </w:rPr>
              <w:t>Must</w:t>
            </w:r>
          </w:p>
        </w:tc>
        <w:tc>
          <w:tcPr>
            <w:tcW w:type="dxa" w:w="2541"/>
            <w:vAlign w:val="center"/>
          </w:tcPr>
          <w:p>
            <w:r/>
            <w:r>
              <w:rPr>
                <w:b w:val="0"/>
                <w:sz w:val="17"/>
              </w:rPr>
              <w:t>audit_logs</w:t>
            </w:r>
          </w:p>
        </w:tc>
      </w:tr>
    </w:tbl>
    <w:p>
      <w:pPr>
        <w:pStyle w:val="Heading2"/>
      </w:pPr>
      <w:r>
        <w:t>3.1 Reglas de negocio críticas</w:t>
      </w:r>
    </w:p>
    <w:p>
      <w:pPr>
        <w:pStyle w:val="ListBullet"/>
      </w:pPr>
      <w:r>
        <w:t>RN-01. NO_RESPONSE significa únicamente ausencia de confirmación; nunca crea automáticamente MISSING, KIDNAPPED, DEAD o AGGRESSION.</w:t>
      </w:r>
    </w:p>
    <w:p>
      <w:pPr>
        <w:pStyle w:val="ListBullet"/>
      </w:pPr>
      <w:r>
        <w:t>RN-02. Un evento de prueba siempre se marca is_test=true y no debe mezclarse con una alerta oficial.</w:t>
      </w:r>
    </w:p>
    <w:p>
      <w:pPr>
        <w:pStyle w:val="ListBullet"/>
      </w:pPr>
      <w:r>
        <w:t>RN-03. Para sismos se aplica magnitud mínima configurable y distancia/radio de afectación. El valor del MVP es parámetro, no umbral científico definitivo.</w:t>
      </w:r>
    </w:p>
    <w:p>
      <w:pPr>
        <w:pStyle w:val="ListBullet"/>
      </w:pPr>
      <w:r>
        <w:t>RN-04. Una solicitud familiar no libera ubicación por sí sola: debe existir relación autorizada y, cuando la política lo requiera, quórum N-de-M.</w:t>
      </w:r>
    </w:p>
    <w:p>
      <w:pPr>
        <w:pStyle w:val="ListBullet"/>
      </w:pPr>
      <w:r>
        <w:t>RN-05. Cada checkpoint expira de forma individual; no existe borrado masivo diario.</w:t>
      </w:r>
    </w:p>
    <w:p>
      <w:pPr>
        <w:pStyle w:val="ListBullet"/>
      </w:pPr>
      <w:r>
        <w:t>RN-06. Un incident_hold es temporal, auditable y no equivale a conservación indefinida.</w:t>
      </w:r>
    </w:p>
    <w:p>
      <w:pPr>
        <w:pStyle w:val="ListBullet"/>
      </w:pPr>
      <w:r>
        <w:t>RN-07. Un caso creado en la app no equivale a denuncia, MBU, Alerta Rosa ni registro SIRDEC.</w:t>
      </w:r>
    </w:p>
    <w:p>
      <w:pPr>
        <w:pStyle w:val="ListBullet"/>
      </w:pPr>
      <w:r>
        <w:t>RN-08. Personal Safety Mode expresa vulnerabilidad percibida; no acusa ni clasifica automáticamente a un tercero.</w:t>
      </w:r>
    </w:p>
    <w:p>
      <w:pPr>
        <w:jc w:val="center"/>
      </w:pPr>
      <w:r>
        <w:drawing>
          <wp:inline xmlns:a="http://schemas.openxmlformats.org/drawingml/2006/main" xmlns:pic="http://schemas.openxmlformats.org/drawingml/2006/picture">
            <wp:extent cx="5669280" cy="930833"/>
            <wp:docPr id="4" name="Picture 4"/>
            <wp:cNvGraphicFramePr>
              <a:graphicFrameLocks noChangeAspect="1"/>
            </wp:cNvGraphicFramePr>
            <a:graphic>
              <a:graphicData uri="http://schemas.openxmlformats.org/drawingml/2006/picture">
                <pic:pic>
                  <pic:nvPicPr>
                    <pic:cNvPr id="0" name="03_maquina_estados.png"/>
                    <pic:cNvPicPr/>
                  </pic:nvPicPr>
                  <pic:blipFill>
                    <a:blip r:embed="rId14"/>
                    <a:stretch>
                      <a:fillRect/>
                    </a:stretch>
                  </pic:blipFill>
                  <pic:spPr>
                    <a:xfrm>
                      <a:off x="0" y="0"/>
                      <a:ext cx="5669280" cy="930833"/>
                    </a:xfrm>
                    <a:prstGeom prst="rect"/>
                  </pic:spPr>
                </pic:pic>
              </a:graphicData>
            </a:graphic>
          </wp:inline>
        </w:drawing>
      </w:r>
    </w:p>
    <w:p>
      <w:pPr>
        <w:jc w:val="center"/>
      </w:pPr>
      <w:r>
        <w:rPr>
          <w:i/>
          <w:color w:val="5A5A5A"/>
          <w:sz w:val="17"/>
        </w:rPr>
        <w:t>Figura 4. Máquina de estados: separación entre silencio, ayuda, localización y referencia institucional.</w:t>
      </w:r>
    </w:p>
    <w:p>
      <w:pPr>
        <w:jc w:val="center"/>
      </w:pPr>
      <w:r>
        <w:drawing>
          <wp:inline xmlns:a="http://schemas.openxmlformats.org/drawingml/2006/main" xmlns:pic="http://schemas.openxmlformats.org/drawingml/2006/picture">
            <wp:extent cx="5669280" cy="7268513"/>
            <wp:docPr id="5" name="Picture 5"/>
            <wp:cNvGraphicFramePr>
              <a:graphicFrameLocks noChangeAspect="1"/>
            </wp:cNvGraphicFramePr>
            <a:graphic>
              <a:graphicData uri="http://schemas.openxmlformats.org/drawingml/2006/picture">
                <pic:pic>
                  <pic:nvPicPr>
                    <pic:cNvPr id="0" name="04_trusted_quorum.png"/>
                    <pic:cNvPicPr/>
                  </pic:nvPicPr>
                  <pic:blipFill>
                    <a:blip r:embed="rId15"/>
                    <a:stretch>
                      <a:fillRect/>
                    </a:stretch>
                  </pic:blipFill>
                  <pic:spPr>
                    <a:xfrm>
                      <a:off x="0" y="0"/>
                      <a:ext cx="5669280" cy="7268513"/>
                    </a:xfrm>
                    <a:prstGeom prst="rect"/>
                  </pic:spPr>
                </pic:pic>
              </a:graphicData>
            </a:graphic>
          </wp:inline>
        </w:drawing>
      </w:r>
    </w:p>
    <w:p>
      <w:pPr>
        <w:jc w:val="center"/>
      </w:pPr>
      <w:r>
        <w:rPr>
          <w:i/>
          <w:color w:val="5A5A5A"/>
          <w:sz w:val="17"/>
        </w:rPr>
        <w:t>Figura 5. Quórum de confianza N-de-M para escalamiento familiar.</w:t>
      </w:r>
    </w:p>
    <w:p>
      <w:pPr>
        <w:pStyle w:val="Heading1"/>
      </w:pPr>
      <w:r>
        <w:t>4. Seguridad y privacidad</w:t>
      </w:r>
    </w:p>
    <w:p>
      <w:r>
        <w:t>La ubicación exacta se cifra antes de persistirse en el campo encrypted_location. El backend académico usa Fernet con clave independiente en variable de entorno. Las contraseñas utilizan Argon2. Las acciones sensibles generan audit log. El acceso a checkpoints de otro usuario requiere una relación de confianza aceptada y permiso explícito.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3435E"/>
          </w:tcPr>
          <w:p>
            <w:r/>
            <w:r>
              <w:rPr>
                <w:b/>
                <w:color w:val="FFFFFF"/>
                <w:sz w:val="17"/>
              </w:rPr>
              <w:t>Control</w:t>
            </w:r>
          </w:p>
        </w:tc>
        <w:tc>
          <w:tcPr>
            <w:tcW w:type="dxa" w:w="3389"/>
            <w:vAlign w:val="center"/>
            <w:shd w:fill="23435E"/>
          </w:tcPr>
          <w:p>
            <w:r/>
            <w:r>
              <w:rPr>
                <w:b/>
                <w:color w:val="FFFFFF"/>
                <w:sz w:val="17"/>
              </w:rPr>
              <w:t>Estado MVP</w:t>
            </w:r>
          </w:p>
        </w:tc>
        <w:tc>
          <w:tcPr>
            <w:tcW w:type="dxa" w:w="3389"/>
            <w:vAlign w:val="center"/>
            <w:shd w:fill="23435E"/>
          </w:tcPr>
          <w:p>
            <w:r/>
            <w:r>
              <w:rPr>
                <w:b/>
                <w:color w:val="FFFFFF"/>
                <w:sz w:val="17"/>
              </w:rPr>
              <w:t>Observación</w:t>
            </w:r>
          </w:p>
        </w:tc>
      </w:tr>
      <w:tr>
        <w:tc>
          <w:tcPr>
            <w:tcW w:type="dxa" w:w="3389"/>
            <w:vAlign w:val="center"/>
          </w:tcPr>
          <w:p>
            <w:r/>
            <w:r>
              <w:rPr>
                <w:b w:val="0"/>
                <w:sz w:val="17"/>
              </w:rPr>
              <w:t>Hash de contraseña</w:t>
            </w:r>
          </w:p>
        </w:tc>
        <w:tc>
          <w:tcPr>
            <w:tcW w:type="dxa" w:w="3389"/>
            <w:vAlign w:val="center"/>
          </w:tcPr>
          <w:p>
            <w:r/>
            <w:r>
              <w:rPr>
                <w:b w:val="0"/>
                <w:sz w:val="17"/>
              </w:rPr>
              <w:t>Argon2</w:t>
            </w:r>
          </w:p>
        </w:tc>
        <w:tc>
          <w:tcPr>
            <w:tcW w:type="dxa" w:w="3389"/>
            <w:vAlign w:val="center"/>
          </w:tcPr>
          <w:p>
            <w:r/>
            <w:r>
              <w:rPr>
                <w:b w:val="0"/>
                <w:sz w:val="17"/>
              </w:rPr>
              <w:t>Implementado</w:t>
            </w:r>
          </w:p>
        </w:tc>
      </w:tr>
      <w:tr>
        <w:tc>
          <w:tcPr>
            <w:tcW w:type="dxa" w:w="3389"/>
            <w:vAlign w:val="center"/>
          </w:tcPr>
          <w:p>
            <w:r/>
            <w:r>
              <w:rPr>
                <w:b w:val="0"/>
                <w:sz w:val="17"/>
              </w:rPr>
              <w:t>Token de sesión</w:t>
            </w:r>
          </w:p>
        </w:tc>
        <w:tc>
          <w:tcPr>
            <w:tcW w:type="dxa" w:w="3389"/>
            <w:vAlign w:val="center"/>
          </w:tcPr>
          <w:p>
            <w:r/>
            <w:r>
              <w:rPr>
                <w:b w:val="0"/>
                <w:sz w:val="17"/>
              </w:rPr>
              <w:t>Firma y expiración</w:t>
            </w:r>
          </w:p>
        </w:tc>
        <w:tc>
          <w:tcPr>
            <w:tcW w:type="dxa" w:w="3389"/>
            <w:vAlign w:val="center"/>
          </w:tcPr>
          <w:p>
            <w:r/>
            <w:r>
              <w:rPr>
                <w:b w:val="0"/>
                <w:sz w:val="17"/>
              </w:rPr>
              <w:t>Implementado con itsdangerous</w:t>
            </w:r>
          </w:p>
        </w:tc>
      </w:tr>
      <w:tr>
        <w:tc>
          <w:tcPr>
            <w:tcW w:type="dxa" w:w="3389"/>
            <w:vAlign w:val="center"/>
          </w:tcPr>
          <w:p>
            <w:r/>
            <w:r>
              <w:rPr>
                <w:b w:val="0"/>
                <w:sz w:val="17"/>
              </w:rPr>
              <w:t>Cifrado de ubicación</w:t>
            </w:r>
          </w:p>
        </w:tc>
        <w:tc>
          <w:tcPr>
            <w:tcW w:type="dxa" w:w="3389"/>
            <w:vAlign w:val="center"/>
          </w:tcPr>
          <w:p>
            <w:r/>
            <w:r>
              <w:rPr>
                <w:b w:val="0"/>
                <w:sz w:val="17"/>
              </w:rPr>
              <w:t>Fernet / field-level</w:t>
            </w:r>
          </w:p>
        </w:tc>
        <w:tc>
          <w:tcPr>
            <w:tcW w:type="dxa" w:w="3389"/>
            <w:vAlign w:val="center"/>
          </w:tcPr>
          <w:p>
            <w:r/>
            <w:r>
              <w:rPr>
                <w:b w:val="0"/>
                <w:sz w:val="17"/>
              </w:rPr>
              <w:t>Implementado</w:t>
            </w:r>
          </w:p>
        </w:tc>
      </w:tr>
      <w:tr>
        <w:tc>
          <w:tcPr>
            <w:tcW w:type="dxa" w:w="3389"/>
            <w:vAlign w:val="center"/>
          </w:tcPr>
          <w:p>
            <w:r/>
            <w:r>
              <w:rPr>
                <w:b w:val="0"/>
                <w:sz w:val="17"/>
              </w:rPr>
              <w:t>TTL</w:t>
            </w:r>
          </w:p>
        </w:tc>
        <w:tc>
          <w:tcPr>
            <w:tcW w:type="dxa" w:w="3389"/>
            <w:vAlign w:val="center"/>
          </w:tcPr>
          <w:p>
            <w:r/>
            <w:r>
              <w:rPr>
                <w:b w:val="0"/>
                <w:sz w:val="17"/>
              </w:rPr>
              <w:t>24 h por registro</w:t>
            </w:r>
          </w:p>
        </w:tc>
        <w:tc>
          <w:tcPr>
            <w:tcW w:type="dxa" w:w="3389"/>
            <w:vAlign w:val="center"/>
          </w:tcPr>
          <w:p>
            <w:r/>
            <w:r>
              <w:rPr>
                <w:b w:val="0"/>
                <w:sz w:val="17"/>
              </w:rPr>
              <w:t>Implementado y probado</w:t>
            </w:r>
          </w:p>
        </w:tc>
      </w:tr>
      <w:tr>
        <w:tc>
          <w:tcPr>
            <w:tcW w:type="dxa" w:w="3389"/>
            <w:vAlign w:val="center"/>
          </w:tcPr>
          <w:p>
            <w:r/>
            <w:r>
              <w:rPr>
                <w:b w:val="0"/>
                <w:sz w:val="17"/>
              </w:rPr>
              <w:t>Incident hold</w:t>
            </w:r>
          </w:p>
        </w:tc>
        <w:tc>
          <w:tcPr>
            <w:tcW w:type="dxa" w:w="3389"/>
            <w:vAlign w:val="center"/>
          </w:tcPr>
          <w:p>
            <w:r/>
            <w:r>
              <w:rPr>
                <w:b w:val="0"/>
                <w:sz w:val="17"/>
              </w:rPr>
              <w:t>Temporal</w:t>
            </w:r>
          </w:p>
        </w:tc>
        <w:tc>
          <w:tcPr>
            <w:tcW w:type="dxa" w:w="3389"/>
            <w:vAlign w:val="center"/>
          </w:tcPr>
          <w:p>
            <w:r/>
            <w:r>
              <w:rPr>
                <w:b w:val="0"/>
                <w:sz w:val="17"/>
              </w:rPr>
              <w:t>Implementado</w:t>
            </w:r>
          </w:p>
        </w:tc>
      </w:tr>
      <w:tr>
        <w:tc>
          <w:tcPr>
            <w:tcW w:type="dxa" w:w="3389"/>
            <w:vAlign w:val="center"/>
          </w:tcPr>
          <w:p>
            <w:r/>
            <w:r>
              <w:rPr>
                <w:b w:val="0"/>
                <w:sz w:val="17"/>
              </w:rPr>
              <w:t>Auditoría</w:t>
            </w:r>
          </w:p>
        </w:tc>
        <w:tc>
          <w:tcPr>
            <w:tcW w:type="dxa" w:w="3389"/>
            <w:vAlign w:val="center"/>
          </w:tcPr>
          <w:p>
            <w:r/>
            <w:r>
              <w:rPr>
                <w:b w:val="0"/>
                <w:sz w:val="17"/>
              </w:rPr>
              <w:t>audit_logs</w:t>
            </w:r>
          </w:p>
        </w:tc>
        <w:tc>
          <w:tcPr>
            <w:tcW w:type="dxa" w:w="3389"/>
            <w:vAlign w:val="center"/>
          </w:tcPr>
          <w:p>
            <w:r/>
            <w:r>
              <w:rPr>
                <w:b w:val="0"/>
                <w:sz w:val="17"/>
              </w:rPr>
              <w:t>Implementado</w:t>
            </w:r>
          </w:p>
        </w:tc>
      </w:tr>
      <w:tr>
        <w:tc>
          <w:tcPr>
            <w:tcW w:type="dxa" w:w="3389"/>
            <w:vAlign w:val="center"/>
          </w:tcPr>
          <w:p>
            <w:r/>
            <w:r>
              <w:rPr>
                <w:b w:val="0"/>
                <w:sz w:val="17"/>
              </w:rPr>
              <w:t>MFA/passkeys</w:t>
            </w:r>
          </w:p>
        </w:tc>
        <w:tc>
          <w:tcPr>
            <w:tcW w:type="dxa" w:w="3389"/>
            <w:vAlign w:val="center"/>
          </w:tcPr>
          <w:p>
            <w:r/>
            <w:r>
              <w:rPr>
                <w:b w:val="0"/>
                <w:sz w:val="17"/>
              </w:rPr>
              <w:t>No</w:t>
            </w:r>
          </w:p>
        </w:tc>
        <w:tc>
          <w:tcPr>
            <w:tcW w:type="dxa" w:w="3389"/>
            <w:vAlign w:val="center"/>
          </w:tcPr>
          <w:p>
            <w:r/>
            <w:r>
              <w:rPr>
                <w:b w:val="0"/>
                <w:sz w:val="17"/>
              </w:rPr>
              <w:t>Evolución</w:t>
            </w:r>
          </w:p>
        </w:tc>
      </w:tr>
      <w:tr>
        <w:tc>
          <w:tcPr>
            <w:tcW w:type="dxa" w:w="3389"/>
            <w:vAlign w:val="center"/>
          </w:tcPr>
          <w:p>
            <w:r/>
            <w:r>
              <w:rPr>
                <w:b w:val="0"/>
                <w:sz w:val="17"/>
              </w:rPr>
              <w:t>TLS externo</w:t>
            </w:r>
          </w:p>
        </w:tc>
        <w:tc>
          <w:tcPr>
            <w:tcW w:type="dxa" w:w="3389"/>
            <w:vAlign w:val="center"/>
          </w:tcPr>
          <w:p>
            <w:r/>
            <w:r>
              <w:rPr>
                <w:b w:val="0"/>
                <w:sz w:val="17"/>
              </w:rPr>
              <w:t>No incluido en localhost</w:t>
            </w:r>
          </w:p>
        </w:tc>
        <w:tc>
          <w:tcPr>
            <w:tcW w:type="dxa" w:w="3389"/>
            <w:vAlign w:val="center"/>
          </w:tcPr>
          <w:p>
            <w:r/>
            <w:r>
              <w:rPr>
                <w:b w:val="0"/>
                <w:sz w:val="17"/>
              </w:rPr>
              <w:t>Obligatorio al exponer Internet</w:t>
            </w:r>
          </w:p>
        </w:tc>
      </w:tr>
      <w:tr>
        <w:tc>
          <w:tcPr>
            <w:tcW w:type="dxa" w:w="3389"/>
            <w:vAlign w:val="center"/>
          </w:tcPr>
          <w:p>
            <w:r/>
            <w:r>
              <w:rPr>
                <w:b w:val="0"/>
                <w:sz w:val="17"/>
              </w:rPr>
              <w:t>WAF/rate limiting</w:t>
            </w:r>
          </w:p>
        </w:tc>
        <w:tc>
          <w:tcPr>
            <w:tcW w:type="dxa" w:w="3389"/>
            <w:vAlign w:val="center"/>
          </w:tcPr>
          <w:p>
            <w:r/>
            <w:r>
              <w:rPr>
                <w:b w:val="0"/>
                <w:sz w:val="17"/>
              </w:rPr>
              <w:t>No</w:t>
            </w:r>
          </w:p>
        </w:tc>
        <w:tc>
          <w:tcPr>
            <w:tcW w:type="dxa" w:w="3389"/>
            <w:vAlign w:val="center"/>
          </w:tcPr>
          <w:p>
            <w:r/>
            <w:r>
              <w:rPr>
                <w:b w:val="0"/>
                <w:sz w:val="17"/>
              </w:rPr>
              <w:t>Evolución productiva</w:t>
            </w:r>
          </w:p>
        </w:tc>
      </w:tr>
      <w:tr>
        <w:tc>
          <w:tcPr>
            <w:tcW w:type="dxa" w:w="3389"/>
            <w:vAlign w:val="center"/>
          </w:tcPr>
          <w:p>
            <w:r/>
            <w:r>
              <w:rPr>
                <w:b w:val="0"/>
                <w:sz w:val="17"/>
              </w:rPr>
              <w:t>Secret manager</w:t>
            </w:r>
          </w:p>
        </w:tc>
        <w:tc>
          <w:tcPr>
            <w:tcW w:type="dxa" w:w="3389"/>
            <w:vAlign w:val="center"/>
          </w:tcPr>
          <w:p>
            <w:r/>
            <w:r>
              <w:rPr>
                <w:b w:val="0"/>
                <w:sz w:val="17"/>
              </w:rPr>
              <w:t>Variables de entorno</w:t>
            </w:r>
          </w:p>
        </w:tc>
        <w:tc>
          <w:tcPr>
            <w:tcW w:type="dxa" w:w="3389"/>
            <w:vAlign w:val="center"/>
          </w:tcPr>
          <w:p>
            <w:r/>
            <w:r>
              <w:rPr>
                <w:b w:val="0"/>
                <w:sz w:val="17"/>
              </w:rPr>
              <w:t>Migrar a KMS/Secret Manager en producción</w:t>
            </w:r>
          </w:p>
        </w:tc>
      </w:tr>
    </w:tbl>
    <w:p>
      <w:pPr>
        <w:jc w:val="center"/>
      </w:pPr>
      <w:r>
        <w:drawing>
          <wp:inline xmlns:a="http://schemas.openxmlformats.org/drawingml/2006/main" xmlns:pic="http://schemas.openxmlformats.org/drawingml/2006/picture">
            <wp:extent cx="5852160" cy="1985554"/>
            <wp:docPr id="6" name="Picture 6"/>
            <wp:cNvGraphicFramePr>
              <a:graphicFrameLocks noChangeAspect="1"/>
            </wp:cNvGraphicFramePr>
            <a:graphic>
              <a:graphicData uri="http://schemas.openxmlformats.org/drawingml/2006/picture">
                <pic:pic>
                  <pic:nvPicPr>
                    <pic:cNvPr id="0" name="14_seguridad_zonas_confianza.png"/>
                    <pic:cNvPicPr/>
                  </pic:nvPicPr>
                  <pic:blipFill>
                    <a:blip r:embed="rId16"/>
                    <a:stretch>
                      <a:fillRect/>
                    </a:stretch>
                  </pic:blipFill>
                  <pic:spPr>
                    <a:xfrm>
                      <a:off x="0" y="0"/>
                      <a:ext cx="5852160" cy="1985554"/>
                    </a:xfrm>
                    <a:prstGeom prst="rect"/>
                  </pic:spPr>
                </pic:pic>
              </a:graphicData>
            </a:graphic>
          </wp:inline>
        </w:drawing>
      </w:r>
    </w:p>
    <w:p>
      <w:pPr>
        <w:jc w:val="center"/>
      </w:pPr>
      <w:r>
        <w:rPr>
          <w:i/>
          <w:color w:val="5A5A5A"/>
          <w:sz w:val="17"/>
        </w:rPr>
        <w:t>Figura 6. Zonas de confianza y controles de seguridad.</w:t>
      </w:r>
    </w:p>
    <w:p>
      <w:pPr>
        <w:pStyle w:val="Heading1"/>
      </w:pPr>
      <w:r>
        <w:t>5. Modelo de datos</w:t>
      </w:r>
    </w:p>
    <w:p>
      <w:r>
        <w:t>El modelo separa identidad, consentimiento, checkpoints, eventos, verificación, casos y referencias institucionales. Esta separación evita convertir “desaparecido” en un atributo permanente del usuario y conserva la trazabilidad de cada transición.</w:t>
      </w:r>
    </w:p>
    <w:p>
      <w:pPr>
        <w:jc w:val="center"/>
      </w:pPr>
      <w:r>
        <w:drawing>
          <wp:inline xmlns:a="http://schemas.openxmlformats.org/drawingml/2006/main" xmlns:pic="http://schemas.openxmlformats.org/drawingml/2006/picture">
            <wp:extent cx="5943600" cy="3560904"/>
            <wp:docPr id="7" name="Picture 7"/>
            <wp:cNvGraphicFramePr>
              <a:graphicFrameLocks noChangeAspect="1"/>
            </wp:cNvGraphicFramePr>
            <a:graphic>
              <a:graphicData uri="http://schemas.openxmlformats.org/drawingml/2006/picture">
                <pic:pic>
                  <pic:nvPicPr>
                    <pic:cNvPr id="0" name="10_modelo_datos.png"/>
                    <pic:cNvPicPr/>
                  </pic:nvPicPr>
                  <pic:blipFill>
                    <a:blip r:embed="rId17"/>
                    <a:stretch>
                      <a:fillRect/>
                    </a:stretch>
                  </pic:blipFill>
                  <pic:spPr>
                    <a:xfrm>
                      <a:off x="0" y="0"/>
                      <a:ext cx="5943600" cy="3560904"/>
                    </a:xfrm>
                    <a:prstGeom prst="rect"/>
                  </pic:spPr>
                </pic:pic>
              </a:graphicData>
            </a:graphic>
          </wp:inline>
        </w:drawing>
      </w:r>
    </w:p>
    <w:p>
      <w:pPr>
        <w:jc w:val="center"/>
      </w:pPr>
      <w:r>
        <w:rPr>
          <w:i/>
          <w:color w:val="5A5A5A"/>
          <w:sz w:val="17"/>
        </w:rPr>
        <w:t>Figura 7. Modelo conceptual de datos.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3435E"/>
          </w:tcPr>
          <w:p>
            <w:r/>
            <w:r>
              <w:rPr>
                <w:b/>
                <w:color w:val="FFFFFF"/>
                <w:sz w:val="17"/>
              </w:rPr>
              <w:t>Tabla</w:t>
            </w:r>
          </w:p>
        </w:tc>
        <w:tc>
          <w:tcPr>
            <w:tcW w:type="dxa" w:w="5083"/>
            <w:vAlign w:val="center"/>
            <w:shd w:fill="23435E"/>
          </w:tcPr>
          <w:p>
            <w:r/>
            <w:r>
              <w:rPr>
                <w:b/>
                <w:color w:val="FFFFFF"/>
                <w:sz w:val="17"/>
              </w:rPr>
              <w:t>Propósito</w:t>
            </w:r>
          </w:p>
        </w:tc>
      </w:tr>
      <w:tr>
        <w:tc>
          <w:tcPr>
            <w:tcW w:type="dxa" w:w="5083"/>
            <w:vAlign w:val="center"/>
          </w:tcPr>
          <w:p>
            <w:r/>
            <w:r>
              <w:rPr>
                <w:b w:val="0"/>
                <w:sz w:val="17"/>
              </w:rPr>
              <w:t>users</w:t>
            </w:r>
          </w:p>
        </w:tc>
        <w:tc>
          <w:tcPr>
            <w:tcW w:type="dxa" w:w="5083"/>
            <w:vAlign w:val="center"/>
          </w:tcPr>
          <w:p>
            <w:r/>
            <w:r>
              <w:rPr>
                <w:b w:val="0"/>
                <w:sz w:val="17"/>
              </w:rPr>
              <w:t>Identidad de usuario</w:t>
            </w:r>
          </w:p>
        </w:tc>
      </w:tr>
      <w:tr>
        <w:tc>
          <w:tcPr>
            <w:tcW w:type="dxa" w:w="5083"/>
            <w:vAlign w:val="center"/>
          </w:tcPr>
          <w:p>
            <w:r/>
            <w:r>
              <w:rPr>
                <w:b w:val="0"/>
                <w:sz w:val="17"/>
              </w:rPr>
              <w:t>trusted_contacts</w:t>
            </w:r>
          </w:p>
        </w:tc>
        <w:tc>
          <w:tcPr>
            <w:tcW w:type="dxa" w:w="5083"/>
            <w:vAlign w:val="center"/>
          </w:tcPr>
          <w:p>
            <w:r/>
            <w:r>
              <w:rPr>
                <w:b w:val="0"/>
                <w:sz w:val="17"/>
              </w:rPr>
              <w:t>Relaciones de confianza y permisos</w:t>
            </w:r>
          </w:p>
        </w:tc>
      </w:tr>
      <w:tr>
        <w:tc>
          <w:tcPr>
            <w:tcW w:type="dxa" w:w="5083"/>
            <w:vAlign w:val="center"/>
          </w:tcPr>
          <w:p>
            <w:r/>
            <w:r>
              <w:rPr>
                <w:b w:val="0"/>
                <w:sz w:val="17"/>
              </w:rPr>
              <w:t>consent_policies</w:t>
            </w:r>
          </w:p>
        </w:tc>
        <w:tc>
          <w:tcPr>
            <w:tcW w:type="dxa" w:w="5083"/>
            <w:vAlign w:val="center"/>
          </w:tcPr>
          <w:p>
            <w:r/>
            <w:r>
              <w:rPr>
                <w:b w:val="0"/>
                <w:sz w:val="17"/>
              </w:rPr>
              <w:t>Quórum y liberación de información</w:t>
            </w:r>
          </w:p>
        </w:tc>
      </w:tr>
      <w:tr>
        <w:tc>
          <w:tcPr>
            <w:tcW w:type="dxa" w:w="5083"/>
            <w:vAlign w:val="center"/>
          </w:tcPr>
          <w:p>
            <w:r/>
            <w:r>
              <w:rPr>
                <w:b w:val="0"/>
                <w:sz w:val="17"/>
              </w:rPr>
              <w:t>checkpoints</w:t>
            </w:r>
          </w:p>
        </w:tc>
        <w:tc>
          <w:tcPr>
            <w:tcW w:type="dxa" w:w="5083"/>
            <w:vAlign w:val="center"/>
          </w:tcPr>
          <w:p>
            <w:r/>
            <w:r>
              <w:rPr>
                <w:b w:val="0"/>
                <w:sz w:val="17"/>
              </w:rPr>
              <w:t>Último contexto cifrado y temporal</w:t>
            </w:r>
          </w:p>
        </w:tc>
      </w:tr>
      <w:tr>
        <w:tc>
          <w:tcPr>
            <w:tcW w:type="dxa" w:w="5083"/>
            <w:vAlign w:val="center"/>
          </w:tcPr>
          <w:p>
            <w:r/>
            <w:r>
              <w:rPr>
                <w:b w:val="0"/>
                <w:sz w:val="17"/>
              </w:rPr>
              <w:t>emergency_events</w:t>
            </w:r>
          </w:p>
        </w:tc>
        <w:tc>
          <w:tcPr>
            <w:tcW w:type="dxa" w:w="5083"/>
            <w:vAlign w:val="center"/>
          </w:tcPr>
          <w:p>
            <w:r/>
            <w:r>
              <w:rPr>
                <w:b w:val="0"/>
                <w:sz w:val="17"/>
              </w:rPr>
              <w:t>Eventos oficiales o TEST</w:t>
            </w:r>
          </w:p>
        </w:tc>
      </w:tr>
      <w:tr>
        <w:tc>
          <w:tcPr>
            <w:tcW w:type="dxa" w:w="5083"/>
            <w:vAlign w:val="center"/>
          </w:tcPr>
          <w:p>
            <w:r/>
            <w:r>
              <w:rPr>
                <w:b w:val="0"/>
                <w:sz w:val="17"/>
              </w:rPr>
              <w:t>safety_statuses</w:t>
            </w:r>
          </w:p>
        </w:tc>
        <w:tc>
          <w:tcPr>
            <w:tcW w:type="dxa" w:w="5083"/>
            <w:vAlign w:val="center"/>
          </w:tcPr>
          <w:p>
            <w:r/>
            <w:r>
              <w:rPr>
                <w:b w:val="0"/>
                <w:sz w:val="17"/>
              </w:rPr>
              <w:t>Respuestas de bienestar</w:t>
            </w:r>
          </w:p>
        </w:tc>
      </w:tr>
      <w:tr>
        <w:tc>
          <w:tcPr>
            <w:tcW w:type="dxa" w:w="5083"/>
            <w:vAlign w:val="center"/>
          </w:tcPr>
          <w:p>
            <w:r/>
            <w:r>
              <w:rPr>
                <w:b w:val="0"/>
                <w:sz w:val="17"/>
              </w:rPr>
              <w:t>welfare_checks</w:t>
            </w:r>
          </w:p>
        </w:tc>
        <w:tc>
          <w:tcPr>
            <w:tcW w:type="dxa" w:w="5083"/>
            <w:vAlign w:val="center"/>
          </w:tcPr>
          <w:p>
            <w:r/>
            <w:r>
              <w:rPr>
                <w:b w:val="0"/>
                <w:sz w:val="17"/>
              </w:rPr>
              <w:t>Solicitudes de verificación</w:t>
            </w:r>
          </w:p>
        </w:tc>
      </w:tr>
      <w:tr>
        <w:tc>
          <w:tcPr>
            <w:tcW w:type="dxa" w:w="5083"/>
            <w:vAlign w:val="center"/>
          </w:tcPr>
          <w:p>
            <w:r/>
            <w:r>
              <w:rPr>
                <w:b w:val="0"/>
                <w:sz w:val="17"/>
              </w:rPr>
              <w:t>welfare_confirmations</w:t>
            </w:r>
          </w:p>
        </w:tc>
        <w:tc>
          <w:tcPr>
            <w:tcW w:type="dxa" w:w="5083"/>
            <w:vAlign w:val="center"/>
          </w:tcPr>
          <w:p>
            <w:r/>
            <w:r>
              <w:rPr>
                <w:b w:val="0"/>
                <w:sz w:val="17"/>
              </w:rPr>
              <w:t>Quórum de contactos</w:t>
            </w:r>
          </w:p>
        </w:tc>
      </w:tr>
      <w:tr>
        <w:tc>
          <w:tcPr>
            <w:tcW w:type="dxa" w:w="5083"/>
            <w:vAlign w:val="center"/>
          </w:tcPr>
          <w:p>
            <w:r/>
            <w:r>
              <w:rPr>
                <w:b w:val="0"/>
                <w:sz w:val="17"/>
              </w:rPr>
              <w:t>disappearance_cases</w:t>
            </w:r>
          </w:p>
        </w:tc>
        <w:tc>
          <w:tcPr>
            <w:tcW w:type="dxa" w:w="5083"/>
            <w:vAlign w:val="center"/>
          </w:tcPr>
          <w:p>
            <w:r/>
            <w:r>
              <w:rPr>
                <w:b w:val="0"/>
                <w:sz w:val="17"/>
              </w:rPr>
              <w:t>Caso ciudadano con estado</w:t>
            </w:r>
          </w:p>
        </w:tc>
      </w:tr>
      <w:tr>
        <w:tc>
          <w:tcPr>
            <w:tcW w:type="dxa" w:w="5083"/>
            <w:vAlign w:val="center"/>
          </w:tcPr>
          <w:p>
            <w:r/>
            <w:r>
              <w:rPr>
                <w:b w:val="0"/>
                <w:sz w:val="17"/>
              </w:rPr>
              <w:t>institutional_references</w:t>
            </w:r>
          </w:p>
        </w:tc>
        <w:tc>
          <w:tcPr>
            <w:tcW w:type="dxa" w:w="5083"/>
            <w:vAlign w:val="center"/>
          </w:tcPr>
          <w:p>
            <w:r/>
            <w:r>
              <w:rPr>
                <w:b w:val="0"/>
                <w:sz w:val="17"/>
              </w:rPr>
              <w:t>Radicado/referencia externa</w:t>
            </w:r>
          </w:p>
        </w:tc>
      </w:tr>
      <w:tr>
        <w:tc>
          <w:tcPr>
            <w:tcW w:type="dxa" w:w="5083"/>
            <w:vAlign w:val="center"/>
          </w:tcPr>
          <w:p>
            <w:r/>
            <w:r>
              <w:rPr>
                <w:b w:val="0"/>
                <w:sz w:val="17"/>
              </w:rPr>
              <w:t>personal_safety_sessions</w:t>
            </w:r>
          </w:p>
        </w:tc>
        <w:tc>
          <w:tcPr>
            <w:tcW w:type="dxa" w:w="5083"/>
            <w:vAlign w:val="center"/>
          </w:tcPr>
          <w:p>
            <w:r/>
            <w:r>
              <w:rPr>
                <w:b w:val="0"/>
                <w:sz w:val="17"/>
              </w:rPr>
              <w:t>Vulnerabilidad inmediata</w:t>
            </w:r>
          </w:p>
        </w:tc>
      </w:tr>
      <w:tr>
        <w:tc>
          <w:tcPr>
            <w:tcW w:type="dxa" w:w="5083"/>
            <w:vAlign w:val="center"/>
          </w:tcPr>
          <w:p>
            <w:r/>
            <w:r>
              <w:rPr>
                <w:b w:val="0"/>
                <w:sz w:val="17"/>
              </w:rPr>
              <w:t>notifications</w:t>
            </w:r>
          </w:p>
        </w:tc>
        <w:tc>
          <w:tcPr>
            <w:tcW w:type="dxa" w:w="5083"/>
            <w:vAlign w:val="center"/>
          </w:tcPr>
          <w:p>
            <w:r/>
            <w:r>
              <w:rPr>
                <w:b w:val="0"/>
                <w:sz w:val="17"/>
              </w:rPr>
              <w:t>Bandeja de eventos y alertas</w:t>
            </w:r>
          </w:p>
        </w:tc>
      </w:tr>
      <w:tr>
        <w:tc>
          <w:tcPr>
            <w:tcW w:type="dxa" w:w="5083"/>
            <w:vAlign w:val="center"/>
          </w:tcPr>
          <w:p>
            <w:r/>
            <w:r>
              <w:rPr>
                <w:b w:val="0"/>
                <w:sz w:val="17"/>
              </w:rPr>
              <w:t>audit_logs</w:t>
            </w:r>
          </w:p>
        </w:tc>
        <w:tc>
          <w:tcPr>
            <w:tcW w:type="dxa" w:w="5083"/>
            <w:vAlign w:val="center"/>
          </w:tcPr>
          <w:p>
            <w:r/>
            <w:r>
              <w:rPr>
                <w:b w:val="0"/>
                <w:sz w:val="17"/>
              </w:rPr>
              <w:t>Trazabilidad de seguridad</w:t>
            </w:r>
          </w:p>
        </w:tc>
      </w:tr>
    </w:tbl>
    <w:p>
      <w:pPr>
        <w:pStyle w:val="Heading1"/>
      </w:pPr>
      <w:r>
        <w:t>6. APIs y fuentes externas</w:t>
      </w:r>
    </w:p>
    <w:p>
      <w:r>
        <w:t>Las integraciones externas se clasifican por nivel de acceso. El paquete nunca automatiza CAPTCHA ni asume credenciales institucionales no entregadas. Los endpoints públicos pueden cambiar; por ello se encapsulan en adapters configurables por variables de entorno.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3435E"/>
          </w:tcPr>
          <w:p>
            <w:r/>
            <w:r>
              <w:rPr>
                <w:b/>
                <w:color w:val="FFFFFF"/>
                <w:sz w:val="17"/>
              </w:rPr>
              <w:t>Fuente</w:t>
            </w:r>
          </w:p>
        </w:tc>
        <w:tc>
          <w:tcPr>
            <w:tcW w:type="dxa" w:w="3389"/>
            <w:vAlign w:val="center"/>
            <w:shd w:fill="23435E"/>
          </w:tcPr>
          <w:p>
            <w:r/>
            <w:r>
              <w:rPr>
                <w:b/>
                <w:color w:val="FFFFFF"/>
                <w:sz w:val="17"/>
              </w:rPr>
              <w:t>Integración</w:t>
            </w:r>
          </w:p>
        </w:tc>
        <w:tc>
          <w:tcPr>
            <w:tcW w:type="dxa" w:w="3389"/>
            <w:vAlign w:val="center"/>
            <w:shd w:fill="23435E"/>
          </w:tcPr>
          <w:p>
            <w:r/>
            <w:r>
              <w:rPr>
                <w:b/>
                <w:color w:val="FFFFFF"/>
                <w:sz w:val="17"/>
              </w:rPr>
              <w:t>Estado</w:t>
            </w:r>
          </w:p>
        </w:tc>
      </w:tr>
      <w:tr>
        <w:tc>
          <w:tcPr>
            <w:tcW w:type="dxa" w:w="3389"/>
            <w:vAlign w:val="center"/>
          </w:tcPr>
          <w:p>
            <w:r/>
            <w:r>
              <w:rPr>
                <w:b w:val="0"/>
                <w:sz w:val="17"/>
              </w:rPr>
              <w:t>SGC</w:t>
            </w:r>
          </w:p>
        </w:tc>
        <w:tc>
          <w:tcPr>
            <w:tcW w:type="dxa" w:w="3389"/>
            <w:vAlign w:val="center"/>
          </w:tcPr>
          <w:p>
            <w:r/>
            <w:r>
              <w:rPr>
                <w:b w:val="0"/>
                <w:sz w:val="17"/>
              </w:rPr>
              <w:t>ArcGIS REST configurado en SGC_QUERY_URL</w:t>
            </w:r>
          </w:p>
        </w:tc>
        <w:tc>
          <w:tcPr>
            <w:tcW w:type="dxa" w:w="3389"/>
            <w:vAlign w:val="center"/>
          </w:tcPr>
          <w:p>
            <w:r/>
            <w:r>
              <w:rPr>
                <w:b w:val="0"/>
                <w:sz w:val="17"/>
              </w:rPr>
              <w:t>Live adapter; requiere validar en entorno con Internet</w:t>
            </w:r>
          </w:p>
        </w:tc>
      </w:tr>
      <w:tr>
        <w:tc>
          <w:tcPr>
            <w:tcW w:type="dxa" w:w="3389"/>
            <w:vAlign w:val="center"/>
          </w:tcPr>
          <w:p>
            <w:r/>
            <w:r>
              <w:rPr>
                <w:b w:val="0"/>
                <w:sz w:val="17"/>
              </w:rPr>
              <w:t>SIRDEC / Datos Abiertos</w:t>
            </w:r>
          </w:p>
        </w:tc>
        <w:tc>
          <w:tcPr>
            <w:tcW w:type="dxa" w:w="3389"/>
            <w:vAlign w:val="center"/>
          </w:tcPr>
          <w:p>
            <w:r/>
            <w:r>
              <w:rPr>
                <w:b w:val="0"/>
                <w:sz w:val="17"/>
              </w:rPr>
              <w:t>Socrata SODA 8hqm-7fdt</w:t>
            </w:r>
          </w:p>
        </w:tc>
        <w:tc>
          <w:tcPr>
            <w:tcW w:type="dxa" w:w="3389"/>
            <w:vAlign w:val="center"/>
          </w:tcPr>
          <w:p>
            <w:r/>
            <w:r>
              <w:rPr>
                <w:b w:val="0"/>
                <w:sz w:val="17"/>
              </w:rPr>
              <w:t>Live read-only adapter</w:t>
            </w:r>
          </w:p>
        </w:tc>
      </w:tr>
      <w:tr>
        <w:tc>
          <w:tcPr>
            <w:tcW w:type="dxa" w:w="3389"/>
            <w:vAlign w:val="center"/>
          </w:tcPr>
          <w:p>
            <w:r/>
            <w:r>
              <w:rPr>
                <w:b w:val="0"/>
                <w:sz w:val="17"/>
              </w:rPr>
              <w:t>SICLICO</w:t>
            </w:r>
          </w:p>
        </w:tc>
        <w:tc>
          <w:tcPr>
            <w:tcW w:type="dxa" w:w="3389"/>
            <w:vAlign w:val="center"/>
          </w:tcPr>
          <w:p>
            <w:r/>
            <w:r>
              <w:rPr>
                <w:b w:val="0"/>
                <w:sz w:val="17"/>
              </w:rPr>
              <w:t>Navegación al portal público</w:t>
            </w:r>
          </w:p>
        </w:tc>
        <w:tc>
          <w:tcPr>
            <w:tcW w:type="dxa" w:w="3389"/>
            <w:vAlign w:val="center"/>
          </w:tcPr>
          <w:p>
            <w:r/>
            <w:r>
              <w:rPr>
                <w:b w:val="0"/>
                <w:sz w:val="17"/>
              </w:rPr>
              <w:t>Live human interaction; CAPTCHA respetado</w:t>
            </w:r>
          </w:p>
        </w:tc>
      </w:tr>
      <w:tr>
        <w:tc>
          <w:tcPr>
            <w:tcW w:type="dxa" w:w="3389"/>
            <w:vAlign w:val="center"/>
          </w:tcPr>
          <w:p>
            <w:r/>
            <w:r>
              <w:rPr>
                <w:b w:val="0"/>
                <w:sz w:val="17"/>
              </w:rPr>
              <w:t>IDEAM/FEWS</w:t>
            </w:r>
          </w:p>
        </w:tc>
        <w:tc>
          <w:tcPr>
            <w:tcW w:type="dxa" w:w="3389"/>
            <w:vAlign w:val="center"/>
          </w:tcPr>
          <w:p>
            <w:r/>
            <w:r>
              <w:rPr>
                <w:b w:val="0"/>
                <w:sz w:val="17"/>
              </w:rPr>
              <w:t>IDEAM_JSON_URL configurable</w:t>
            </w:r>
          </w:p>
        </w:tc>
        <w:tc>
          <w:tcPr>
            <w:tcW w:type="dxa" w:w="3389"/>
            <w:vAlign w:val="center"/>
          </w:tcPr>
          <w:p>
            <w:r/>
            <w:r>
              <w:rPr>
                <w:b w:val="0"/>
                <w:sz w:val="17"/>
              </w:rPr>
              <w:t>Sin endpoint hard-coded hasta verificar capa estable</w:t>
            </w:r>
          </w:p>
        </w:tc>
      </w:tr>
      <w:tr>
        <w:tc>
          <w:tcPr>
            <w:tcW w:type="dxa" w:w="3389"/>
            <w:vAlign w:val="center"/>
          </w:tcPr>
          <w:p>
            <w:r/>
            <w:r>
              <w:rPr>
                <w:b w:val="0"/>
                <w:sz w:val="17"/>
              </w:rPr>
              <w:t>UNGRD</w:t>
            </w:r>
          </w:p>
        </w:tc>
        <w:tc>
          <w:tcPr>
            <w:tcW w:type="dxa" w:w="3389"/>
            <w:vAlign w:val="center"/>
          </w:tcPr>
          <w:p>
            <w:r/>
            <w:r>
              <w:rPr>
                <w:b w:val="0"/>
                <w:sz w:val="17"/>
              </w:rPr>
              <w:t>Portal/referencia</w:t>
            </w:r>
          </w:p>
        </w:tc>
        <w:tc>
          <w:tcPr>
            <w:tcW w:type="dxa" w:w="3389"/>
            <w:vAlign w:val="center"/>
          </w:tcPr>
          <w:p>
            <w:r/>
            <w:r>
              <w:rPr>
                <w:b w:val="0"/>
                <w:sz w:val="17"/>
              </w:rPr>
              <w:t>No API asumida</w:t>
            </w:r>
          </w:p>
        </w:tc>
      </w:tr>
      <w:tr>
        <w:tc>
          <w:tcPr>
            <w:tcW w:type="dxa" w:w="3389"/>
            <w:vAlign w:val="center"/>
          </w:tcPr>
          <w:p>
            <w:r/>
            <w:r>
              <w:rPr>
                <w:b w:val="0"/>
                <w:sz w:val="17"/>
              </w:rPr>
              <w:t>Fiscalía/Policía/Alerta Rosa</w:t>
            </w:r>
          </w:p>
        </w:tc>
        <w:tc>
          <w:tcPr>
            <w:tcW w:type="dxa" w:w="3389"/>
            <w:vAlign w:val="center"/>
          </w:tcPr>
          <w:p>
            <w:r/>
            <w:r>
              <w:rPr>
                <w:b w:val="0"/>
                <w:sz w:val="17"/>
              </w:rPr>
              <w:t>InstitutionalReference/adapter futuro</w:t>
            </w:r>
          </w:p>
        </w:tc>
        <w:tc>
          <w:tcPr>
            <w:tcW w:type="dxa" w:w="3389"/>
            <w:vAlign w:val="center"/>
          </w:tcPr>
          <w:p>
            <w:r/>
            <w:r>
              <w:rPr>
                <w:b w:val="0"/>
                <w:sz w:val="17"/>
              </w:rPr>
              <w:t>No conexión operacional</w:t>
            </w:r>
          </w:p>
        </w:tc>
      </w:tr>
    </w:tbl>
    <w:p>
      <w:pPr>
        <w:jc w:val="center"/>
      </w:pPr>
      <w:r>
        <w:drawing>
          <wp:inline xmlns:a="http://schemas.openxmlformats.org/drawingml/2006/main" xmlns:pic="http://schemas.openxmlformats.org/drawingml/2006/picture">
            <wp:extent cx="5852160" cy="1619975"/>
            <wp:docPr id="8" name="Picture 8"/>
            <wp:cNvGraphicFramePr>
              <a:graphicFrameLocks noChangeAspect="1"/>
            </wp:cNvGraphicFramePr>
            <a:graphic>
              <a:graphicData uri="http://schemas.openxmlformats.org/drawingml/2006/picture">
                <pic:pic>
                  <pic:nvPicPr>
                    <pic:cNvPr id="0" name="12_integracion_sirdec.png"/>
                    <pic:cNvPicPr/>
                  </pic:nvPicPr>
                  <pic:blipFill>
                    <a:blip r:embed="rId18"/>
                    <a:stretch>
                      <a:fillRect/>
                    </a:stretch>
                  </pic:blipFill>
                  <pic:spPr>
                    <a:xfrm>
                      <a:off x="0" y="0"/>
                      <a:ext cx="5852160" cy="1619975"/>
                    </a:xfrm>
                    <a:prstGeom prst="rect"/>
                  </pic:spPr>
                </pic:pic>
              </a:graphicData>
            </a:graphic>
          </wp:inline>
        </w:drawing>
      </w:r>
    </w:p>
    <w:p>
      <w:pPr>
        <w:jc w:val="center"/>
      </w:pPr>
      <w:r>
        <w:rPr>
          <w:i/>
          <w:color w:val="5A5A5A"/>
          <w:sz w:val="17"/>
        </w:rPr>
        <w:t>Figura 8. Separación entre Open Data, consulta pública e interoperabilidad institucional futura.</w:t>
      </w:r>
    </w:p>
    <w:tbl>
      <w:tblPr>
        <w:tblStyle w:val="TableGrid"/>
        <w:tblW w:type="auto" w:w="0"/>
        <w:tblLook w:firstColumn="1" w:firstRow="1" w:lastColumn="0" w:lastRow="0" w:noHBand="0" w:noVBand="1" w:val="04A0"/>
      </w:tblPr>
      <w:tblGrid>
        <w:gridCol w:w="10166"/>
      </w:tblGrid>
      <w:tr>
        <w:tc>
          <w:tcPr>
            <w:tcW w:type="dxa" w:w="10166"/>
            <w:shd w:fill="EDF3F7"/>
            <w:vAlign w:val="center"/>
          </w:tcPr>
          <w:p>
            <w:r/>
            <w:r>
              <w:rPr>
                <w:b w:val="0"/>
                <w:color w:val="23435E"/>
                <w:sz w:val="19"/>
              </w:rPr>
              <w:t>El entorno utilizado para construir este paquete no permitió verificar llamadas externas en vivo. El código y URLs están configurados; la conectividad real debe probarse desde el equipo del proyecto. Las pruebas automatizadas cubren el contrato y la normalización offline.</w:t>
            </w:r>
          </w:p>
        </w:tc>
      </w:tr>
    </w:tbl>
    <w:p>
      <w:pPr>
        <w:pStyle w:val="Heading1"/>
      </w:pPr>
      <w:r>
        <w:t>7. Aplicación móvil</w:t>
      </w:r>
    </w:p>
    <w:p>
      <w:r>
        <w:t>La app Flutter sigue la línea visual del mockup suministrado. La pantalla principal muestra el estado del usuario, checkpoints, laboratorio de escenarios y Safety Check. Las pestañas incluyen Personas, fuentes oficiales y Perfil. El Personal Safety Mode se activa bajo demanda para situaciones de vulnerabilidad inmediata.</w:t>
      </w:r>
    </w:p>
    <w:p>
      <w:pPr>
        <w:jc w:val="center"/>
      </w:pPr>
      <w:r>
        <w:drawing>
          <wp:inline xmlns:a="http://schemas.openxmlformats.org/drawingml/2006/main" xmlns:pic="http://schemas.openxmlformats.org/drawingml/2006/picture">
            <wp:extent cx="2926080" cy="5824749"/>
            <wp:docPr id="9" name="Picture 9"/>
            <wp:cNvGraphicFramePr>
              <a:graphicFrameLocks noChangeAspect="1"/>
            </wp:cNvGraphicFramePr>
            <a:graphic>
              <a:graphicData uri="http://schemas.openxmlformats.org/drawingml/2006/picture">
                <pic:pic>
                  <pic:nvPicPr>
                    <pic:cNvPr id="0" name="01_alerta_sismica_confirmacion.png"/>
                    <pic:cNvPicPr/>
                  </pic:nvPicPr>
                  <pic:blipFill>
                    <a:blip r:embed="rId19"/>
                    <a:stretch>
                      <a:fillRect/>
                    </a:stretch>
                  </pic:blipFill>
                  <pic:spPr>
                    <a:xfrm>
                      <a:off x="0" y="0"/>
                      <a:ext cx="2926080" cy="5824749"/>
                    </a:xfrm>
                    <a:prstGeom prst="rect"/>
                  </pic:spPr>
                </pic:pic>
              </a:graphicData>
            </a:graphic>
          </wp:inline>
        </w:drawing>
      </w:r>
    </w:p>
    <w:p>
      <w:pPr>
        <w:jc w:val="center"/>
      </w:pPr>
      <w:r>
        <w:rPr>
          <w:i/>
          <w:color w:val="5A5A5A"/>
          <w:sz w:val="17"/>
        </w:rPr>
        <w:t>Figura 9. Mockup de referencia suministrado para la alerta sísmica y confirmación de bienestar.</w:t>
      </w:r>
    </w:p>
    <w:p>
      <w:pPr>
        <w:jc w:val="center"/>
      </w:pPr>
      <w:r>
        <w:drawing>
          <wp:inline xmlns:a="http://schemas.openxmlformats.org/drawingml/2006/main" xmlns:pic="http://schemas.openxmlformats.org/drawingml/2006/picture">
            <wp:extent cx="5577840" cy="3232548"/>
            <wp:docPr id="10" name="Picture 10"/>
            <wp:cNvGraphicFramePr>
              <a:graphicFrameLocks noChangeAspect="1"/>
            </wp:cNvGraphicFramePr>
            <a:graphic>
              <a:graphicData uri="http://schemas.openxmlformats.org/drawingml/2006/picture">
                <pic:pic>
                  <pic:nvPicPr>
                    <pic:cNvPr id="0" name="17_personal_safety_mode.png"/>
                    <pic:cNvPicPr/>
                  </pic:nvPicPr>
                  <pic:blipFill>
                    <a:blip r:embed="rId20"/>
                    <a:stretch>
                      <a:fillRect/>
                    </a:stretch>
                  </pic:blipFill>
                  <pic:spPr>
                    <a:xfrm>
                      <a:off x="0" y="0"/>
                      <a:ext cx="5577840" cy="3232548"/>
                    </a:xfrm>
                    <a:prstGeom prst="rect"/>
                  </pic:spPr>
                </pic:pic>
              </a:graphicData>
            </a:graphic>
          </wp:inline>
        </w:drawing>
      </w:r>
    </w:p>
    <w:p>
      <w:pPr>
        <w:jc w:val="center"/>
      </w:pPr>
      <w:r>
        <w:rPr>
          <w:i/>
          <w:color w:val="5A5A5A"/>
          <w:sz w:val="17"/>
        </w:rPr>
        <w:t>Figura 10. Flujo del modo de seguridad personal.</w:t>
      </w:r>
    </w:p>
    <w:p>
      <w:r>
        <w:t>Para mantener el MVP ejecutable sin claves de terceros, las notificaciones se consultan mediante polling mientras la app está abierta. FCM puede añadirse cuando exista un proyecto Firebase real; el paquete no incluye claves inventadas ni compartidas.</w:t>
      </w:r>
    </w:p>
    <w:p>
      <w:pPr>
        <w:pStyle w:val="Heading1"/>
      </w:pPr>
      <w:r>
        <w:t>8. Base de datos y retención</w:t>
      </w:r>
    </w:p>
    <w:p>
      <w:r>
        <w:t>PostgreSQL/PostGIS es el motor recomendado. La app móvil nunca se conecta directamente al motor; toda operación pasa por la API. El esquema SQL se entrega en database/init/01_schema.sql y se crea automáticamente al iniciar una base nueva con Docker Compose.</w:t>
      </w:r>
    </w:p>
    <w:p>
      <w:pPr>
        <w:jc w:val="center"/>
      </w:pPr>
      <w:r>
        <w:drawing>
          <wp:inline xmlns:a="http://schemas.openxmlformats.org/drawingml/2006/main" xmlns:pic="http://schemas.openxmlformats.org/drawingml/2006/picture">
            <wp:extent cx="5669280" cy="5515363"/>
            <wp:docPr id="11" name="Picture 11"/>
            <wp:cNvGraphicFramePr>
              <a:graphicFrameLocks noChangeAspect="1"/>
            </wp:cNvGraphicFramePr>
            <a:graphic>
              <a:graphicData uri="http://schemas.openxmlformats.org/drawingml/2006/picture">
                <pic:pic>
                  <pic:nvPicPr>
                    <pic:cNvPr id="0" name="05_vault_retencion_deslizante.png"/>
                    <pic:cNvPicPr/>
                  </pic:nvPicPr>
                  <pic:blipFill>
                    <a:blip r:embed="rId21"/>
                    <a:stretch>
                      <a:fillRect/>
                    </a:stretch>
                  </pic:blipFill>
                  <pic:spPr>
                    <a:xfrm>
                      <a:off x="0" y="0"/>
                      <a:ext cx="5669280" cy="5515363"/>
                    </a:xfrm>
                    <a:prstGeom prst="rect"/>
                  </pic:spPr>
                </pic:pic>
              </a:graphicData>
            </a:graphic>
          </wp:inline>
        </w:drawing>
      </w:r>
    </w:p>
    <w:p>
      <w:pPr>
        <w:jc w:val="center"/>
      </w:pPr>
      <w:r>
        <w:rPr>
          <w:i/>
          <w:color w:val="5A5A5A"/>
          <w:sz w:val="17"/>
        </w:rPr>
        <w:t>Figura 11. Ventana móvil y retención deslizante del Emergency Location Vault.</w:t>
      </w:r>
    </w:p>
    <w:p>
      <w:pPr>
        <w:pStyle w:val="ListBullet"/>
      </w:pPr>
      <w:r>
        <w:t>Cada checkpoint tiene expires_at propio.</w:t>
      </w:r>
    </w:p>
    <w:p>
      <w:pPr>
        <w:pStyle w:val="ListBullet"/>
      </w:pPr>
      <w:r>
        <w:t>El scheduler de backend elimina únicamente puntos vencidos.</w:t>
      </w:r>
    </w:p>
    <w:p>
      <w:pPr>
        <w:pStyle w:val="ListBullet"/>
      </w:pPr>
      <w:r>
        <w:t>incident_hold conserva temporalmente un punto cuando existe evento o quórum legítimo.</w:t>
      </w:r>
    </w:p>
    <w:p>
      <w:pPr>
        <w:pStyle w:val="ListBullet"/>
      </w:pPr>
      <w:r>
        <w:t>coarse_lat/coarse_lon permiten prefiltrado aproximado de laboratorio; la ubicación exacta permanece cifrada.</w:t>
      </w:r>
    </w:p>
    <w:p>
      <w:pPr>
        <w:pStyle w:val="Heading1"/>
      </w:pPr>
      <w:r>
        <w:t>9. Escenarios de prueba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3435E"/>
          </w:tcPr>
          <w:p>
            <w:r/>
            <w:r>
              <w:rPr>
                <w:b/>
                <w:color w:val="FFFFFF"/>
                <w:sz w:val="17"/>
              </w:rPr>
              <w:t>ID</w:t>
            </w:r>
          </w:p>
        </w:tc>
        <w:tc>
          <w:tcPr>
            <w:tcW w:type="dxa" w:w="3389"/>
            <w:vAlign w:val="center"/>
            <w:shd w:fill="23435E"/>
          </w:tcPr>
          <w:p>
            <w:r/>
            <w:r>
              <w:rPr>
                <w:b/>
                <w:color w:val="FFFFFF"/>
                <w:sz w:val="17"/>
              </w:rPr>
              <w:t>Escenario</w:t>
            </w:r>
          </w:p>
        </w:tc>
        <w:tc>
          <w:tcPr>
            <w:tcW w:type="dxa" w:w="3389"/>
            <w:vAlign w:val="center"/>
            <w:shd w:fill="23435E"/>
          </w:tcPr>
          <w:p>
            <w:r/>
            <w:r>
              <w:rPr>
                <w:b/>
                <w:color w:val="FFFFFF"/>
                <w:sz w:val="17"/>
              </w:rPr>
              <w:t>Resultado esperado</w:t>
            </w:r>
          </w:p>
        </w:tc>
      </w:tr>
      <w:tr>
        <w:tc>
          <w:tcPr>
            <w:tcW w:type="dxa" w:w="3389"/>
            <w:vAlign w:val="center"/>
          </w:tcPr>
          <w:p>
            <w:r/>
            <w:r>
              <w:rPr>
                <w:b w:val="0"/>
                <w:sz w:val="17"/>
              </w:rPr>
              <w:t>E01</w:t>
            </w:r>
          </w:p>
        </w:tc>
        <w:tc>
          <w:tcPr>
            <w:tcW w:type="dxa" w:w="3389"/>
            <w:vAlign w:val="center"/>
          </w:tcPr>
          <w:p>
            <w:r/>
            <w:r>
              <w:rPr>
                <w:b w:val="0"/>
                <w:sz w:val="17"/>
              </w:rPr>
              <w:t>Sismo TEST M6.6 en zona</w:t>
            </w:r>
          </w:p>
        </w:tc>
        <w:tc>
          <w:tcPr>
            <w:tcW w:type="dxa" w:w="3389"/>
            <w:vAlign w:val="center"/>
          </w:tcPr>
          <w:p>
            <w:r/>
            <w:r>
              <w:rPr>
                <w:b w:val="0"/>
                <w:sz w:val="17"/>
              </w:rPr>
              <w:t>Safety Check automático</w:t>
            </w:r>
          </w:p>
        </w:tc>
      </w:tr>
      <w:tr>
        <w:tc>
          <w:tcPr>
            <w:tcW w:type="dxa" w:w="3389"/>
            <w:vAlign w:val="center"/>
          </w:tcPr>
          <w:p>
            <w:r/>
            <w:r>
              <w:rPr>
                <w:b w:val="0"/>
                <w:sz w:val="17"/>
              </w:rPr>
              <w:t>E02</w:t>
            </w:r>
          </w:p>
        </w:tc>
        <w:tc>
          <w:tcPr>
            <w:tcW w:type="dxa" w:w="3389"/>
            <w:vAlign w:val="center"/>
          </w:tcPr>
          <w:p>
            <w:r/>
            <w:r>
              <w:rPr>
                <w:b w:val="0"/>
                <w:sz w:val="17"/>
              </w:rPr>
              <w:t>Deslizamiento TEST</w:t>
            </w:r>
          </w:p>
        </w:tc>
        <w:tc>
          <w:tcPr>
            <w:tcW w:type="dxa" w:w="3389"/>
            <w:vAlign w:val="center"/>
          </w:tcPr>
          <w:p>
            <w:r/>
            <w:r>
              <w:rPr>
                <w:b w:val="0"/>
                <w:sz w:val="17"/>
              </w:rPr>
              <w:t>Mismo motor multiamenaza</w:t>
            </w:r>
          </w:p>
        </w:tc>
      </w:tr>
      <w:tr>
        <w:tc>
          <w:tcPr>
            <w:tcW w:type="dxa" w:w="3389"/>
            <w:vAlign w:val="center"/>
          </w:tcPr>
          <w:p>
            <w:r/>
            <w:r>
              <w:rPr>
                <w:b w:val="0"/>
                <w:sz w:val="17"/>
              </w:rPr>
              <w:t>E03</w:t>
            </w:r>
          </w:p>
        </w:tc>
        <w:tc>
          <w:tcPr>
            <w:tcW w:type="dxa" w:w="3389"/>
            <w:vAlign w:val="center"/>
          </w:tcPr>
          <w:p>
            <w:r/>
            <w:r>
              <w:rPr>
                <w:b w:val="0"/>
                <w:sz w:val="17"/>
              </w:rPr>
              <w:t>Inundación TEST</w:t>
            </w:r>
          </w:p>
        </w:tc>
        <w:tc>
          <w:tcPr>
            <w:tcW w:type="dxa" w:w="3389"/>
            <w:vAlign w:val="center"/>
          </w:tcPr>
          <w:p>
            <w:r/>
            <w:r>
              <w:rPr>
                <w:b w:val="0"/>
                <w:sz w:val="17"/>
              </w:rPr>
              <w:t>Mismo motor multiamenaza</w:t>
            </w:r>
          </w:p>
        </w:tc>
      </w:tr>
      <w:tr>
        <w:tc>
          <w:tcPr>
            <w:tcW w:type="dxa" w:w="3389"/>
            <w:vAlign w:val="center"/>
          </w:tcPr>
          <w:p>
            <w:r/>
            <w:r>
              <w:rPr>
                <w:b w:val="0"/>
                <w:sz w:val="17"/>
              </w:rPr>
              <w:t>E04</w:t>
            </w:r>
          </w:p>
        </w:tc>
        <w:tc>
          <w:tcPr>
            <w:tcW w:type="dxa" w:w="3389"/>
            <w:vAlign w:val="center"/>
          </w:tcPr>
          <w:p>
            <w:r/>
            <w:r>
              <w:rPr>
                <w:b w:val="0"/>
                <w:sz w:val="17"/>
              </w:rPr>
              <w:t>Usuario SAFE</w:t>
            </w:r>
          </w:p>
        </w:tc>
        <w:tc>
          <w:tcPr>
            <w:tcW w:type="dxa" w:w="3389"/>
            <w:vAlign w:val="center"/>
          </w:tcPr>
          <w:p>
            <w:r/>
            <w:r>
              <w:rPr>
                <w:b w:val="0"/>
                <w:sz w:val="17"/>
              </w:rPr>
              <w:t>Contactos reciben confirmación</w:t>
            </w:r>
          </w:p>
        </w:tc>
      </w:tr>
      <w:tr>
        <w:tc>
          <w:tcPr>
            <w:tcW w:type="dxa" w:w="3389"/>
            <w:vAlign w:val="center"/>
          </w:tcPr>
          <w:p>
            <w:r/>
            <w:r>
              <w:rPr>
                <w:b w:val="0"/>
                <w:sz w:val="17"/>
              </w:rPr>
              <w:t>E05</w:t>
            </w:r>
          </w:p>
        </w:tc>
        <w:tc>
          <w:tcPr>
            <w:tcW w:type="dxa" w:w="3389"/>
            <w:vAlign w:val="center"/>
          </w:tcPr>
          <w:p>
            <w:r/>
            <w:r>
              <w:rPr>
                <w:b w:val="0"/>
                <w:sz w:val="17"/>
              </w:rPr>
              <w:t>Usuario HELP_REQUIRED</w:t>
            </w:r>
          </w:p>
        </w:tc>
        <w:tc>
          <w:tcPr>
            <w:tcW w:type="dxa" w:w="3389"/>
            <w:vAlign w:val="center"/>
          </w:tcPr>
          <w:p>
            <w:r/>
            <w:r>
              <w:rPr>
                <w:b w:val="0"/>
                <w:sz w:val="17"/>
              </w:rPr>
              <w:t>Escalamiento de ayuda</w:t>
            </w:r>
          </w:p>
        </w:tc>
      </w:tr>
      <w:tr>
        <w:tc>
          <w:tcPr>
            <w:tcW w:type="dxa" w:w="3389"/>
            <w:vAlign w:val="center"/>
          </w:tcPr>
          <w:p>
            <w:r/>
            <w:r>
              <w:rPr>
                <w:b w:val="0"/>
                <w:sz w:val="17"/>
              </w:rPr>
              <w:t>E06</w:t>
            </w:r>
          </w:p>
        </w:tc>
        <w:tc>
          <w:tcPr>
            <w:tcW w:type="dxa" w:w="3389"/>
            <w:vAlign w:val="center"/>
          </w:tcPr>
          <w:p>
            <w:r/>
            <w:r>
              <w:rPr>
                <w:b w:val="0"/>
                <w:sz w:val="17"/>
              </w:rPr>
              <w:t>Sin respuesta</w:t>
            </w:r>
          </w:p>
        </w:tc>
        <w:tc>
          <w:tcPr>
            <w:tcW w:type="dxa" w:w="3389"/>
            <w:vAlign w:val="center"/>
          </w:tcPr>
          <w:p>
            <w:r/>
            <w:r>
              <w:rPr>
                <w:b w:val="0"/>
                <w:sz w:val="17"/>
              </w:rPr>
              <w:t>No se declara desaparición</w:t>
            </w:r>
          </w:p>
        </w:tc>
      </w:tr>
      <w:tr>
        <w:tc>
          <w:tcPr>
            <w:tcW w:type="dxa" w:w="3389"/>
            <w:vAlign w:val="center"/>
          </w:tcPr>
          <w:p>
            <w:r/>
            <w:r>
              <w:rPr>
                <w:b w:val="0"/>
                <w:sz w:val="17"/>
              </w:rPr>
              <w:t>E07</w:t>
            </w:r>
          </w:p>
        </w:tc>
        <w:tc>
          <w:tcPr>
            <w:tcW w:type="dxa" w:w="3389"/>
            <w:vAlign w:val="center"/>
          </w:tcPr>
          <w:p>
            <w:r/>
            <w:r>
              <w:rPr>
                <w:b w:val="0"/>
                <w:sz w:val="17"/>
              </w:rPr>
              <w:t>Mamá solicita verificación</w:t>
            </w:r>
          </w:p>
        </w:tc>
        <w:tc>
          <w:tcPr>
            <w:tcW w:type="dxa" w:w="3389"/>
            <w:vAlign w:val="center"/>
          </w:tcPr>
          <w:p>
            <w:r/>
            <w:r>
              <w:rPr>
                <w:b w:val="0"/>
                <w:sz w:val="17"/>
              </w:rPr>
              <w:t>Se envía check-in</w:t>
            </w:r>
          </w:p>
        </w:tc>
      </w:tr>
      <w:tr>
        <w:tc>
          <w:tcPr>
            <w:tcW w:type="dxa" w:w="3389"/>
            <w:vAlign w:val="center"/>
          </w:tcPr>
          <w:p>
            <w:r/>
            <w:r>
              <w:rPr>
                <w:b w:val="0"/>
                <w:sz w:val="17"/>
              </w:rPr>
              <w:t>E08</w:t>
            </w:r>
          </w:p>
        </w:tc>
        <w:tc>
          <w:tcPr>
            <w:tcW w:type="dxa" w:w="3389"/>
            <w:vAlign w:val="center"/>
          </w:tcPr>
          <w:p>
            <w:r/>
            <w:r>
              <w:rPr>
                <w:b w:val="0"/>
                <w:sz w:val="17"/>
              </w:rPr>
              <w:t>Un contacto sin quórum</w:t>
            </w:r>
          </w:p>
        </w:tc>
        <w:tc>
          <w:tcPr>
            <w:tcW w:type="dxa" w:w="3389"/>
            <w:vAlign w:val="center"/>
          </w:tcPr>
          <w:p>
            <w:r/>
            <w:r>
              <w:rPr>
                <w:b w:val="0"/>
                <w:sz w:val="17"/>
              </w:rPr>
              <w:t>No libera contexto por sí solo</w:t>
            </w:r>
          </w:p>
        </w:tc>
      </w:tr>
      <w:tr>
        <w:tc>
          <w:tcPr>
            <w:tcW w:type="dxa" w:w="3389"/>
            <w:vAlign w:val="center"/>
          </w:tcPr>
          <w:p>
            <w:r/>
            <w:r>
              <w:rPr>
                <w:b w:val="0"/>
                <w:sz w:val="17"/>
              </w:rPr>
              <w:t>E09</w:t>
            </w:r>
          </w:p>
        </w:tc>
        <w:tc>
          <w:tcPr>
            <w:tcW w:type="dxa" w:w="3389"/>
            <w:vAlign w:val="center"/>
          </w:tcPr>
          <w:p>
            <w:r/>
            <w:r>
              <w:rPr>
                <w:b w:val="0"/>
                <w:sz w:val="17"/>
              </w:rPr>
              <w:t>Segundo contacto confirma</w:t>
            </w:r>
          </w:p>
        </w:tc>
        <w:tc>
          <w:tcPr>
            <w:tcW w:type="dxa" w:w="3389"/>
            <w:vAlign w:val="center"/>
          </w:tcPr>
          <w:p>
            <w:r/>
            <w:r>
              <w:rPr>
                <w:b w:val="0"/>
                <w:sz w:val="17"/>
              </w:rPr>
              <w:t>TRUSTED_QUORUM_MET</w:t>
            </w:r>
          </w:p>
        </w:tc>
      </w:tr>
      <w:tr>
        <w:tc>
          <w:tcPr>
            <w:tcW w:type="dxa" w:w="3389"/>
            <w:vAlign w:val="center"/>
          </w:tcPr>
          <w:p>
            <w:r/>
            <w:r>
              <w:rPr>
                <w:b w:val="0"/>
                <w:sz w:val="17"/>
              </w:rPr>
              <w:t>E10</w:t>
            </w:r>
          </w:p>
        </w:tc>
        <w:tc>
          <w:tcPr>
            <w:tcW w:type="dxa" w:w="3389"/>
            <w:vAlign w:val="center"/>
          </w:tcPr>
          <w:p>
            <w:r/>
            <w:r>
              <w:rPr>
                <w:b w:val="0"/>
                <w:sz w:val="17"/>
              </w:rPr>
              <w:t>Teléfono con checkpoint previo</w:t>
            </w:r>
          </w:p>
        </w:tc>
        <w:tc>
          <w:tcPr>
            <w:tcW w:type="dxa" w:w="3389"/>
            <w:vAlign w:val="center"/>
          </w:tcPr>
          <w:p>
            <w:r/>
            <w:r>
              <w:rPr>
                <w:b w:val="0"/>
                <w:sz w:val="17"/>
              </w:rPr>
              <w:t>Se conserva última referencia</w:t>
            </w:r>
          </w:p>
        </w:tc>
      </w:tr>
      <w:tr>
        <w:tc>
          <w:tcPr>
            <w:tcW w:type="dxa" w:w="3389"/>
            <w:vAlign w:val="center"/>
          </w:tcPr>
          <w:p>
            <w:r/>
            <w:r>
              <w:rPr>
                <w:b w:val="0"/>
                <w:sz w:val="17"/>
              </w:rPr>
              <w:t>E11</w:t>
            </w:r>
          </w:p>
        </w:tc>
        <w:tc>
          <w:tcPr>
            <w:tcW w:type="dxa" w:w="3389"/>
            <w:vAlign w:val="center"/>
          </w:tcPr>
          <w:p>
            <w:r/>
            <w:r>
              <w:rPr>
                <w:b w:val="0"/>
                <w:sz w:val="17"/>
              </w:rPr>
              <w:t>TTL vencido</w:t>
            </w:r>
          </w:p>
        </w:tc>
        <w:tc>
          <w:tcPr>
            <w:tcW w:type="dxa" w:w="3389"/>
            <w:vAlign w:val="center"/>
          </w:tcPr>
          <w:p>
            <w:r/>
            <w:r>
              <w:rPr>
                <w:b w:val="0"/>
                <w:sz w:val="17"/>
              </w:rPr>
              <w:t>Se borra solo ese registro</w:t>
            </w:r>
          </w:p>
        </w:tc>
      </w:tr>
      <w:tr>
        <w:tc>
          <w:tcPr>
            <w:tcW w:type="dxa" w:w="3389"/>
            <w:vAlign w:val="center"/>
          </w:tcPr>
          <w:p>
            <w:r/>
            <w:r>
              <w:rPr>
                <w:b w:val="0"/>
                <w:sz w:val="17"/>
              </w:rPr>
              <w:t>E12</w:t>
            </w:r>
          </w:p>
        </w:tc>
        <w:tc>
          <w:tcPr>
            <w:tcW w:type="dxa" w:w="3389"/>
            <w:vAlign w:val="center"/>
          </w:tcPr>
          <w:p>
            <w:r/>
            <w:r>
              <w:rPr>
                <w:b w:val="0"/>
                <w:sz w:val="17"/>
              </w:rPr>
              <w:t>Incident hold activo</w:t>
            </w:r>
          </w:p>
        </w:tc>
        <w:tc>
          <w:tcPr>
            <w:tcW w:type="dxa" w:w="3389"/>
            <w:vAlign w:val="center"/>
          </w:tcPr>
          <w:p>
            <w:r/>
            <w:r>
              <w:rPr>
                <w:b w:val="0"/>
                <w:sz w:val="17"/>
              </w:rPr>
              <w:t>No borra mientras la retención sea válida</w:t>
            </w:r>
          </w:p>
        </w:tc>
      </w:tr>
      <w:tr>
        <w:tc>
          <w:tcPr>
            <w:tcW w:type="dxa" w:w="3389"/>
            <w:vAlign w:val="center"/>
          </w:tcPr>
          <w:p>
            <w:r/>
            <w:r>
              <w:rPr>
                <w:b w:val="0"/>
                <w:sz w:val="17"/>
              </w:rPr>
              <w:t>E13</w:t>
            </w:r>
          </w:p>
        </w:tc>
        <w:tc>
          <w:tcPr>
            <w:tcW w:type="dxa" w:w="3389"/>
            <w:vAlign w:val="center"/>
          </w:tcPr>
          <w:p>
            <w:r/>
            <w:r>
              <w:rPr>
                <w:b w:val="0"/>
                <w:sz w:val="17"/>
              </w:rPr>
              <w:t>Acceso no autorizado</w:t>
            </w:r>
          </w:p>
        </w:tc>
        <w:tc>
          <w:tcPr>
            <w:tcW w:type="dxa" w:w="3389"/>
            <w:vAlign w:val="center"/>
          </w:tcPr>
          <w:p>
            <w:r/>
            <w:r>
              <w:rPr>
                <w:b w:val="0"/>
                <w:sz w:val="17"/>
              </w:rPr>
              <w:t>HTTP 403 + auditoría</w:t>
            </w:r>
          </w:p>
        </w:tc>
      </w:tr>
      <w:tr>
        <w:tc>
          <w:tcPr>
            <w:tcW w:type="dxa" w:w="3389"/>
            <w:vAlign w:val="center"/>
          </w:tcPr>
          <w:p>
            <w:r/>
            <w:r>
              <w:rPr>
                <w:b w:val="0"/>
                <w:sz w:val="17"/>
              </w:rPr>
              <w:t>E14</w:t>
            </w:r>
          </w:p>
        </w:tc>
        <w:tc>
          <w:tcPr>
            <w:tcW w:type="dxa" w:w="3389"/>
            <w:vAlign w:val="center"/>
          </w:tcPr>
          <w:p>
            <w:r/>
            <w:r>
              <w:rPr>
                <w:b w:val="0"/>
                <w:sz w:val="17"/>
              </w:rPr>
              <w:t>Personal Safety Mode</w:t>
            </w:r>
          </w:p>
        </w:tc>
        <w:tc>
          <w:tcPr>
            <w:tcW w:type="dxa" w:w="3389"/>
            <w:vAlign w:val="center"/>
          </w:tcPr>
          <w:p>
            <w:r/>
            <w:r>
              <w:rPr>
                <w:b w:val="0"/>
                <w:sz w:val="17"/>
              </w:rPr>
              <w:t>Notifica contactos elegidos</w:t>
            </w:r>
          </w:p>
        </w:tc>
      </w:tr>
      <w:tr>
        <w:tc>
          <w:tcPr>
            <w:tcW w:type="dxa" w:w="3389"/>
            <w:vAlign w:val="center"/>
          </w:tcPr>
          <w:p>
            <w:r/>
            <w:r>
              <w:rPr>
                <w:b w:val="0"/>
                <w:sz w:val="17"/>
              </w:rPr>
              <w:t>E15</w:t>
            </w:r>
          </w:p>
        </w:tc>
        <w:tc>
          <w:tcPr>
            <w:tcW w:type="dxa" w:w="3389"/>
            <w:vAlign w:val="center"/>
          </w:tcPr>
          <w:p>
            <w:r/>
            <w:r>
              <w:rPr>
                <w:b w:val="0"/>
                <w:sz w:val="17"/>
              </w:rPr>
              <w:t>SIRDEC Open Data</w:t>
            </w:r>
          </w:p>
        </w:tc>
        <w:tc>
          <w:tcPr>
            <w:tcW w:type="dxa" w:w="3389"/>
            <w:vAlign w:val="center"/>
          </w:tcPr>
          <w:p>
            <w:r/>
            <w:r>
              <w:rPr>
                <w:b w:val="0"/>
                <w:sz w:val="17"/>
              </w:rPr>
              <w:t>Muestra fuente/corte</w:t>
            </w:r>
          </w:p>
        </w:tc>
      </w:tr>
      <w:tr>
        <w:tc>
          <w:tcPr>
            <w:tcW w:type="dxa" w:w="3389"/>
            <w:vAlign w:val="center"/>
          </w:tcPr>
          <w:p>
            <w:r/>
            <w:r>
              <w:rPr>
                <w:b w:val="0"/>
                <w:sz w:val="17"/>
              </w:rPr>
              <w:t>E16</w:t>
            </w:r>
          </w:p>
        </w:tc>
        <w:tc>
          <w:tcPr>
            <w:tcW w:type="dxa" w:w="3389"/>
            <w:vAlign w:val="center"/>
          </w:tcPr>
          <w:p>
            <w:r/>
            <w:r>
              <w:rPr>
                <w:b w:val="0"/>
                <w:sz w:val="17"/>
              </w:rPr>
              <w:t>SICLICO</w:t>
            </w:r>
          </w:p>
        </w:tc>
        <w:tc>
          <w:tcPr>
            <w:tcW w:type="dxa" w:w="3389"/>
            <w:vAlign w:val="center"/>
          </w:tcPr>
          <w:p>
            <w:r/>
            <w:r>
              <w:rPr>
                <w:b w:val="0"/>
                <w:sz w:val="17"/>
              </w:rPr>
              <w:t>Abre portal oficial</w:t>
            </w:r>
          </w:p>
        </w:tc>
      </w:tr>
      <w:tr>
        <w:tc>
          <w:tcPr>
            <w:tcW w:type="dxa" w:w="3389"/>
            <w:vAlign w:val="center"/>
          </w:tcPr>
          <w:p>
            <w:r/>
            <w:r>
              <w:rPr>
                <w:b w:val="0"/>
                <w:sz w:val="17"/>
              </w:rPr>
              <w:t>E17</w:t>
            </w:r>
          </w:p>
        </w:tc>
        <w:tc>
          <w:tcPr>
            <w:tcW w:type="dxa" w:w="3389"/>
            <w:vAlign w:val="center"/>
          </w:tcPr>
          <w:p>
            <w:r/>
            <w:r>
              <w:rPr>
                <w:b w:val="0"/>
                <w:sz w:val="17"/>
              </w:rPr>
              <w:t>Caso app</w:t>
            </w:r>
          </w:p>
        </w:tc>
        <w:tc>
          <w:tcPr>
            <w:tcW w:type="dxa" w:w="3389"/>
            <w:vAlign w:val="center"/>
          </w:tcPr>
          <w:p>
            <w:r/>
            <w:r>
              <w:rPr>
                <w:b w:val="0"/>
                <w:sz w:val="17"/>
              </w:rPr>
              <w:t>No equivale a denuncia</w:t>
            </w:r>
          </w:p>
        </w:tc>
      </w:tr>
      <w:tr>
        <w:tc>
          <w:tcPr>
            <w:tcW w:type="dxa" w:w="3389"/>
            <w:vAlign w:val="center"/>
          </w:tcPr>
          <w:p>
            <w:r/>
            <w:r>
              <w:rPr>
                <w:b w:val="0"/>
                <w:sz w:val="17"/>
              </w:rPr>
              <w:t>E18</w:t>
            </w:r>
          </w:p>
        </w:tc>
        <w:tc>
          <w:tcPr>
            <w:tcW w:type="dxa" w:w="3389"/>
            <w:vAlign w:val="center"/>
          </w:tcPr>
          <w:p>
            <w:r/>
            <w:r>
              <w:rPr>
                <w:b w:val="0"/>
                <w:sz w:val="17"/>
              </w:rPr>
              <w:t>Referencia institucional</w:t>
            </w:r>
          </w:p>
        </w:tc>
        <w:tc>
          <w:tcPr>
            <w:tcW w:type="dxa" w:w="3389"/>
            <w:vAlign w:val="center"/>
          </w:tcPr>
          <w:p>
            <w:r/>
            <w:r>
              <w:rPr>
                <w:b w:val="0"/>
                <w:sz w:val="17"/>
              </w:rPr>
              <w:t>Se asocia radicado externo</w:t>
            </w:r>
          </w:p>
        </w:tc>
      </w:tr>
    </w:tbl>
    <w:p>
      <w:pPr>
        <w:jc w:val="center"/>
      </w:pPr>
      <w:r>
        <w:drawing>
          <wp:inline xmlns:a="http://schemas.openxmlformats.org/drawingml/2006/main" xmlns:pic="http://schemas.openxmlformats.org/drawingml/2006/picture">
            <wp:extent cx="5852160" cy="2872489"/>
            <wp:docPr id="12" name="Picture 12"/>
            <wp:cNvGraphicFramePr>
              <a:graphicFrameLocks noChangeAspect="1"/>
            </wp:cNvGraphicFramePr>
            <a:graphic>
              <a:graphicData uri="http://schemas.openxmlformats.org/drawingml/2006/picture">
                <pic:pic>
                  <pic:nvPicPr>
                    <pic:cNvPr id="0" name="11_secuencia_evento.png"/>
                    <pic:cNvPicPr/>
                  </pic:nvPicPr>
                  <pic:blipFill>
                    <a:blip r:embed="rId22"/>
                    <a:stretch>
                      <a:fillRect/>
                    </a:stretch>
                  </pic:blipFill>
                  <pic:spPr>
                    <a:xfrm>
                      <a:off x="0" y="0"/>
                      <a:ext cx="5852160" cy="2872489"/>
                    </a:xfrm>
                    <a:prstGeom prst="rect"/>
                  </pic:spPr>
                </pic:pic>
              </a:graphicData>
            </a:graphic>
          </wp:inline>
        </w:drawing>
      </w:r>
    </w:p>
    <w:p>
      <w:pPr>
        <w:jc w:val="center"/>
      </w:pPr>
      <w:r>
        <w:rPr>
          <w:i/>
          <w:color w:val="5A5A5A"/>
          <w:sz w:val="17"/>
        </w:rPr>
        <w:t>Figura 12. Secuencia de evento, correlación, check-in y escalamiento.</w:t>
      </w:r>
    </w:p>
    <w:p>
      <w:pPr>
        <w:pStyle w:val="Heading1"/>
      </w:pPr>
      <w:r>
        <w:t>10. Instalación y ejecución</w:t>
      </w:r>
    </w:p>
    <w:p>
      <w:pPr>
        <w:pStyle w:val="ListBullet"/>
      </w:pPr>
      <w:r>
        <w:t>Instalar Docker Desktop, Git, VS Code, Flutter y Android Studio SDK.</w:t>
      </w:r>
    </w:p>
    <w:p>
      <w:pPr>
        <w:pStyle w:val="ListBullet"/>
      </w:pPr>
      <w:r>
        <w:t>Copiar .env.demo a .env para laboratorio.</w:t>
      </w:r>
    </w:p>
    <w:p>
      <w:pPr>
        <w:pStyle w:val="ListBullet"/>
      </w:pPr>
      <w:r>
        <w:t>Ejecutar docker compose up -d --build.</w:t>
      </w:r>
    </w:p>
    <w:p>
      <w:pPr>
        <w:pStyle w:val="ListBullet"/>
      </w:pPr>
      <w:r>
        <w:t>Ejecutar docker compose exec api python -m app.seed.</w:t>
      </w:r>
    </w:p>
    <w:p>
      <w:pPr>
        <w:pStyle w:val="ListBullet"/>
      </w:pPr>
      <w:r>
        <w:t>Abrir http://localhost:8000/docs.</w:t>
      </w:r>
    </w:p>
    <w:p>
      <w:pPr>
        <w:pStyle w:val="ListBullet"/>
      </w:pPr>
      <w:r>
        <w:t>Importar postman/WithYou_MVP.postman_collection.json.</w:t>
      </w:r>
    </w:p>
    <w:p>
      <w:pPr>
        <w:pStyle w:val="ListBullet"/>
      </w:pPr>
      <w:r>
        <w:t>En mobile/: flutter create . --platforms=android,ios --project-name with_you, luego flutter pub get.</w:t>
      </w:r>
    </w:p>
    <w:p>
      <w:pPr>
        <w:pStyle w:val="ListBullet"/>
      </w:pPr>
      <w:r>
        <w:t>Ejecutar con API_BASE_URL apuntando a 10.0.2.2 en emulador o a la IP LAN del PC en dispositivo físico.</w:t>
      </w:r>
    </w:p>
    <w:p>
      <w:pPr>
        <w:jc w:val="center"/>
      </w:pPr>
      <w:r>
        <w:drawing>
          <wp:inline xmlns:a="http://schemas.openxmlformats.org/drawingml/2006/main" xmlns:pic="http://schemas.openxmlformats.org/drawingml/2006/picture">
            <wp:extent cx="5852160" cy="1482900"/>
            <wp:docPr id="13" name="Picture 13"/>
            <wp:cNvGraphicFramePr>
              <a:graphicFrameLocks noChangeAspect="1"/>
            </wp:cNvGraphicFramePr>
            <a:graphic>
              <a:graphicData uri="http://schemas.openxmlformats.org/drawingml/2006/picture">
                <pic:pic>
                  <pic:nvPicPr>
                    <pic:cNvPr id="0" name="20_mvp_local_implementado.png"/>
                    <pic:cNvPicPr/>
                  </pic:nvPicPr>
                  <pic:blipFill>
                    <a:blip r:embed="rId11"/>
                    <a:stretch>
                      <a:fillRect/>
                    </a:stretch>
                  </pic:blipFill>
                  <pic:spPr>
                    <a:xfrm>
                      <a:off x="0" y="0"/>
                      <a:ext cx="5852160" cy="1482900"/>
                    </a:xfrm>
                    <a:prstGeom prst="rect"/>
                  </pic:spPr>
                </pic:pic>
              </a:graphicData>
            </a:graphic>
          </wp:inline>
        </w:drawing>
      </w:r>
    </w:p>
    <w:p>
      <w:pPr>
        <w:jc w:val="center"/>
      </w:pPr>
      <w:r>
        <w:rPr>
          <w:i/>
          <w:color w:val="5A5A5A"/>
          <w:sz w:val="17"/>
        </w:rPr>
        <w:t>Figura 13. Entorno local implementado; la arquitectura HA/DR objetivo se documenta en el anteproyecto.</w:t>
      </w:r>
    </w:p>
    <w:p>
      <w:pPr>
        <w:pStyle w:val="Heading1"/>
      </w:pPr>
      <w:r>
        <w:t>11. Evidencia de validación</w:t>
      </w:r>
    </w:p>
    <w:p>
      <w:r>
        <w:t>El backend se compiló con compileall y se ejecutó con pytest. Las pruebas automatizadas cubren el flujo central y el normalizador SGC mediante fixtures. El resultado de la construcción del paquete fue 2 pruebas aprobadas, sin fallos.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3435E"/>
          </w:tcPr>
          <w:p>
            <w:r/>
            <w:r>
              <w:rPr>
                <w:b/>
                <w:color w:val="FFFFFF"/>
                <w:sz w:val="17"/>
              </w:rPr>
              <w:t>Prueba</w:t>
            </w:r>
          </w:p>
        </w:tc>
        <w:tc>
          <w:tcPr>
            <w:tcW w:type="dxa" w:w="5083"/>
            <w:vAlign w:val="center"/>
            <w:shd w:fill="23435E"/>
          </w:tcPr>
          <w:p>
            <w:r/>
            <w:r>
              <w:rPr>
                <w:b/>
                <w:color w:val="FFFFFF"/>
                <w:sz w:val="17"/>
              </w:rPr>
              <w:t>Resultado</w:t>
            </w:r>
          </w:p>
        </w:tc>
      </w:tr>
      <w:tr>
        <w:tc>
          <w:tcPr>
            <w:tcW w:type="dxa" w:w="5083"/>
            <w:vAlign w:val="center"/>
          </w:tcPr>
          <w:p>
            <w:r/>
            <w:r>
              <w:rPr>
                <w:b w:val="0"/>
                <w:sz w:val="17"/>
              </w:rPr>
              <w:t>Autenticación y registro</w:t>
            </w:r>
          </w:p>
        </w:tc>
        <w:tc>
          <w:tcPr>
            <w:tcW w:type="dxa" w:w="5083"/>
            <w:vAlign w:val="center"/>
          </w:tcPr>
          <w:p>
            <w:r/>
            <w:r>
              <w:rPr>
                <w:b w:val="0"/>
                <w:sz w:val="17"/>
              </w:rPr>
              <w:t>OK</w:t>
            </w:r>
          </w:p>
        </w:tc>
      </w:tr>
      <w:tr>
        <w:tc>
          <w:tcPr>
            <w:tcW w:type="dxa" w:w="5083"/>
            <w:vAlign w:val="center"/>
          </w:tcPr>
          <w:p>
            <w:r/>
            <w:r>
              <w:rPr>
                <w:b w:val="0"/>
                <w:sz w:val="17"/>
              </w:rPr>
              <w:t>Trusted Circle y aceptación</w:t>
            </w:r>
          </w:p>
        </w:tc>
        <w:tc>
          <w:tcPr>
            <w:tcW w:type="dxa" w:w="5083"/>
            <w:vAlign w:val="center"/>
          </w:tcPr>
          <w:p>
            <w:r/>
            <w:r>
              <w:rPr>
                <w:b w:val="0"/>
                <w:sz w:val="17"/>
              </w:rPr>
              <w:t>OK</w:t>
            </w:r>
          </w:p>
        </w:tc>
      </w:tr>
      <w:tr>
        <w:tc>
          <w:tcPr>
            <w:tcW w:type="dxa" w:w="5083"/>
            <w:vAlign w:val="center"/>
          </w:tcPr>
          <w:p>
            <w:r/>
            <w:r>
              <w:rPr>
                <w:b w:val="0"/>
                <w:sz w:val="17"/>
              </w:rPr>
              <w:t>Checkpoint cifrado</w:t>
            </w:r>
          </w:p>
        </w:tc>
        <w:tc>
          <w:tcPr>
            <w:tcW w:type="dxa" w:w="5083"/>
            <w:vAlign w:val="center"/>
          </w:tcPr>
          <w:p>
            <w:r/>
            <w:r>
              <w:rPr>
                <w:b w:val="0"/>
                <w:sz w:val="17"/>
              </w:rPr>
              <w:t>OK</w:t>
            </w:r>
          </w:p>
        </w:tc>
      </w:tr>
      <w:tr>
        <w:tc>
          <w:tcPr>
            <w:tcW w:type="dxa" w:w="5083"/>
            <w:vAlign w:val="center"/>
          </w:tcPr>
          <w:p>
            <w:r/>
            <w:r>
              <w:rPr>
                <w:b w:val="0"/>
                <w:sz w:val="17"/>
              </w:rPr>
              <w:t>Bloqueo de acceso no autorizado</w:t>
            </w:r>
          </w:p>
        </w:tc>
        <w:tc>
          <w:tcPr>
            <w:tcW w:type="dxa" w:w="5083"/>
            <w:vAlign w:val="center"/>
          </w:tcPr>
          <w:p>
            <w:r/>
            <w:r>
              <w:rPr>
                <w:b w:val="0"/>
                <w:sz w:val="17"/>
              </w:rPr>
              <w:t>OK - 403</w:t>
            </w:r>
          </w:p>
        </w:tc>
      </w:tr>
      <w:tr>
        <w:tc>
          <w:tcPr>
            <w:tcW w:type="dxa" w:w="5083"/>
            <w:vAlign w:val="center"/>
          </w:tcPr>
          <w:p>
            <w:r/>
            <w:r>
              <w:rPr>
                <w:b w:val="0"/>
                <w:sz w:val="17"/>
              </w:rPr>
              <w:t>Evento sísmico TEST y correlación</w:t>
            </w:r>
          </w:p>
        </w:tc>
        <w:tc>
          <w:tcPr>
            <w:tcW w:type="dxa" w:w="5083"/>
            <w:vAlign w:val="center"/>
          </w:tcPr>
          <w:p>
            <w:r/>
            <w:r>
              <w:rPr>
                <w:b w:val="0"/>
                <w:sz w:val="17"/>
              </w:rPr>
              <w:t>OK</w:t>
            </w:r>
          </w:p>
        </w:tc>
      </w:tr>
      <w:tr>
        <w:tc>
          <w:tcPr>
            <w:tcW w:type="dxa" w:w="5083"/>
            <w:vAlign w:val="center"/>
          </w:tcPr>
          <w:p>
            <w:r/>
            <w:r>
              <w:rPr>
                <w:b w:val="0"/>
                <w:sz w:val="17"/>
              </w:rPr>
              <w:t>Safety Check y respuesta SAFE</w:t>
            </w:r>
          </w:p>
        </w:tc>
        <w:tc>
          <w:tcPr>
            <w:tcW w:type="dxa" w:w="5083"/>
            <w:vAlign w:val="center"/>
          </w:tcPr>
          <w:p>
            <w:r/>
            <w:r>
              <w:rPr>
                <w:b w:val="0"/>
                <w:sz w:val="17"/>
              </w:rPr>
              <w:t>OK</w:t>
            </w:r>
          </w:p>
        </w:tc>
      </w:tr>
      <w:tr>
        <w:tc>
          <w:tcPr>
            <w:tcW w:type="dxa" w:w="5083"/>
            <w:vAlign w:val="center"/>
          </w:tcPr>
          <w:p>
            <w:r/>
            <w:r>
              <w:rPr>
                <w:b w:val="0"/>
                <w:sz w:val="17"/>
              </w:rPr>
              <w:t>Notificación a contacto</w:t>
            </w:r>
          </w:p>
        </w:tc>
        <w:tc>
          <w:tcPr>
            <w:tcW w:type="dxa" w:w="5083"/>
            <w:vAlign w:val="center"/>
          </w:tcPr>
          <w:p>
            <w:r/>
            <w:r>
              <w:rPr>
                <w:b w:val="0"/>
                <w:sz w:val="17"/>
              </w:rPr>
              <w:t>OK</w:t>
            </w:r>
          </w:p>
        </w:tc>
      </w:tr>
      <w:tr>
        <w:tc>
          <w:tcPr>
            <w:tcW w:type="dxa" w:w="5083"/>
            <w:vAlign w:val="center"/>
          </w:tcPr>
          <w:p>
            <w:r/>
            <w:r>
              <w:rPr>
                <w:b w:val="0"/>
                <w:sz w:val="17"/>
              </w:rPr>
              <w:t>Quórum 2-de-3</w:t>
            </w:r>
          </w:p>
        </w:tc>
        <w:tc>
          <w:tcPr>
            <w:tcW w:type="dxa" w:w="5083"/>
            <w:vAlign w:val="center"/>
          </w:tcPr>
          <w:p>
            <w:r/>
            <w:r>
              <w:rPr>
                <w:b w:val="0"/>
                <w:sz w:val="17"/>
              </w:rPr>
              <w:t>OK</w:t>
            </w:r>
          </w:p>
        </w:tc>
      </w:tr>
      <w:tr>
        <w:tc>
          <w:tcPr>
            <w:tcW w:type="dxa" w:w="5083"/>
            <w:vAlign w:val="center"/>
          </w:tcPr>
          <w:p>
            <w:r/>
            <w:r>
              <w:rPr>
                <w:b w:val="0"/>
                <w:sz w:val="17"/>
              </w:rPr>
              <w:t>Caso ciudadano + referencia institucional</w:t>
            </w:r>
          </w:p>
        </w:tc>
        <w:tc>
          <w:tcPr>
            <w:tcW w:type="dxa" w:w="5083"/>
            <w:vAlign w:val="center"/>
          </w:tcPr>
          <w:p>
            <w:r/>
            <w:r>
              <w:rPr>
                <w:b w:val="0"/>
                <w:sz w:val="17"/>
              </w:rPr>
              <w:t>OK</w:t>
            </w:r>
          </w:p>
        </w:tc>
      </w:tr>
      <w:tr>
        <w:tc>
          <w:tcPr>
            <w:tcW w:type="dxa" w:w="5083"/>
            <w:vAlign w:val="center"/>
          </w:tcPr>
          <w:p>
            <w:r/>
            <w:r>
              <w:rPr>
                <w:b w:val="0"/>
                <w:sz w:val="17"/>
              </w:rPr>
              <w:t>Personal Safety Mode</w:t>
            </w:r>
          </w:p>
        </w:tc>
        <w:tc>
          <w:tcPr>
            <w:tcW w:type="dxa" w:w="5083"/>
            <w:vAlign w:val="center"/>
          </w:tcPr>
          <w:p>
            <w:r/>
            <w:r>
              <w:rPr>
                <w:b w:val="0"/>
                <w:sz w:val="17"/>
              </w:rPr>
              <w:t>OK</w:t>
            </w:r>
          </w:p>
        </w:tc>
      </w:tr>
      <w:tr>
        <w:tc>
          <w:tcPr>
            <w:tcW w:type="dxa" w:w="5083"/>
            <w:vAlign w:val="center"/>
          </w:tcPr>
          <w:p>
            <w:r/>
            <w:r>
              <w:rPr>
                <w:b w:val="0"/>
                <w:sz w:val="17"/>
              </w:rPr>
              <w:t>TTL deslizante</w:t>
            </w:r>
          </w:p>
        </w:tc>
        <w:tc>
          <w:tcPr>
            <w:tcW w:type="dxa" w:w="5083"/>
            <w:vAlign w:val="center"/>
          </w:tcPr>
          <w:p>
            <w:r/>
            <w:r>
              <w:rPr>
                <w:b w:val="0"/>
                <w:sz w:val="17"/>
              </w:rPr>
              <w:t>OK</w:t>
            </w:r>
          </w:p>
        </w:tc>
      </w:tr>
      <w:tr>
        <w:tc>
          <w:tcPr>
            <w:tcW w:type="dxa" w:w="5083"/>
            <w:vAlign w:val="center"/>
          </w:tcPr>
          <w:p>
            <w:r/>
            <w:r>
              <w:rPr>
                <w:b w:val="0"/>
                <w:sz w:val="17"/>
              </w:rPr>
              <w:t>Parser ArcGIS SGC con fixture</w:t>
            </w:r>
          </w:p>
        </w:tc>
        <w:tc>
          <w:tcPr>
            <w:tcW w:type="dxa" w:w="5083"/>
            <w:vAlign w:val="center"/>
          </w:tcPr>
          <w:p>
            <w:r/>
            <w:r>
              <w:rPr>
                <w:b w:val="0"/>
                <w:sz w:val="17"/>
              </w:rPr>
              <w:t>OK</w:t>
            </w:r>
          </w:p>
        </w:tc>
      </w:tr>
    </w:tbl>
    <w:tbl>
      <w:tblPr>
        <w:tblStyle w:val="TableGrid"/>
        <w:tblW w:type="auto" w:w="0"/>
        <w:tblLook w:firstColumn="1" w:firstRow="1" w:lastColumn="0" w:lastRow="0" w:noHBand="0" w:noVBand="1" w:val="04A0"/>
      </w:tblPr>
      <w:tblGrid>
        <w:gridCol w:w="10166"/>
      </w:tblGrid>
      <w:tr>
        <w:tc>
          <w:tcPr>
            <w:tcW w:type="dxa" w:w="10166"/>
            <w:shd w:fill="EDF3F7"/>
            <w:vAlign w:val="center"/>
          </w:tcPr>
          <w:p>
            <w:r/>
            <w:r>
              <w:rPr>
                <w:b w:val="0"/>
                <w:color w:val="23435E"/>
                <w:sz w:val="19"/>
              </w:rPr>
              <w:t>No se validó la compilación Flutter en este entorno porque el SDK Flutter no estaba instalado. El código fuente móvil y pubspec se entregan listos para bootstrap; la ejecución debe verificarse en el equipo del proyecto después de instalar Flutter.</w:t>
            </w:r>
          </w:p>
        </w:tc>
      </w:tr>
    </w:tbl>
    <w:p>
      <w:pPr>
        <w:pStyle w:val="Heading1"/>
      </w:pPr>
      <w:r>
        <w:t>12. Límites y evolución</w:t>
      </w:r>
    </w:p>
    <w:p>
      <w:r>
        <w:t>El MVP demuestra viabilidad técnica y reglas de negocio centrales. No pretende ser un servicio nacional certificado. Antes de producción se requieren revisión jurídica, pruebas de seguridad adicionales, push en background con credenciales propias, TLS, hardening, rate limiting, MFA/passkeys, telemetría, pruebas de carga y acuerdos institucionales cuando se pretenda interoperabilidad operacional.</w:t>
      </w:r>
    </w:p>
    <w:p>
      <w:pPr>
        <w:jc w:val="center"/>
      </w:pPr>
      <w:r>
        <w:drawing>
          <wp:inline xmlns:a="http://schemas.openxmlformats.org/drawingml/2006/main" xmlns:pic="http://schemas.openxmlformats.org/drawingml/2006/picture">
            <wp:extent cx="5760720" cy="425056"/>
            <wp:docPr id="14" name="Picture 14"/>
            <wp:cNvGraphicFramePr>
              <a:graphicFrameLocks noChangeAspect="1"/>
            </wp:cNvGraphicFramePr>
            <a:graphic>
              <a:graphicData uri="http://schemas.openxmlformats.org/drawingml/2006/picture">
                <pic:pic>
                  <pic:nvPicPr>
                    <pic:cNvPr id="0" name="15_roadmap.png"/>
                    <pic:cNvPicPr/>
                  </pic:nvPicPr>
                  <pic:blipFill>
                    <a:blip r:embed="rId23"/>
                    <a:stretch>
                      <a:fillRect/>
                    </a:stretch>
                  </pic:blipFill>
                  <pic:spPr>
                    <a:xfrm>
                      <a:off x="0" y="0"/>
                      <a:ext cx="5760720" cy="425056"/>
                    </a:xfrm>
                    <a:prstGeom prst="rect"/>
                  </pic:spPr>
                </pic:pic>
              </a:graphicData>
            </a:graphic>
          </wp:inline>
        </w:drawing>
      </w:r>
    </w:p>
    <w:p>
      <w:pPr>
        <w:jc w:val="center"/>
      </w:pPr>
      <w:r>
        <w:rPr>
          <w:i/>
          <w:color w:val="5A5A5A"/>
          <w:sz w:val="17"/>
        </w:rPr>
        <w:t>Figura 14. Roadmap de evolución desde MVP académico hasta integraciones institucionales.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Ingeniería de Software | MVP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Documento técnico | With You - Plataforma Resiliente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3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6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D79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3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