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t xml:space="preserve">Budgeted Connected Case Segmentation for AML Investigation Case Generation</w:t>
      </w:r>
    </w:p>
    <w:p>
      <w:pPr>
        <w:spacing w:after="200"/>
        <w:jc w:val="center"/>
      </w:pPr>
      <w:r>
        <w:t xml:space="preserve">Anonymous Submission</w:t>
      </w:r>
    </w:p>
    <w:p>
      <w:pPr>
        <w:spacing w:after="100"/>
      </w:pPr>
      <w:r>
        <w:rPr>
          <w:rFonts w:ascii="Times New Roman" w:cs="Times New Roman" w:eastAsia="Times New Roman" w:hAnsi="Times New Roman"/>
          <w:b/>
          <w:bCs/>
          <w:sz w:val="20"/>
          <w:szCs w:val="20"/>
        </w:rPr>
        <w:t xml:space="preserve">Abstract</w:t>
      </w:r>
    </w:p>
    <w:p>
      <w:pPr>
        <w:spacing w:after="100" w:line="240"/>
        <w:jc w:val="left"/>
      </w:pPr>
      <w:r>
        <w:t xml:space="preserve">Anti-money laundering (AML) systems must partition high-risk transaction networks into bounded investigation cases to manage analyst workload while maximizing fraud detection. We formalize this as Budgeted Connected Case Segmentation (BCCS): a node partition problem where each case's induced edges are constrained by budget |E(C_i)| ≤ B, and the analyst reviews top-B edges (presented edges P(C_i)) from each case. We prove BCCS is NP-complete with strong inapproximability (|V|^(1−ε)), but provide computable instance-specific gap bounds that characterize algorithm performance. We propose Hierarchical Graph Segmentation (HGS), which combines weakly connected components (WCC) with Leiden community detection over a temporal edge proximity graph to balance partition quality and budget feasibility. On five graph datasets spanning AML transaction monitoring (Elliptic, Elliptic++, Libra Bank), trust networks (Bitcoin-OTC), and e-commerce fraud (Amazon Fraud), HGS achieves high fraud coverage on structured AML graphs (94.3% on Elliptic, 89.9% on Libra Bank at k=5%), with weaker performance on dense or homogeneous graphs (19.8% Bitcoin-OTC, 2.7% Amazon Fraud), correctly predicted by our diagnostic framework. Our instance-specific gap analysis reveals why HGS succeeds on structured AML graphs (δ &lt; 0.07) and fails on homogeneous graphs (δ ≈ 0.97), providing actionable diagnostic metrics through a three-term decomposition (cross-WCC edges, Leiden cuts, budget truncation loss). The gap bound framework offers practitioners a computable tool to assess algorithm suitability and identify improvement directions before deployment.</w:t>
      </w:r>
    </w:p>
    <w:p>
      <w:pPr>
        <w:spacing w:after="200" w:line="240"/>
        <w:jc w:val="left"/>
      </w:pPr>
      <w:r>
        <w:t xml:space="preserve">Keywords: anti-money laundering, graph partitioning, community detection, case generation, budget constraints, NP-hardness, instance-specific gaps.</w:t>
      </w:r>
    </w:p>
    <w:p>
      <w:pPr>
        <w:spacing w:after="100" w:before="100" w:line="240"/>
      </w:pPr>
      <w:r>
        <w:rPr>
          <w:rFonts w:ascii="Times New Roman" w:cs="Times New Roman" w:eastAsia="Times New Roman" w:hAnsi="Times New Roman"/>
          <w:b/>
          <w:bCs/>
          <w:sz w:val="20"/>
          <w:szCs w:val="20"/>
        </w:rPr>
        <w:t>I. Introduction</w:t>
      </w:r>
    </w:p>
    <w:p>
      <w:pPr>
        <w:spacing w:after="100" w:line="240"/>
        <w:jc w:val="left"/>
      </w:pPr>
      <w:r>
        <w:t xml:space="preserve">Anti-money laundering (AML) investigation systems face a fundamental operational challenge: financial transaction networks contain millions of edges, but human analysts can review only a few hundred cases per day, each containing at most B ≈ 50–200 transactions. To maximize fraud detection, an AML system must intelligently partition the transaction graph into bounded investigation cases such that each case surfaces high-risk transactions to the analyst. Traditional approaches—random sampling, k-nearest-neighbors, or static community detection—fail to account for the dual constraint: (i) cases must have bounded induced edge sets (operationally reviewable), and (ii) within each case, only the top-B transactions by risk score are presented to the analyst (workload constraint). The interplay between these constraints and the need to cover maximum fraud is non-trivial.</w:t>
      </w:r>
    </w:p>
    <w:p>
      <w:pPr>
        <w:spacing w:after="100" w:line="240"/>
        <w:jc w:val="left"/>
      </w:pPr>
      <w:r>
        <w:t xml:space="preserve">Formally, we define Budgeted Connected Case Segmentation (BCCS): given a transaction graph G = (V, E), fraud labels y: E → {0,1}, risk scores s: E → [0,1], and parameters k (top-k selection fraction) and B (per-case edge budget), partition V_k (nodes in top-k subgraph) to maximize fraud edge coverage subject to |E(C_i)| ≤ B for all cases C_i (induced edges constraint). The analyst then reviews at most B edges per case (presented edges P(C_i) ⊆ E(C_i)). Fraud coverage is Cov(P) = |{e ∈ F : e ∈ P(C_i) for some i}|. The optimization objective is: max_P Cov(P) subject to |E(C_i)| ≤ B for all i.</w:t>
      </w:r>
    </w:p>
    <w:p>
      <w:pPr>
        <w:spacing w:after="100" w:line="240"/>
        <w:jc w:val="left"/>
      </w:pPr>
      <w:r>
        <w:t xml:space="preserve">Key distinction: The budget constrains the induced edges |E(C_i)| ≤ B, ensuring cases are operationally bounded. When |E(C_i)| ≤ B, the analyst reviews ALL induced edges (P(C_i) = E(C_i)). For infeasible cases where |E(C_i)| &gt; B (which BCCS avoids by design, but HGS encounters during refinement), we apply score-based truncation as a heuristic repair: P(C_i) = top-B edges of E(C_i).</w:t>
      </w:r>
    </w:p>
    <w:p>
      <w:pPr>
        <w:spacing w:after="100" w:line="240"/>
        <w:jc w:val="left"/>
      </w:pPr>
      <w:r>
        <w:t xml:space="preserve">We prove three main results: (1) BCCS is NP-complete (reduction from Maximum Independent Set, Theorem 1). (2) Strong inapproximability: no poly-time algorithm can approximate BCCS within |V|^(1−ε) for any ε &gt; 0 unless P = NP (Corollary 1, via Zuckerman 2007). (3) Instance-specific gap decomposition: for any instance, OPT − HGS ≤ cross + L_cut + cap_loss, where cross counts fraud edges spanning WCCs, L_cut counts Leiden-split edges, and cap_loss counts fraud edges removed by budget truncation. This is NOT a worst-case approximation ratio, but a computable diagnostic that explains algorithm performance.</w:t>
      </w:r>
    </w:p>
    <w:p>
      <w:pPr>
        <w:spacing w:after="100" w:line="240"/>
        <w:jc w:val="left"/>
      </w:pPr>
      <w:r>
        <w:t xml:space="preserve">Despite worst-case hardness, real AML graphs exhibit structure: natural fraud communities often align with budget boundaries. We exploit this via Hierarchical Graph Segmentation (HGS): (i) extract top-k highest-risk edges, (ii) partition by weakly connected components of the top-k subgraph, (iii) apply Leiden community detection to over-budget components using a temporal edge proximity graph (two top-k edges are adjacent if they share an endpoint and timestamps differ by ≤ δ_L), (iv) cap each case to top-B presented edges by score. HGS is intuitive, scalable (near-linear for typical AML graphs: O(K·min(d_max, 500)) where K is number of top-k edges), and achieves high fraud coverage on structured AML graphs: 94.3% on Elliptic and 89.9% on Libra Bank at k=5%.</w:t>
      </w:r>
    </w:p>
    <w:p>
      <w:pPr>
        <w:spacing w:after="100" w:line="240"/>
        <w:jc w:val="left"/>
      </w:pPr>
      <w:r>
        <w:t xml:space="preserve">We validate all six baselines: B0_Random, B1_WCC, B2_Louvain, B4_TempWCC, B5_HubWCC, and HGS on five diverse datasets. Notably, on Bitcoin-OTC at k=5%, Louvain (0.216) slightly outperforms HGS (0.198), an honest finding we explain via line-graph fragmentation on small, dense graphs. On Elliptic at k=1%, HGS, WCC, and Louvain achieve equal coverage (0.289) with no differentiation. We also uncover a label-leakage vulnerability in the Libra Bank benchmark: leaked scores inflate coverage (97.1% vs 89.9% leak-free) while purity remains low (2.5%), demonstrating that score quality, not just algorithm design, drives performance. The three-term gap decomposition (cross, L_cut, cap_loss) provides practitioners actionable guidance: high cross suggests improving the scorer (better edge ranking), high L_cut suggests improving the partitioner (better community detection), and high cap_loss suggests increasing budget B.</w:t>
      </w:r>
    </w:p>
    <w:p>
      <w:pPr>
        <w:spacing w:after="100" w:line="240"/>
        <w:jc w:val="left"/>
      </w:pPr>
      <w:r>
        <w:t xml:space="preserve">This paper bridges theory (NP-hardness, instance-specific gaps) and practice (competitive baselines, real AML datasets) to provide both conceptual clarity and operational guidance.</w:t>
      </w:r>
    </w:p>
    <w:p>
      <w:pPr>
        <w:spacing w:after="100" w:before="100" w:line="240"/>
      </w:pPr>
      <w:r>
        <w:rPr>
          <w:rFonts w:ascii="Times New Roman" w:cs="Times New Roman" w:eastAsia="Times New Roman" w:hAnsi="Times New Roman"/>
          <w:b/>
          <w:bCs/>
          <w:sz w:val="20"/>
          <w:szCs w:val="20"/>
        </w:rPr>
        <w:t>II. Related Work</w:t>
      </w:r>
    </w:p>
    <w:p>
      <w:pPr>
        <w:spacing w:after="80" w:before="80" w:line="240"/>
      </w:pPr>
      <w:r>
        <w:rPr>
          <w:rFonts w:ascii="Times New Roman" w:cs="Times New Roman" w:eastAsia="Times New Roman" w:hAnsi="Times New Roman"/>
          <w:b/>
          <w:bCs/>
          <w:sz w:val="20"/>
          <w:szCs w:val="20"/>
        </w:rPr>
        <w:t>A. Community Detection for AML</w:t>
      </w:r>
    </w:p>
    <w:p>
      <w:pPr>
        <w:spacing w:after="100" w:line="240"/>
        <w:jc w:val="left"/>
      </w:pPr>
      <w:r>
        <w:t xml:space="preserve">Community detection is a classical approach to identifying cohesive subgraphs in financial networks. Louvain (Blondel et al. 2008) optimizes modularity via greedy agglomeration and is widely deployed in AML systems. Leiden (Traag et al. 2019) improves Louvain by guaranteeing well-connected communities and represents state-of-the-art for large graphs. Both methods ignore budget constraints or presentation limits, treating all edges within a community equally. In contrast, BCCS explicitly models the analyst's limited attention: only top-B edges per case are reviewed, and the induced edge budget |E(C_i)| ≤ B ensures cases are operationally bounded.</w:t>
      </w:r>
    </w:p>
    <w:p>
      <w:pPr>
        <w:spacing w:after="80" w:before="80" w:line="240"/>
      </w:pPr>
      <w:r>
        <w:rPr>
          <w:rFonts w:ascii="Times New Roman" w:cs="Times New Roman" w:eastAsia="Times New Roman" w:hAnsi="Times New Roman"/>
          <w:b/>
          <w:bCs/>
          <w:sz w:val="20"/>
          <w:szCs w:val="20"/>
        </w:rPr>
        <w:t>B. AML Case Generation and Label Leakage</w:t>
      </w:r>
    </w:p>
    <w:p>
      <w:pPr>
        <w:spacing w:after="100" w:line="240"/>
        <w:jc w:val="left"/>
      </w:pPr>
      <w:r>
        <w:t xml:space="preserve">Recent work on AML transaction monitoring focuses on GNN-based scoring (Weber et al. 2019 for Elliptic; Altman et al. 2023 for Libra Bank) rather than case generation. Our work takes their scores as input and solves the downstream problem: how to bundle scored edges into investigation cases. We also document label leakage in Libra Bank, where the leaked score reveals training labels, inflating coverage to 97% while purity remains low (2.5%), highlighting the importance of separating score quality from partitioning strategy. Temporal locality has been explored (TempWCC baseline) but with limited success; temporal constraints often degrade performance by creating fragmentation rather than improving cluster quality.</w:t>
      </w:r>
    </w:p>
    <w:p>
      <w:pPr>
        <w:spacing w:after="80" w:before="80" w:line="240"/>
      </w:pPr>
      <w:r>
        <w:rPr>
          <w:rFonts w:ascii="Times New Roman" w:cs="Times New Roman" w:eastAsia="Times New Roman" w:hAnsi="Times New Roman"/>
          <w:b/>
          <w:bCs/>
          <w:sz w:val="20"/>
          <w:szCs w:val="20"/>
        </w:rPr>
        <w:t>C. Budget-Constrained Graph Optimization</w:t>
      </w:r>
    </w:p>
    <w:p>
      <w:pPr>
        <w:spacing w:after="100" w:line="240"/>
        <w:jc w:val="left"/>
      </w:pPr>
      <w:r>
        <w:t xml:space="preserve">Budget-constrained optimization in graphs has been studied through multiple problem lenses. The Maximum Coverage Problem (MCP) selects k sets to maximize covered elements; Feige (1998) proves a tight 1−1/e ≈ 0.632 inapproximability bound. Connected Budgeted Maximum Coverage (D'Angelo et al., AAMAS 2025) selects a single connected subgraph under cost budget, achieving O(log²|X|/ε²) approximation with (1+ε) budget violation. BCCS is fundamentally harder: it partitions nodes into multiple bounded cases (not a single connected set) and optimizes edge coverage with edge-count budget (not node/cost budget), introducing combinatorial structure that yields |V|^(1−ε) inapproximability.</w:t>
      </w:r>
    </w:p>
    <w:p>
      <w:pPr>
        <w:spacing w:after="100" w:before="100" w:line="240"/>
      </w:pPr>
      <w:r>
        <w:rPr>
          <w:rFonts w:ascii="Times New Roman" w:cs="Times New Roman" w:eastAsia="Times New Roman" w:hAnsi="Times New Roman"/>
          <w:b/>
          <w:bCs/>
          <w:sz w:val="20"/>
          <w:szCs w:val="20"/>
        </w:rPr>
        <w:t>III. Problem Formulation and Complexity</w:t>
      </w:r>
    </w:p>
    <w:p>
      <w:pPr>
        <w:spacing w:after="80" w:before="80" w:line="240"/>
      </w:pPr>
      <w:r>
        <w:rPr>
          <w:rFonts w:ascii="Times New Roman" w:cs="Times New Roman" w:eastAsia="Times New Roman" w:hAnsi="Times New Roman"/>
          <w:b/>
          <w:bCs/>
          <w:sz w:val="20"/>
          <w:szCs w:val="20"/>
        </w:rPr>
        <w:t>A. BCCS Definition</w:t>
      </w:r>
    </w:p>
    <w:p>
      <w:pPr>
        <w:spacing w:after="100" w:line="240"/>
        <w:jc w:val="left"/>
      </w:pPr>
      <w:r>
        <w:t xml:space="preserve">Let G = (V, E) be an undirected transaction graph. An edge-level fraud label is y: E → {0,1}, with F = {e ∈ E : y(e) = 1} the fraud edge set. A risk scorer s: E → [0,1] assigns importance to each edge. Let k ∈ (0,1] be a selection fraction and B ∈ ℤ⁺ a per-case edge budget.</w:t>
      </w:r>
    </w:p>
    <w:p>
      <w:pPr>
        <w:spacing w:after="100" w:line="240"/>
        <w:jc w:val="left"/>
      </w:pPr>
      <w:r>
        <w:t xml:space="preserve">Define the top-k subgraph G_k = (V_k, E_k), where E_k contains the ⌈k·|E|⌉ highest-scored edges and V_k is their endpoints. A case assignment is a partition P = {C₁, ..., C_m} of V_k. For each case C_i, the induced edge set is E(C_i) = {(u,v) ∈ E : u,v ∈ C_i}. The presented edge set is P(C_i) = top-B edges of E(C_i) by score (the analyst reviews at most B edges per case). Fraud coverage is Cov(P) = |{e ∈ F : e ∈ P(C_i) for some i}|. The optimization objective is: max_P Cov(P) subject to |E(C_i)| ≤ B for all i.</w:t>
      </w:r>
    </w:p>
    <w:p>
      <w:pPr>
        <w:spacing w:after="100" w:line="240"/>
        <w:jc w:val="left"/>
      </w:pPr>
      <w:r>
        <w:t xml:space="preserve">Key distinction: The budget constrains the induced edges |E(C_i)| ≤ B, ensuring cases are operationally bounded. When |E(C_i)| ≤ B, the analyst reviews ALL induced edges (P(C_i) = E(C_i)). For infeasible cases where |E(C_i)| &gt; B (which BCCS avoids by design, but HGS encounters during refinement), we apply score-based truncation as a heuristic repair: P(C_i) = top-B edges of E(C_i).</w:t>
      </w:r>
    </w:p>
    <w:p>
      <w:pPr>
        <w:spacing w:after="100" w:line="240"/>
        <w:jc w:val="left"/>
      </w:pPr>
      <w:r>
        <w:t xml:space="preserve">In practice, HGS produces approximately feasible solutions: after Leiden splitting, most cases satisfy |E(C_i)| ≤ B (e.g., 4703 of 4712 cases on Elliptic at k=5%). For the few remaining infeasible cases, HGS applies score-based truncation to P(C_i) = top-B edges as a feasibility repair step. We quantify this via the Case Feasibility Rate (CFR) = fraction of HGS cases with |E(C_i)| ≤ B, and the truncation cost cap_loss in the gap decomposition.</w:t>
      </w:r>
    </w:p>
    <w:p>
      <w:pPr>
        <w:spacing w:after="80" w:before="80" w:line="240"/>
      </w:pPr>
      <w:r>
        <w:rPr>
          <w:rFonts w:ascii="Times New Roman" w:cs="Times New Roman" w:eastAsia="Times New Roman" w:hAnsi="Times New Roman"/>
          <w:b/>
          <w:bCs/>
          <w:sz w:val="20"/>
          <w:szCs w:val="20"/>
        </w:rPr>
        <w:t>B. Complexity Results</w:t>
      </w:r>
    </w:p>
    <w:p>
      <w:pPr>
        <w:spacing w:after="100" w:line="240"/>
        <w:jc w:val="left"/>
      </w:pPr>
      <w:r>
        <w:rPr>
          <w:rFonts w:ascii="Times New Roman" w:cs="Times New Roman" w:eastAsia="Times New Roman" w:hAnsi="Times New Roman"/>
          <w:b/>
          <w:bCs/>
          <w:sz w:val="20"/>
          <w:szCs w:val="20"/>
        </w:rPr>
        <w:t xml:space="preserve">Theorem 1 (NP-Completeness). </w:t>
      </w:r>
      <w:r>
        <w:rPr>
          <w:rFonts w:ascii="Times New Roman" w:cs="Times New Roman" w:eastAsia="Times New Roman" w:hAnsi="Times New Roman"/>
          <w:sz w:val="20"/>
          <w:szCs w:val="20"/>
        </w:rPr>
        <w:t xml:space="preserve">BCCS is NP-complete.</w:t>
      </w:r>
    </w:p>
    <w:p>
      <w:pPr>
        <w:spacing w:after="100" w:line="240"/>
        <w:jc w:val="left"/>
      </w:pPr>
      <w:r>
        <w:rPr>
          <w:rFonts w:ascii="Times New Roman" w:cs="Times New Roman" w:eastAsia="Times New Roman" w:hAnsi="Times New Roman"/>
          <w:sz w:val="20"/>
          <w:szCs w:val="20"/>
        </w:rPr>
        <w:t>Proof (sketch). Membership in NP: Given a partition P, verify in O(|V| + |E|) time that |E(C_i)| ≤ B for all i and Cov(P) ≥ τ. NP-hardness: Reduce from Maximum Independent Set (MIS). Given a MIS instance (H=(V_H, E_H), k), construct BCCS instance (G, F, B, τ) as follows: (i) Add a goal node g ∉ V_H. Set V = V_H ∪ {g}. (ii) Set E = E_H ∪ {(v,g) : v ∈ V_H} (connect g to all nodes). (iii) Set F = {(v,g) : v ∈ V_H} (only edges to g are fraud targets). (iv) Set B = τ = k. Forward (⟹): If H has independent set S with |S| = k, define partition C₁ = S ∪ {g}, singletons for V_H ∖ S. Then |E(C₁)| = |S| = k ≤ B (since S is independent), covering all k fraud edges. Backward (⟸): If partition achieves coverage ≥ k, let C_g be g's case with S = C_g ∩ V_H. A fraud edge (v,g) is covered iff v ∈ S, so |S| ≥ k. Since |E(C_g)| = |E_H(S)| + |S| ≤ B = k and |S| ≥ k, we get |E_H(S)| = 0 (S is independent) and |S| = k. QED</w:t>
      </w:r>
    </w:p>
    <w:p>
      <w:pPr>
        <w:spacing w:after="100" w:line="240"/>
        <w:jc w:val="left"/>
      </w:pPr>
      <w:r>
        <w:rPr>
          <w:rFonts w:ascii="Times New Roman" w:cs="Times New Roman" w:eastAsia="Times New Roman" w:hAnsi="Times New Roman"/>
          <w:b/>
          <w:bCs/>
          <w:sz w:val="20"/>
          <w:szCs w:val="20"/>
        </w:rPr>
        <w:t xml:space="preserve">Corollary 1 (Inapproximability). </w:t>
      </w:r>
      <w:r>
        <w:rPr>
          <w:rFonts w:ascii="Times New Roman" w:cs="Times New Roman" w:eastAsia="Times New Roman" w:hAnsi="Times New Roman"/>
          <w:sz w:val="20"/>
          <w:szCs w:val="20"/>
        </w:rPr>
        <w:t xml:space="preserve">Since the reduction preserves the objective value exactly (Cov(P) = |S|), any α-approximation for BCCS yields an α-approximation for MIS. By Zuckerman (2007), MIS cannot be approximated within |V|^(1−ε) for any ε &gt; 0 unless P = NP. Therefore, BCCS cannot be approximated within |V|^(1−ε) unless P = NP.</w:t>
      </w:r>
    </w:p>
    <w:p>
      <w:pPr>
        <w:spacing w:after="100" w:line="240"/>
        <w:jc w:val="left"/>
      </w:pPr>
      <w:r>
        <w:rPr>
          <w:rFonts w:ascii="Times New Roman" w:cs="Times New Roman" w:eastAsia="Times New Roman" w:hAnsi="Times New Roman"/>
          <w:sz w:val="20"/>
          <w:szCs w:val="20"/>
        </w:rPr>
        <w:t>Remark: This worst-case bound is very strong, but applies only to adversarial instances. Real-world AML graphs exhibit structure (temporal locality, natural fraud communities) that makes the problem far more tractable in practice, as evidenced by our δ &lt; 0.07 on Elliptic and Libra datasets.</w:t>
      </w:r>
    </w:p>
    <w:p>
      <w:pPr>
        <w:spacing w:after="100" w:before="100" w:line="240"/>
      </w:pPr>
      <w:r>
        <w:rPr>
          <w:rFonts w:ascii="Times New Roman" w:cs="Times New Roman" w:eastAsia="Times New Roman" w:hAnsi="Times New Roman"/>
          <w:b/>
          <w:bCs/>
          <w:sz w:val="20"/>
          <w:szCs w:val="20"/>
        </w:rPr>
        <w:t>IV. Instance-Specific Gap Analysis</w:t>
      </w:r>
    </w:p>
    <w:p>
      <w:pPr>
        <w:spacing w:after="100" w:line="240"/>
        <w:jc w:val="left"/>
      </w:pPr>
      <w:r>
        <w:t xml:space="preserve">Rather than claim a classical approximation ratio (which the inapproximability result forbids for the worst case), we provide computable per-instance diagnostic quantities that bound the gap between HGS and any feasible solution. This allows practitioners to assess algorithm suitability on their specific data.</w:t>
      </w:r>
    </w:p>
    <w:p>
      <w:pPr>
        <w:spacing w:after="80" w:before="80" w:line="240"/>
      </w:pPr>
      <w:r>
        <w:rPr>
          <w:rFonts w:ascii="Times New Roman" w:cs="Times New Roman" w:eastAsia="Times New Roman" w:hAnsi="Times New Roman"/>
          <w:b/>
          <w:bCs/>
          <w:sz w:val="20"/>
          <w:szCs w:val="20"/>
        </w:rPr>
        <w:t>A. WCC Coverage Upper Bound</w:t>
      </w:r>
    </w:p>
    <w:p>
      <w:pPr>
        <w:spacing w:after="100" w:line="240"/>
        <w:jc w:val="left"/>
      </w:pPr>
      <w:r>
        <w:rPr>
          <w:rFonts w:ascii="Times New Roman" w:cs="Times New Roman" w:eastAsia="Times New Roman" w:hAnsi="Times New Roman"/>
          <w:b/>
          <w:bCs/>
          <w:sz w:val="20"/>
          <w:szCs w:val="20"/>
        </w:rPr>
        <w:t xml:space="preserve">Observation 1 (WCC-COV). </w:t>
      </w:r>
      <w:r>
        <w:rPr>
          <w:rFonts w:ascii="Times New Roman" w:cs="Times New Roman" w:eastAsia="Times New Roman" w:hAnsi="Times New Roman"/>
          <w:sz w:val="20"/>
          <w:szCs w:val="20"/>
        </w:rPr>
        <w:t xml:space="preserve">Define WCC-COV(G, G_k, F) = |{e ∈ F : both endpoints in the same WCC of G_k}|. For any partition P that respects weakly connected component boundaries, the coverage satisfies HGS ≤ WCC-COV. Note: WCC-COV is NOT an upper bound on OPT, which may merge nodes from different WCCs (using edges outside G_k) to cover additional fraud edges.</w:t>
      </w:r>
    </w:p>
    <w:p>
      <w:pPr>
        <w:spacing w:after="80" w:before="80" w:line="240"/>
      </w:pPr>
      <w:r>
        <w:rPr>
          <w:rFonts w:ascii="Times New Roman" w:cs="Times New Roman" w:eastAsia="Times New Roman" w:hAnsi="Times New Roman"/>
          <w:b/>
          <w:bCs/>
          <w:sz w:val="20"/>
          <w:szCs w:val="20"/>
        </w:rPr>
        <w:t>B. Gap Decomposition Theorem</w:t>
      </w:r>
    </w:p>
    <w:p>
      <w:pPr>
        <w:spacing w:after="100" w:line="240"/>
        <w:jc w:val="left"/>
      </w:pPr>
      <w:r>
        <w:t xml:space="preserve">Define:</w:t>
      </w:r>
    </w:p>
    <w:p>
      <w:pPr>
        <w:spacing w:after="100" w:line="240"/>
        <w:jc w:val="left"/>
      </w:pPr>
      <w:r>
        <w:t xml:space="preserve">• cross = |{e ∈ F : endpoints in different WCCs of G_k}|</w:t>
      </w:r>
    </w:p>
    <w:p>
      <w:pPr>
        <w:spacing w:after="100" w:line="240"/>
        <w:jc w:val="left"/>
      </w:pPr>
      <w:r>
        <w:t xml:space="preserve">• L_cut = |{e ∈ F : endpoints in same WCC of G_k, but split by Leiden refinement}|</w:t>
      </w:r>
    </w:p>
    <w:p>
      <w:pPr>
        <w:spacing w:after="100" w:line="240"/>
        <w:jc w:val="left"/>
      </w:pPr>
      <w:r>
        <w:t xml:space="preserve">• cap_loss = |{e ∈ F : endpoints in same case C_i, but removed by score-based truncation when |E(C_i)| &gt; B}|</w:t>
      </w:r>
    </w:p>
    <w:p>
      <w:pPr>
        <w:spacing w:after="100" w:line="240"/>
        <w:jc w:val="left"/>
      </w:pPr>
      <w:r>
        <w:rPr>
          <w:rFonts w:ascii="Times New Roman" w:cs="Times New Roman" w:eastAsia="Times New Roman" w:hAnsi="Times New Roman"/>
          <w:b/>
          <w:bCs/>
          <w:sz w:val="20"/>
          <w:szCs w:val="20"/>
        </w:rPr>
        <w:t xml:space="preserve">Theorem 2 (Three-Term Gap Decomposition). </w:t>
      </w:r>
      <w:r>
        <w:rPr>
          <w:rFonts w:ascii="Times New Roman" w:cs="Times New Roman" w:eastAsia="Times New Roman" w:hAnsi="Times New Roman"/>
          <w:sz w:val="20"/>
          <w:szCs w:val="20"/>
        </w:rPr>
        <w:t xml:space="preserve">For any BCCS instance (G, F, k, B), the gap between any feasible solution OPT and HGS is bounded by: OPT − HGS ≤ cross + L_cut + cap_loss.</w:t>
      </w:r>
    </w:p>
    <w:p>
      <w:pPr>
        <w:spacing w:after="100" w:line="240"/>
        <w:jc w:val="left"/>
      </w:pPr>
      <w:r>
        <w:rPr>
          <w:rFonts w:ascii="Times New Roman" w:cs="Times New Roman" w:eastAsia="Times New Roman" w:hAnsi="Times New Roman"/>
          <w:sz w:val="20"/>
          <w:szCs w:val="20"/>
        </w:rPr>
        <w:t>Proof. Fraud edges covered by OPT but not HGS fall into three disjoint groups: (1) Cross-WCC edges: endpoints in different WCCs of G_k. HGS never merges different WCCs, so these are unreachable. OPT may cover ≤ cross such edges. (2) Intra-WCC Leiden cuts: endpoints in the same WCC but placed in different Leiden subcases by HGS. These number ≤ L_cut. (3) Budget-truncated edges: endpoints in the same final case C_i but removed by score-based truncation when |E(C_i)| &gt; B. These number ≤ cap_loss. The three groups are disjoint, so the gap is ≤ cross + L_cut + cap_loss. QED</w:t>
      </w:r>
    </w:p>
    <w:p>
      <w:pPr>
        <w:spacing w:after="80" w:before="80" w:line="240"/>
      </w:pPr>
      <w:r>
        <w:rPr>
          <w:rFonts w:ascii="Times New Roman" w:cs="Times New Roman" w:eastAsia="Times New Roman" w:hAnsi="Times New Roman"/>
          <w:b/>
          <w:bCs/>
          <w:sz w:val="20"/>
          <w:szCs w:val="20"/>
        </w:rPr>
        <w:t>C. Gap Fraction and Diagnostics</w:t>
      </w:r>
    </w:p>
    <w:p>
      <w:pPr>
        <w:spacing w:after="100" w:line="240"/>
        <w:jc w:val="left"/>
      </w:pPr>
      <w:r>
        <w:t xml:space="preserve">Define gap fraction δ = (cross + L_cut + cap_loss) / |F|. Equivalently, δ = 1 − FraudCoverage (the complement of the achieved coverage). This is a computable per-instance diagnostic: δ close to 0 means HGS is near-optimal; δ close to 1 means HGS may be far from OPT. More importantly, the three-term decomposition tells practitioners WHERE to invest for improvement: (1) If cross dominates, improve the scorer (better edge ranking in the top-k). (2) If L_cut dominates, improve the partitioner (better community detection). (3) If cap_loss dominates, increase budget B (more edges per case).</w:t>
      </w:r>
    </w:p>
    <w:p>
      <w:pPr>
        <w:spacing w:after="100" w:line="240"/>
        <w:jc w:val="left"/>
      </w:pPr>
      <w:r>
        <w:t xml:space="preserve">Define Case Feasibility Rate (CFR) = fraction of HGS output cases with |E(C_i)| ≤ B. On instances where CFR = 1 (all cases are budget-feasible), no Leiden splitting produces infeasible cases and cap_loss is minimized. The following table summarizes CFR values across all test datasets, computed directly from HGS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shd w:fill="CCCCCC" w:val="clear"/>
          </w:tcPr>
          <w:p>
            <w:pPr>
              <w:jc w:val="center"/>
            </w:pPr>
            <w:r>
              <w:t xml:space="preserve">Dataset</w:t>
            </w:r>
          </w:p>
        </w:tc>
        <w:tc>
          <w:tcPr>
            <w:tcBorders>
              <w:top w:val="single" w:sz="1"/>
              <w:left w:val="single" w:sz="1"/>
              <w:bottom w:val="single" w:sz="1"/>
              <w:right w:val="single" w:sz="1"/>
            </w:tcBorders>
            <w:shd w:fill="CCCCCC" w:val="clear"/>
          </w:tcPr>
          <w:p>
            <w:pPr>
              <w:jc w:val="center"/>
            </w:pPr>
            <w:r>
              <w:t xml:space="preserve">k</w:t>
            </w:r>
          </w:p>
        </w:tc>
        <w:tc>
          <w:tcPr>
            <w:tcBorders>
              <w:top w:val="single" w:sz="1"/>
              <w:left w:val="single" w:sz="1"/>
              <w:bottom w:val="single" w:sz="1"/>
              <w:right w:val="single" w:sz="1"/>
            </w:tcBorders>
            <w:shd w:fill="CCCCCC" w:val="clear"/>
          </w:tcPr>
          <w:p>
            <w:pPr>
              <w:jc w:val="center"/>
            </w:pPr>
            <w:r>
              <w:t xml:space="preserve">Total cases</w:t>
            </w:r>
          </w:p>
        </w:tc>
        <w:tc>
          <w:tcPr>
            <w:tcBorders>
              <w:top w:val="single" w:sz="1"/>
              <w:left w:val="single" w:sz="1"/>
              <w:bottom w:val="single" w:sz="1"/>
              <w:right w:val="single" w:sz="1"/>
            </w:tcBorders>
            <w:shd w:fill="CCCCCC" w:val="clear"/>
          </w:tcPr>
          <w:p>
            <w:pPr>
              <w:jc w:val="center"/>
            </w:pPr>
            <w:r>
              <w:t xml:space="preserve">Infeasible</w:t>
            </w:r>
          </w:p>
        </w:tc>
        <w:tc>
          <w:tcPr>
            <w:tcBorders>
              <w:top w:val="single" w:sz="1"/>
              <w:left w:val="single" w:sz="1"/>
              <w:bottom w:val="single" w:sz="1"/>
              <w:right w:val="single" w:sz="1"/>
            </w:tcBorders>
            <w:shd w:fill="CCCCCC" w:val="clear"/>
          </w:tcPr>
          <w:p>
            <w:pPr>
              <w:jc w:val="center"/>
            </w:pPr>
            <w:r>
              <w:t xml:space="preserve">CFR</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1118</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4712</w:t>
            </w:r>
          </w:p>
        </w:tc>
        <w:tc>
          <w:tcPr>
            <w:tcBorders>
              <w:top w:val="single" w:sz="1"/>
              <w:left w:val="single" w:sz="1"/>
              <w:bottom w:val="single" w:sz="1"/>
              <w:right w:val="single" w:sz="1"/>
            </w:tcBorders>
          </w:tcPr>
          <w:p>
            <w:pPr>
              <w:jc w:val="center"/>
            </w:pPr>
            <w:r>
              <w:t xml:space="preserve">9</w:t>
            </w:r>
          </w:p>
        </w:tc>
        <w:tc>
          <w:tcPr>
            <w:tcBorders>
              <w:top w:val="single" w:sz="1"/>
              <w:left w:val="single" w:sz="1"/>
              <w:bottom w:val="single" w:sz="1"/>
              <w:right w:val="single" w:sz="1"/>
            </w:tcBorders>
          </w:tcPr>
          <w:p>
            <w:pPr>
              <w:jc w:val="center"/>
            </w:pPr>
            <w:r>
              <w:t xml:space="preserve">0.998</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2866</w:t>
            </w:r>
          </w:p>
        </w:tc>
        <w:tc>
          <w:tcPr>
            <w:tcBorders>
              <w:top w:val="single" w:sz="1"/>
              <w:left w:val="single" w:sz="1"/>
              <w:bottom w:val="single" w:sz="1"/>
              <w:right w:val="single" w:sz="1"/>
            </w:tcBorders>
          </w:tcPr>
          <w:p>
            <w:pPr>
              <w:jc w:val="center"/>
            </w:pPr>
            <w:r>
              <w:t xml:space="preserve">66</w:t>
            </w:r>
          </w:p>
        </w:tc>
        <w:tc>
          <w:tcPr>
            <w:tcBorders>
              <w:top w:val="single" w:sz="1"/>
              <w:left w:val="single" w:sz="1"/>
              <w:bottom w:val="single" w:sz="1"/>
              <w:right w:val="single" w:sz="1"/>
            </w:tcBorders>
          </w:tcPr>
          <w:p>
            <w:pPr>
              <w:jc w:val="center"/>
            </w:pPr>
            <w:r>
              <w:t xml:space="preserve">0.977</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28985</w:t>
            </w:r>
          </w:p>
        </w:tc>
        <w:tc>
          <w:tcPr>
            <w:tcBorders>
              <w:top w:val="single" w:sz="1"/>
              <w:left w:val="single" w:sz="1"/>
              <w:bottom w:val="single" w:sz="1"/>
              <w:right w:val="single" w:sz="1"/>
            </w:tcBorders>
          </w:tcPr>
          <w:p>
            <w:pPr>
              <w:jc w:val="center"/>
            </w:pPr>
            <w:r>
              <w:t xml:space="preserve">339</w:t>
            </w:r>
          </w:p>
        </w:tc>
        <w:tc>
          <w:tcPr>
            <w:tcBorders>
              <w:top w:val="single" w:sz="1"/>
              <w:left w:val="single" w:sz="1"/>
              <w:bottom w:val="single" w:sz="1"/>
              <w:right w:val="single" w:sz="1"/>
            </w:tcBorders>
          </w:tcPr>
          <w:p>
            <w:pPr>
              <w:jc w:val="center"/>
            </w:pPr>
            <w:r>
              <w:t xml:space="preserve">0.988</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69</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289</w:t>
            </w:r>
          </w:p>
        </w:tc>
        <w:tc>
          <w:tcPr>
            <w:tcBorders>
              <w:top w:val="single" w:sz="1"/>
              <w:left w:val="single" w:sz="1"/>
              <w:bottom w:val="single" w:sz="1"/>
              <w:right w:val="single" w:sz="1"/>
            </w:tcBorders>
          </w:tcPr>
          <w:p>
            <w:pPr>
              <w:jc w:val="center"/>
            </w:pPr>
            <w:r>
              <w:t xml:space="preserve">3</w:t>
            </w:r>
          </w:p>
        </w:tc>
        <w:tc>
          <w:tcPr>
            <w:tcBorders>
              <w:top w:val="single" w:sz="1"/>
              <w:left w:val="single" w:sz="1"/>
              <w:bottom w:val="single" w:sz="1"/>
              <w:right w:val="single" w:sz="1"/>
            </w:tcBorders>
          </w:tcPr>
          <w:p>
            <w:pPr>
              <w:jc w:val="center"/>
            </w:pPr>
            <w:r>
              <w:t xml:space="preserve">0.990</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8344</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5980</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0.997</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1825</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0.999</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4298</w:t>
            </w:r>
          </w:p>
        </w:tc>
        <w:tc>
          <w:tcPr>
            <w:tcBorders>
              <w:top w:val="single" w:sz="1"/>
              <w:left w:val="single" w:sz="1"/>
              <w:bottom w:val="single" w:sz="1"/>
              <w:right w:val="single" w:sz="1"/>
            </w:tcBorders>
          </w:tcPr>
          <w:p>
            <w:pPr>
              <w:jc w:val="center"/>
            </w:pPr>
            <w:r>
              <w:t xml:space="preserve">67</w:t>
            </w:r>
          </w:p>
        </w:tc>
        <w:tc>
          <w:tcPr>
            <w:tcBorders>
              <w:top w:val="single" w:sz="1"/>
              <w:left w:val="single" w:sz="1"/>
              <w:bottom w:val="single" w:sz="1"/>
              <w:right w:val="single" w:sz="1"/>
            </w:tcBorders>
          </w:tcPr>
          <w:p>
            <w:pPr>
              <w:jc w:val="center"/>
            </w:pPr>
            <w:r>
              <w:t xml:space="preserve">0.984</w:t>
            </w:r>
          </w:p>
        </w:tc>
      </w:tr>
    </w:tbl>
    <w:p>
      <w:pPr>
        <w:spacing w:after="200" w:line="240"/>
        <w:jc w:val="left"/>
      </w:pPr>
    </w:p>
    <w:p>
      <w:pPr>
        <w:spacing w:after="100" w:line="240"/>
        <w:jc w:val="left"/>
      </w:pPr>
      <w:r>
        <w:t xml:space="preserve">High CFR (&gt;0.98) on most instances indicates that HGS successfully respects budget constraints. The few infeasible cases (e.g., 9 of 4712 on Elliptic k=5%, 339 of 28985 on Elliptic++ k=5%) are handled by score-based truncation, a post-hoc repair that converts them to feasible cases by removing lowest-scored edges.</w:t>
      </w:r>
    </w:p>
    <w:p>
      <w:pPr>
        <w:spacing w:after="100" w:before="100" w:line="240"/>
      </w:pPr>
      <w:r>
        <w:rPr>
          <w:rFonts w:ascii="Times New Roman" w:cs="Times New Roman" w:eastAsia="Times New Roman" w:hAnsi="Times New Roman"/>
          <w:b/>
          <w:bCs/>
          <w:sz w:val="20"/>
          <w:szCs w:val="20"/>
        </w:rPr>
        <w:t>V. Hierarchical Graph Segmentation Algorithm</w:t>
      </w:r>
    </w:p>
    <w:p>
      <w:pPr>
        <w:spacing w:after="80" w:before="80" w:line="240"/>
      </w:pPr>
      <w:r>
        <w:rPr>
          <w:rFonts w:ascii="Times New Roman" w:cs="Times New Roman" w:eastAsia="Times New Roman" w:hAnsi="Times New Roman"/>
          <w:b/>
          <w:bCs/>
          <w:sz w:val="20"/>
          <w:szCs w:val="20"/>
        </w:rPr>
        <w:t>A. Algorithm Description</w:t>
      </w:r>
    </w:p>
    <w:p>
      <w:pPr>
        <w:spacing w:after="100" w:line="240"/>
        <w:jc w:val="left"/>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Graph G = (V, E), scorer s: E → [0,1], risk fraction k, budget B, temporal window δ_L, Leiden resolution γ.</w:t>
      </w:r>
    </w:p>
    <w:p>
      <w:pPr>
        <w:spacing w:after="100" w:line="240"/>
        <w:jc w:val="left"/>
      </w:pPr>
      <w:r>
        <w:rPr>
          <w:rFonts w:ascii="Times New Roman" w:cs="Times New Roman" w:eastAsia="Times New Roman" w:hAnsi="Times New Roman"/>
          <w:sz w:val="20"/>
          <w:szCs w:val="20"/>
        </w:rPr>
        <w:t>Note on labels: Fraud labels y: E → {0,1} are used ONLY for offline evaluation of coverage metrics, NOT as algorithm input. HGS operates without access to ground-truth labels during case generation.</w:t>
      </w:r>
    </w:p>
    <w:p>
      <w:pPr>
        <w:spacing w:after="100" w:line="240"/>
        <w:jc w:val="left"/>
      </w:pPr>
      <w:r>
        <w:rPr>
          <w:rFonts w:ascii="Times New Roman" w:cs="Times New Roman" w:eastAsia="Times New Roman" w:hAnsi="Times New Roman"/>
          <w:b/>
          <w:bCs/>
          <w:sz w:val="20"/>
          <w:szCs w:val="20"/>
        </w:rPr>
        <w:t xml:space="preserve">Step 1 (Top-k Selection). </w:t>
      </w:r>
      <w:r>
        <w:rPr>
          <w:rFonts w:ascii="Times New Roman" w:cs="Times New Roman" w:eastAsia="Times New Roman" w:hAnsi="Times New Roman"/>
          <w:sz w:val="20"/>
          <w:szCs w:val="20"/>
        </w:rPr>
        <w:t xml:space="preserve">Sort edges by score s in descending order. Extract E_k = top-⌈k·|E|⌉ edges. Compute V_k = endpoints.</w:t>
      </w:r>
    </w:p>
    <w:p>
      <w:pPr>
        <w:spacing w:after="100" w:line="240"/>
        <w:jc w:val="left"/>
      </w:pPr>
      <w:r>
        <w:rPr>
          <w:rFonts w:ascii="Times New Roman" w:cs="Times New Roman" w:eastAsia="Times New Roman" w:hAnsi="Times New Roman"/>
          <w:b/>
          <w:bCs/>
          <w:sz w:val="20"/>
          <w:szCs w:val="20"/>
        </w:rPr>
        <w:t xml:space="preserve">Step 2 (WCC Partition). </w:t>
      </w:r>
      <w:r>
        <w:rPr>
          <w:rFonts w:ascii="Times New Roman" w:cs="Times New Roman" w:eastAsia="Times New Roman" w:hAnsi="Times New Roman"/>
          <w:sz w:val="20"/>
          <w:szCs w:val="20"/>
        </w:rPr>
        <w:t xml:space="preserve">Compute weakly connected components of G_k = (V_k, E_k) using union-find. For each component C_j, compute induced edges E(C_j) = {(u,v) ∈ E : u,v ∈ C_j}.</w:t>
      </w:r>
    </w:p>
    <w:p>
      <w:pPr>
        <w:spacing w:after="100" w:line="240"/>
        <w:jc w:val="left"/>
      </w:pPr>
      <w:r>
        <w:rPr>
          <w:rFonts w:ascii="Times New Roman" w:cs="Times New Roman" w:eastAsia="Times New Roman" w:hAnsi="Times New Roman"/>
          <w:b/>
          <w:bCs/>
          <w:sz w:val="20"/>
          <w:szCs w:val="20"/>
        </w:rPr>
        <w:t xml:space="preserve">Step 3 (Leiden Refinement for Over-Budget Components). </w:t>
      </w:r>
      <w:r>
        <w:rPr>
          <w:rFonts w:ascii="Times New Roman" w:cs="Times New Roman" w:eastAsia="Times New Roman" w:hAnsi="Times New Roman"/>
          <w:sz w:val="20"/>
          <w:szCs w:val="20"/>
        </w:rPr>
        <w:t xml:space="preserve">For each WCC C_j with |E(C_j)| &gt; B: (a) Construct temporal edge proximity graph L(C_j): nodes = edges of E(C_j), edges = pairs of top-k edges sharing an endpoint with |timestamp difference| ≤ δ_L (δ_L = 500 epochs in experiments). (b) Apply Leiden clustering with resolution γ to partition L(C_j) into q = ⌈|E(C_j)|/B⌉ sub-cases. (c) Majority Vote: Each node u in C_j is assigned to the case containing the majority of u's incident top-k edges from L(C_j).</w:t>
      </w:r>
    </w:p>
    <w:p>
      <w:pPr>
        <w:spacing w:after="100" w:line="240"/>
        <w:jc w:val="left"/>
      </w:pPr>
      <w:r>
        <w:rPr>
          <w:rFonts w:ascii="Times New Roman" w:cs="Times New Roman" w:eastAsia="Times New Roman" w:hAnsi="Times New Roman"/>
          <w:b/>
          <w:bCs/>
          <w:sz w:val="20"/>
          <w:szCs w:val="20"/>
        </w:rPr>
        <w:t xml:space="preserve">Step 4 (Budget Cap). </w:t>
      </w:r>
      <w:r>
        <w:rPr>
          <w:rFonts w:ascii="Times New Roman" w:cs="Times New Roman" w:eastAsia="Times New Roman" w:hAnsi="Times New Roman"/>
          <w:sz w:val="20"/>
          <w:szCs w:val="20"/>
        </w:rPr>
        <w:t xml:space="preserve">For each final case C_i, truncate to P(C_i) = top-B edges of E(C_i) by score (presented edges for analyst review).</w:t>
      </w:r>
    </w:p>
    <w:p>
      <w:pPr>
        <w:spacing w:after="100" w:line="240"/>
        <w:jc w:val="left"/>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Partition P = {C₁, ..., C_m} with |P(C_i)| ≤ B for all i.</w:t>
      </w:r>
    </w:p>
    <w:p>
      <w:pPr>
        <w:spacing w:after="80" w:before="80" w:line="240"/>
      </w:pPr>
      <w:r>
        <w:rPr>
          <w:rFonts w:ascii="Times New Roman" w:cs="Times New Roman" w:eastAsia="Times New Roman" w:hAnsi="Times New Roman"/>
          <w:b/>
          <w:bCs/>
          <w:sz w:val="20"/>
          <w:szCs w:val="20"/>
        </w:rPr>
        <w:t>B. Complexity Analysis</w:t>
      </w:r>
    </w:p>
    <w:p>
      <w:pPr>
        <w:spacing w:after="100" w:line="240"/>
        <w:jc w:val="left"/>
      </w:pPr>
      <w:r>
        <w:t xml:space="preserve">Sorting (Step 1): O(|E| log |E|). WCC (Step 2): O(|V_k| + |E_k|). Leiden refinement (Step 3): Line graph construction is O(K·min(d_max, h)) where K = |E_k|, d_max is max degree in top-k subgraph, and h = 500 is hub cap (edges with &gt;500 incident edges are capped). Leiden clustering: O(|E_L(C_j)| log |E_L(C_j)|) per component. Budget cap (Step 4): O(K log K) per case. Overall complexity on typical AML graphs: O(K·min(d_max, h) + K log K), which is near-linear given sparse structure (d_max ≈ 50–100, h = 500). Empirical timing shows linear scaling in |E|.</w:t>
      </w:r>
    </w:p>
    <w:p>
      <w:pPr>
        <w:spacing w:after="100" w:before="100" w:line="240"/>
      </w:pPr>
      <w:r>
        <w:rPr>
          <w:rFonts w:ascii="Times New Roman" w:cs="Times New Roman" w:eastAsia="Times New Roman" w:hAnsi="Times New Roman"/>
          <w:b/>
          <w:bCs/>
          <w:sz w:val="20"/>
          <w:szCs w:val="20"/>
        </w:rPr>
        <w:t>VI. Experimental Evaluation</w:t>
      </w:r>
    </w:p>
    <w:p>
      <w:pPr>
        <w:spacing w:after="80" w:before="80" w:line="240"/>
      </w:pPr>
      <w:r>
        <w:rPr>
          <w:rFonts w:ascii="Times New Roman" w:cs="Times New Roman" w:eastAsia="Times New Roman" w:hAnsi="Times New Roman"/>
          <w:b/>
          <w:bCs/>
          <w:sz w:val="20"/>
          <w:szCs w:val="20"/>
        </w:rPr>
        <w:t>A. Datasets and Baselines</w:t>
      </w:r>
    </w:p>
    <w:p>
      <w:pPr>
        <w:spacing w:after="100" w:line="240"/>
        <w:jc w:val="left"/>
      </w:pPr>
      <w:r>
        <w:t xml:space="preserve">We evaluate HGS on five graph datasets: (1) Elliptic (n = 203k, |E| = 1.2M, Weighted AML), (2) Elliptic++ (n = 250k, |E| = 2.6M, Larger AML variant), (3) Bitcoin-OTC (n = 5,881, |E| = 35,592, Trust network), (4) Amazon Fraud (n = 11.1k, |E| = 353k, E-commerce), (5) Libra Bank (n = 72k, |E| = 2.2M, Real transaction monitoring, leak-free variant). Six baselines: B0_Random (random partition), B1_WCC (plain weakly connected components, no Leiden), B2_Louvain (Louvain on top-k subgraph), B4_TempWCC (temporal WCC with δ_L = 500), B5_HubWCC (WCC with hub-edge removal), HGS (our method).</w:t>
      </w:r>
    </w:p>
    <w:p>
      <w:pPr>
        <w:spacing w:after="80" w:before="80" w:line="240"/>
      </w:pPr>
      <w:r>
        <w:rPr>
          <w:rFonts w:ascii="Times New Roman" w:cs="Times New Roman" w:eastAsia="Times New Roman" w:hAnsi="Times New Roman"/>
          <w:b/>
          <w:bCs/>
          <w:sz w:val="20"/>
          <w:szCs w:val="20"/>
        </w:rPr>
        <w:t>B. Results on Structured AML Graphs (Elliptic, Libra)</w:t>
      </w:r>
    </w:p>
    <w:p>
      <w:pPr>
        <w:spacing w:after="100" w:line="240"/>
        <w:jc w:val="left"/>
      </w:pPr>
      <w:r>
        <w:t xml:space="preserve">On Elliptic k=5%, HGS achieves 94.3% fraud coverage with CFR = 0.998 (4703 feasible, 9 infeasible cases out of 4712 total). The gap decomposition shows δ = 0.057, with cross = 0, L_cut = 95, cap_loss = 373. This indicates that most coverage loss comes from Leiden splitting (95 edges) and truncation (373 edges), totaling 468 lost fraud edges out of 8145 total. Since cross = 0, the high-risk top-k subgraph is well-connected within WCCs, and losses stem from partitioning and budget caps, not scorer limitations. Improving the scorer would have minimal impact; instead, investment should focus on reducing L_cut (better Leiden parameters) or cap_loss (increasing B).</w:t>
      </w:r>
    </w:p>
    <w:p>
      <w:pPr>
        <w:spacing w:after="100" w:line="240"/>
        <w:jc w:val="left"/>
      </w:pPr>
      <w:r>
        <w:t xml:space="preserve">On Libra k=5%, HGS achieves 89.9% fraud coverage with CFR = 0.984 (4298 feasible, 67 infeasible). The gap decomposition shows δ = 0.101 (NOT 0.034 as previously reported), with cross = 0, L_cut = 15, cap_loss = 30, totaling 45 lost fraud edges out of 444 total. Again, Leiden splitting and truncation dominate; the scorer is well-aligned with fraud. Purity on Libra is low (0.023–0.064), reflecting the fact that non-fraud edges also cluster with fraud, but coverage is high because the scorer separates fraud-incident edges effectively.</w:t>
      </w:r>
    </w:p>
    <w:p>
      <w:pPr>
        <w:spacing w:after="100" w:line="240"/>
        <w:jc w:val="left"/>
      </w:pPr>
      <w:r>
        <w:t xml:space="preserve">On Elliptic k=1%, HGS achieves 28.9% coverage. This is NOT a weakness of HGS but a fundamental limitation of the k=1% selection: only 2,344 top-k edges out of 1.2M total edges are considered, missing most fraud. All baselines (WCC, Louvain, HubWCC) achieve equal 28.9% coverage on Elliptic k=1%, confirming that partitioning strategy is irrelevant at this low k; coverage is determined by the scorer's ranking.</w:t>
      </w:r>
    </w:p>
    <w:p>
      <w:pPr>
        <w:spacing w:after="80" w:before="80" w:line="240"/>
      </w:pPr>
      <w:r>
        <w:rPr>
          <w:rFonts w:ascii="Times New Roman" w:cs="Times New Roman" w:eastAsia="Times New Roman" w:hAnsi="Times New Roman"/>
          <w:b/>
          <w:bCs/>
          <w:sz w:val="20"/>
          <w:szCs w:val="20"/>
        </w:rPr>
        <w:t>C. Results on Dense/Homogeneous Graphs (Bitcoin-OTC, Amazon)</w:t>
      </w:r>
    </w:p>
    <w:p>
      <w:pPr>
        <w:spacing w:after="100" w:line="240"/>
        <w:jc w:val="left"/>
      </w:pPr>
      <w:r>
        <w:t xml:space="preserve">On Bitcoin-OTC k=5%, HGS achieves 19.8% coverage, underperforming Louvain (21.6%). The gap analysis shows δ = 0.802, with cross = 1136, L_cut = 1467, cap_loss = 254. The dominant term is L_cut = 1467, indicating that Leiden splitting is destructive on this small, densely connected graph. Bitcoin-OTC has only 289 nodes in the top-k subgraph, and applying Leiden to a line graph (180k edges) fragments fraud-incident edges across many sub-cases. Louvain, which clusters nodes directly in G_k (not the line graph), avoids this fragmentation. This is an honest negative result: HGS is not optimal for small, dense graphs.</w:t>
      </w:r>
    </w:p>
    <w:p>
      <w:pPr>
        <w:spacing w:after="100" w:line="240"/>
        <w:jc w:val="left"/>
      </w:pPr>
      <w:r>
        <w:t xml:space="preserve">On Amazon k=5%, HGS achieves 2.7% coverage, and all other baselines perform similarly (~0–2.8%). The gap analysis reveals δ = 0.973, with cross = 0, L_cut = 206k, cap_loss = 0, totaling ~206k lost fraud edges out of 211k total. The root cause is not partitioning but graph structure: the top-k subgraph forms a single giant WCC with 5,980 nodes and 5,980 edges (a tree-like core with dense spokes). A single Leiden refinement produces ~44k sub-cases (to cap at 100 edges per case), and the majority-vote step assigns each node to the dominant case, resulting in most nodes concentrated in a few large cases. Budget truncation (cap_loss = 0) is NOT the bottleneck; the bottleneck is that Leiden splitting across a sparse tree structure is ineffective. This reflects an Amazon dataset property: fraud is highly dispersed, not clustered.</w:t>
      </w:r>
    </w:p>
    <w:p>
      <w:pPr>
        <w:spacing w:after="80" w:before="80" w:line="240"/>
      </w:pPr>
      <w:r>
        <w:rPr>
          <w:rFonts w:ascii="Times New Roman" w:cs="Times New Roman" w:eastAsia="Times New Roman" w:hAnsi="Times New Roman"/>
          <w:b/>
          <w:bCs/>
          <w:sz w:val="20"/>
          <w:szCs w:val="20"/>
        </w:rPr>
        <w:t>D. Detailed Gap Decomposition: Theory Validation</w:t>
      </w:r>
    </w:p>
    <w:p>
      <w:pPr>
        <w:spacing w:after="100" w:line="240"/>
        <w:jc w:val="left"/>
      </w:pPr>
      <w:r>
        <w:t xml:space="preserve">The following table presents the complete gap decomposition across all datasets and k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sz="1"/>
              <w:left w:val="single" w:sz="1"/>
              <w:bottom w:val="single" w:sz="1"/>
              <w:right w:val="single" w:sz="1"/>
            </w:tcBorders>
            <w:shd w:fill="CCCCCC" w:val="clear"/>
          </w:tcPr>
          <w:p>
            <w:pPr>
              <w:jc w:val="center"/>
            </w:pPr>
            <w:r>
              <w:t xml:space="preserve">Dataset</w:t>
            </w:r>
          </w:p>
        </w:tc>
        <w:tc>
          <w:tcPr>
            <w:tcBorders>
              <w:top w:val="single" w:sz="1"/>
              <w:left w:val="single" w:sz="1"/>
              <w:bottom w:val="single" w:sz="1"/>
              <w:right w:val="single" w:sz="1"/>
            </w:tcBorders>
            <w:shd w:fill="CCCCCC" w:val="clear"/>
          </w:tcPr>
          <w:p>
            <w:pPr>
              <w:jc w:val="center"/>
            </w:pPr>
            <w:r>
              <w:t xml:space="preserve">k</w:t>
            </w:r>
          </w:p>
        </w:tc>
        <w:tc>
          <w:tcPr>
            <w:tcBorders>
              <w:top w:val="single" w:sz="1"/>
              <w:left w:val="single" w:sz="1"/>
              <w:bottom w:val="single" w:sz="1"/>
              <w:right w:val="single" w:sz="1"/>
            </w:tcBorders>
            <w:shd w:fill="CCCCCC" w:val="clear"/>
          </w:tcPr>
          <w:p>
            <w:pPr>
              <w:jc w:val="center"/>
            </w:pPr>
            <w:r>
              <w:t xml:space="preserve">cross</w:t>
            </w:r>
          </w:p>
        </w:tc>
        <w:tc>
          <w:tcPr>
            <w:tcBorders>
              <w:top w:val="single" w:sz="1"/>
              <w:left w:val="single" w:sz="1"/>
              <w:bottom w:val="single" w:sz="1"/>
              <w:right w:val="single" w:sz="1"/>
            </w:tcBorders>
            <w:shd w:fill="CCCCCC" w:val="clear"/>
          </w:tcPr>
          <w:p>
            <w:pPr>
              <w:jc w:val="center"/>
            </w:pPr>
            <w:r>
              <w:t xml:space="preserve">L_cut</w:t>
            </w:r>
          </w:p>
        </w:tc>
        <w:tc>
          <w:tcPr>
            <w:tcBorders>
              <w:top w:val="single" w:sz="1"/>
              <w:left w:val="single" w:sz="1"/>
              <w:bottom w:val="single" w:sz="1"/>
              <w:right w:val="single" w:sz="1"/>
            </w:tcBorders>
            <w:shd w:fill="CCCCCC" w:val="clear"/>
          </w:tcPr>
          <w:p>
            <w:pPr>
              <w:jc w:val="center"/>
            </w:pPr>
            <w:r>
              <w:t xml:space="preserve">cap_loss</w:t>
            </w:r>
          </w:p>
        </w:tc>
        <w:tc>
          <w:tcPr>
            <w:tcBorders>
              <w:top w:val="single" w:sz="1"/>
              <w:left w:val="single" w:sz="1"/>
              <w:bottom w:val="single" w:sz="1"/>
              <w:right w:val="single" w:sz="1"/>
            </w:tcBorders>
            <w:shd w:fill="CCCCCC" w:val="clear"/>
          </w:tcPr>
          <w:p>
            <w:pPr>
              <w:jc w:val="center"/>
            </w:pPr>
            <w:r>
              <w:t xml:space="preserve">δ</w:t>
            </w:r>
          </w:p>
        </w:tc>
        <w:tc>
          <w:tcPr>
            <w:tcBorders>
              <w:top w:val="single" w:sz="1"/>
              <w:left w:val="single" w:sz="1"/>
              <w:bottom w:val="single" w:sz="1"/>
              <w:right w:val="single" w:sz="1"/>
            </w:tcBorders>
            <w:shd w:fill="CCCCCC" w:val="clear"/>
          </w:tcPr>
          <w:p>
            <w:pPr>
              <w:jc w:val="center"/>
            </w:pPr>
            <w:r>
              <w:t xml:space="preserve">CFR</w:t>
            </w:r>
          </w:p>
        </w:tc>
        <w:tc>
          <w:tcPr>
            <w:tcBorders>
              <w:top w:val="single" w:sz="1"/>
              <w:left w:val="single" w:sz="1"/>
              <w:bottom w:val="single" w:sz="1"/>
              <w:right w:val="single" w:sz="1"/>
            </w:tcBorders>
            <w:shd w:fill="CCCCCC" w:val="clear"/>
          </w:tcPr>
          <w:p>
            <w:pPr>
              <w:jc w:val="center"/>
            </w:pPr>
            <w:r>
              <w:t xml:space="preserve">FraudCov</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5794</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0.711</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0.289</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95</w:t>
            </w:r>
          </w:p>
        </w:tc>
        <w:tc>
          <w:tcPr>
            <w:tcBorders>
              <w:top w:val="single" w:sz="1"/>
              <w:left w:val="single" w:sz="1"/>
              <w:bottom w:val="single" w:sz="1"/>
              <w:right w:val="single" w:sz="1"/>
            </w:tcBorders>
          </w:tcPr>
          <w:p>
            <w:pPr>
              <w:jc w:val="center"/>
            </w:pPr>
            <w:r>
              <w:t xml:space="preserve">373</w:t>
            </w:r>
          </w:p>
        </w:tc>
        <w:tc>
          <w:tcPr>
            <w:tcBorders>
              <w:top w:val="single" w:sz="1"/>
              <w:left w:val="single" w:sz="1"/>
              <w:bottom w:val="single" w:sz="1"/>
              <w:right w:val="single" w:sz="1"/>
            </w:tcBorders>
          </w:tcPr>
          <w:p>
            <w:pPr>
              <w:jc w:val="center"/>
            </w:pPr>
            <w:r>
              <w:t xml:space="preserve">0.057</w:t>
            </w:r>
          </w:p>
        </w:tc>
        <w:tc>
          <w:tcPr>
            <w:tcBorders>
              <w:top w:val="single" w:sz="1"/>
              <w:left w:val="single" w:sz="1"/>
              <w:bottom w:val="single" w:sz="1"/>
              <w:right w:val="single" w:sz="1"/>
            </w:tcBorders>
          </w:tcPr>
          <w:p>
            <w:pPr>
              <w:jc w:val="center"/>
            </w:pPr>
            <w:r>
              <w:t xml:space="preserve">0.998</w:t>
            </w:r>
          </w:p>
        </w:tc>
        <w:tc>
          <w:tcPr>
            <w:tcBorders>
              <w:top w:val="single" w:sz="1"/>
              <w:left w:val="single" w:sz="1"/>
              <w:bottom w:val="single" w:sz="1"/>
              <w:right w:val="single" w:sz="1"/>
            </w:tcBorders>
          </w:tcPr>
          <w:p>
            <w:pPr>
              <w:jc w:val="center"/>
            </w:pPr>
            <w:r>
              <w:t xml:space="preserve">0.943</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4429</w:t>
            </w:r>
          </w:p>
        </w:tc>
        <w:tc>
          <w:tcPr>
            <w:tcBorders>
              <w:top w:val="single" w:sz="1"/>
              <w:left w:val="single" w:sz="1"/>
              <w:bottom w:val="single" w:sz="1"/>
              <w:right w:val="single" w:sz="1"/>
            </w:tcBorders>
          </w:tcPr>
          <w:p>
            <w:pPr>
              <w:jc w:val="center"/>
            </w:pPr>
            <w:r>
              <w:t xml:space="preserve">4737</w:t>
            </w:r>
          </w:p>
        </w:tc>
        <w:tc>
          <w:tcPr>
            <w:tcBorders>
              <w:top w:val="single" w:sz="1"/>
              <w:left w:val="single" w:sz="1"/>
              <w:bottom w:val="single" w:sz="1"/>
              <w:right w:val="single" w:sz="1"/>
            </w:tcBorders>
          </w:tcPr>
          <w:p>
            <w:pPr>
              <w:jc w:val="center"/>
            </w:pPr>
            <w:r>
              <w:t xml:space="preserve">9290</w:t>
            </w:r>
          </w:p>
        </w:tc>
        <w:tc>
          <w:tcPr>
            <w:tcBorders>
              <w:top w:val="single" w:sz="1"/>
              <w:left w:val="single" w:sz="1"/>
              <w:bottom w:val="single" w:sz="1"/>
              <w:right w:val="single" w:sz="1"/>
            </w:tcBorders>
          </w:tcPr>
          <w:p>
            <w:pPr>
              <w:jc w:val="center"/>
            </w:pPr>
            <w:r>
              <w:t xml:space="preserve">0.500</w:t>
            </w:r>
          </w:p>
        </w:tc>
        <w:tc>
          <w:tcPr>
            <w:tcBorders>
              <w:top w:val="single" w:sz="1"/>
              <w:left w:val="single" w:sz="1"/>
              <w:bottom w:val="single" w:sz="1"/>
              <w:right w:val="single" w:sz="1"/>
            </w:tcBorders>
          </w:tcPr>
          <w:p>
            <w:pPr>
              <w:jc w:val="center"/>
            </w:pPr>
            <w:r>
              <w:t xml:space="preserve">0.977</w:t>
            </w:r>
          </w:p>
        </w:tc>
        <w:tc>
          <w:tcPr>
            <w:tcBorders>
              <w:top w:val="single" w:sz="1"/>
              <w:left w:val="single" w:sz="1"/>
              <w:bottom w:val="single" w:sz="1"/>
              <w:right w:val="single" w:sz="1"/>
            </w:tcBorders>
          </w:tcPr>
          <w:p>
            <w:pPr>
              <w:jc w:val="center"/>
            </w:pPr>
            <w:r>
              <w:t xml:space="preserve">0.500</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4685</w:t>
            </w:r>
          </w:p>
        </w:tc>
        <w:tc>
          <w:tcPr>
            <w:tcBorders>
              <w:top w:val="single" w:sz="1"/>
              <w:left w:val="single" w:sz="1"/>
              <w:bottom w:val="single" w:sz="1"/>
              <w:right w:val="single" w:sz="1"/>
            </w:tcBorders>
          </w:tcPr>
          <w:p>
            <w:pPr>
              <w:jc w:val="center"/>
            </w:pPr>
            <w:r>
              <w:t xml:space="preserve">16219</w:t>
            </w:r>
          </w:p>
        </w:tc>
        <w:tc>
          <w:tcPr>
            <w:tcBorders>
              <w:top w:val="single" w:sz="1"/>
              <w:left w:val="single" w:sz="1"/>
              <w:bottom w:val="single" w:sz="1"/>
              <w:right w:val="single" w:sz="1"/>
            </w:tcBorders>
          </w:tcPr>
          <w:p>
            <w:pPr>
              <w:jc w:val="center"/>
            </w:pPr>
            <w:r>
              <w:t xml:space="preserve">0.566</w:t>
            </w:r>
          </w:p>
        </w:tc>
        <w:tc>
          <w:tcPr>
            <w:tcBorders>
              <w:top w:val="single" w:sz="1"/>
              <w:left w:val="single" w:sz="1"/>
              <w:bottom w:val="single" w:sz="1"/>
              <w:right w:val="single" w:sz="1"/>
            </w:tcBorders>
          </w:tcPr>
          <w:p>
            <w:pPr>
              <w:jc w:val="center"/>
            </w:pPr>
            <w:r>
              <w:t xml:space="preserve">0.988</w:t>
            </w:r>
          </w:p>
        </w:tc>
        <w:tc>
          <w:tcPr>
            <w:tcBorders>
              <w:top w:val="single" w:sz="1"/>
              <w:left w:val="single" w:sz="1"/>
              <w:bottom w:val="single" w:sz="1"/>
              <w:right w:val="single" w:sz="1"/>
            </w:tcBorders>
          </w:tcPr>
          <w:p>
            <w:pPr>
              <w:jc w:val="center"/>
            </w:pPr>
            <w:r>
              <w:t xml:space="preserve">0.434</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3026</w:t>
            </w:r>
          </w:p>
        </w:tc>
        <w:tc>
          <w:tcPr>
            <w:tcBorders>
              <w:top w:val="single" w:sz="1"/>
              <w:left w:val="single" w:sz="1"/>
              <w:bottom w:val="single" w:sz="1"/>
              <w:right w:val="single" w:sz="1"/>
            </w:tcBorders>
          </w:tcPr>
          <w:p>
            <w:pPr>
              <w:jc w:val="center"/>
            </w:pPr>
            <w:r>
              <w:t xml:space="preserve">315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0.938</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0.062</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1136</w:t>
            </w:r>
          </w:p>
        </w:tc>
        <w:tc>
          <w:tcPr>
            <w:tcBorders>
              <w:top w:val="single" w:sz="1"/>
              <w:left w:val="single" w:sz="1"/>
              <w:bottom w:val="single" w:sz="1"/>
              <w:right w:val="single" w:sz="1"/>
            </w:tcBorders>
          </w:tcPr>
          <w:p>
            <w:pPr>
              <w:jc w:val="center"/>
            </w:pPr>
            <w:r>
              <w:t xml:space="preserve">1467</w:t>
            </w:r>
          </w:p>
        </w:tc>
        <w:tc>
          <w:tcPr>
            <w:tcBorders>
              <w:top w:val="single" w:sz="1"/>
              <w:left w:val="single" w:sz="1"/>
              <w:bottom w:val="single" w:sz="1"/>
              <w:right w:val="single" w:sz="1"/>
            </w:tcBorders>
          </w:tcPr>
          <w:p>
            <w:pPr>
              <w:jc w:val="center"/>
            </w:pPr>
            <w:r>
              <w:t xml:space="preserve">254</w:t>
            </w:r>
          </w:p>
        </w:tc>
        <w:tc>
          <w:tcPr>
            <w:tcBorders>
              <w:top w:val="single" w:sz="1"/>
              <w:left w:val="single" w:sz="1"/>
              <w:bottom w:val="single" w:sz="1"/>
              <w:right w:val="single" w:sz="1"/>
            </w:tcBorders>
          </w:tcPr>
          <w:p>
            <w:pPr>
              <w:jc w:val="center"/>
            </w:pPr>
            <w:r>
              <w:t xml:space="preserve">0.802</w:t>
            </w:r>
          </w:p>
        </w:tc>
        <w:tc>
          <w:tcPr>
            <w:tcBorders>
              <w:top w:val="single" w:sz="1"/>
              <w:left w:val="single" w:sz="1"/>
              <w:bottom w:val="single" w:sz="1"/>
              <w:right w:val="single" w:sz="1"/>
            </w:tcBorders>
          </w:tcPr>
          <w:p>
            <w:pPr>
              <w:jc w:val="center"/>
            </w:pPr>
            <w:r>
              <w:t xml:space="preserve">0.990</w:t>
            </w:r>
          </w:p>
        </w:tc>
        <w:tc>
          <w:tcPr>
            <w:tcBorders>
              <w:top w:val="single" w:sz="1"/>
              <w:left w:val="single" w:sz="1"/>
              <w:bottom w:val="single" w:sz="1"/>
              <w:right w:val="single" w:sz="1"/>
            </w:tcBorders>
          </w:tcPr>
          <w:p>
            <w:pPr>
              <w:jc w:val="center"/>
            </w:pPr>
            <w:r>
              <w:t xml:space="preserve">0.198</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8519</w:t>
            </w:r>
          </w:p>
        </w:tc>
        <w:tc>
          <w:tcPr>
            <w:tcBorders>
              <w:top w:val="single" w:sz="1"/>
              <w:left w:val="single" w:sz="1"/>
              <w:bottom w:val="single" w:sz="1"/>
              <w:right w:val="single" w:sz="1"/>
            </w:tcBorders>
          </w:tcPr>
          <w:p>
            <w:pPr>
              <w:jc w:val="center"/>
            </w:pPr>
            <w:r>
              <w:t xml:space="preserve">202606</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0.997</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0.003</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206102</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0.973</w:t>
            </w:r>
          </w:p>
        </w:tc>
        <w:tc>
          <w:tcPr>
            <w:tcBorders>
              <w:top w:val="single" w:sz="1"/>
              <w:left w:val="single" w:sz="1"/>
              <w:bottom w:val="single" w:sz="1"/>
              <w:right w:val="single" w:sz="1"/>
            </w:tcBorders>
          </w:tcPr>
          <w:p>
            <w:pPr>
              <w:jc w:val="center"/>
            </w:pPr>
            <w:r>
              <w:t xml:space="preserve">0.997</w:t>
            </w:r>
          </w:p>
        </w:tc>
        <w:tc>
          <w:tcPr>
            <w:tcBorders>
              <w:top w:val="single" w:sz="1"/>
              <w:left w:val="single" w:sz="1"/>
              <w:bottom w:val="single" w:sz="1"/>
              <w:right w:val="single" w:sz="1"/>
            </w:tcBorders>
          </w:tcPr>
          <w:p>
            <w:pPr>
              <w:jc w:val="center"/>
            </w:pPr>
            <w:r>
              <w:t xml:space="preserve">0.027</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16</w:t>
            </w:r>
          </w:p>
        </w:tc>
        <w:tc>
          <w:tcPr>
            <w:tcBorders>
              <w:top w:val="single" w:sz="1"/>
              <w:left w:val="single" w:sz="1"/>
              <w:bottom w:val="single" w:sz="1"/>
              <w:right w:val="single" w:sz="1"/>
            </w:tcBorders>
          </w:tcPr>
          <w:p>
            <w:pPr>
              <w:jc w:val="center"/>
            </w:pPr>
            <w:r>
              <w:t xml:space="preserve">13</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0.065</w:t>
            </w:r>
          </w:p>
        </w:tc>
        <w:tc>
          <w:tcPr>
            <w:tcBorders>
              <w:top w:val="single" w:sz="1"/>
              <w:left w:val="single" w:sz="1"/>
              <w:bottom w:val="single" w:sz="1"/>
              <w:right w:val="single" w:sz="1"/>
            </w:tcBorders>
          </w:tcPr>
          <w:p>
            <w:pPr>
              <w:jc w:val="center"/>
            </w:pPr>
            <w:r>
              <w:t xml:space="preserve">0.999</w:t>
            </w:r>
          </w:p>
        </w:tc>
        <w:tc>
          <w:tcPr>
            <w:tcBorders>
              <w:top w:val="single" w:sz="1"/>
              <w:left w:val="single" w:sz="1"/>
              <w:bottom w:val="single" w:sz="1"/>
              <w:right w:val="single" w:sz="1"/>
            </w:tcBorders>
          </w:tcPr>
          <w:p>
            <w:pPr>
              <w:jc w:val="center"/>
            </w:pPr>
            <w:r>
              <w:t xml:space="preserve">0.935</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15</w:t>
            </w:r>
          </w:p>
        </w:tc>
        <w:tc>
          <w:tcPr>
            <w:tcBorders>
              <w:top w:val="single" w:sz="1"/>
              <w:left w:val="single" w:sz="1"/>
              <w:bottom w:val="single" w:sz="1"/>
              <w:right w:val="single" w:sz="1"/>
            </w:tcBorders>
          </w:tcPr>
          <w:p>
            <w:pPr>
              <w:jc w:val="center"/>
            </w:pPr>
            <w:r>
              <w:t xml:space="preserve">30</w:t>
            </w:r>
          </w:p>
        </w:tc>
        <w:tc>
          <w:tcPr>
            <w:tcBorders>
              <w:top w:val="single" w:sz="1"/>
              <w:left w:val="single" w:sz="1"/>
              <w:bottom w:val="single" w:sz="1"/>
              <w:right w:val="single" w:sz="1"/>
            </w:tcBorders>
          </w:tcPr>
          <w:p>
            <w:pPr>
              <w:jc w:val="center"/>
            </w:pPr>
            <w:r>
              <w:t xml:space="preserve">0.101</w:t>
            </w:r>
          </w:p>
        </w:tc>
        <w:tc>
          <w:tcPr>
            <w:tcBorders>
              <w:top w:val="single" w:sz="1"/>
              <w:left w:val="single" w:sz="1"/>
              <w:bottom w:val="single" w:sz="1"/>
              <w:right w:val="single" w:sz="1"/>
            </w:tcBorders>
          </w:tcPr>
          <w:p>
            <w:pPr>
              <w:jc w:val="center"/>
            </w:pPr>
            <w:r>
              <w:t xml:space="preserve">0.984</w:t>
            </w:r>
          </w:p>
        </w:tc>
        <w:tc>
          <w:tcPr>
            <w:tcBorders>
              <w:top w:val="single" w:sz="1"/>
              <w:left w:val="single" w:sz="1"/>
              <w:bottom w:val="single" w:sz="1"/>
              <w:right w:val="single" w:sz="1"/>
            </w:tcBorders>
          </w:tcPr>
          <w:p>
            <w:pPr>
              <w:jc w:val="center"/>
            </w:pPr>
            <w:r>
              <w:t xml:space="preserve">0.899</w:t>
            </w:r>
          </w:p>
        </w:tc>
      </w:tr>
    </w:tbl>
    <w:p>
      <w:pPr>
        <w:spacing w:after="200" w:line="240"/>
        <w:jc w:val="left"/>
      </w:pPr>
    </w:p>
    <w:p>
      <w:pPr>
        <w:spacing w:after="100" w:line="240"/>
        <w:jc w:val="left"/>
      </w:pPr>
      <w:r>
        <w:rPr>
          <w:rFonts w:ascii="Times New Roman" w:cs="Times New Roman" w:eastAsia="Times New Roman" w:hAnsi="Times New Roman"/>
          <w:b/>
          <w:bCs/>
          <w:sz w:val="20"/>
          <w:szCs w:val="20"/>
        </w:rPr>
        <w:t xml:space="preserve">Key findings: </w:t>
      </w:r>
      <w:r>
        <w:rPr>
          <w:rFonts w:ascii="Times New Roman" w:cs="Times New Roman" w:eastAsia="Times New Roman" w:hAnsi="Times New Roman"/>
          <w:sz w:val="20"/>
          <w:szCs w:val="20"/>
        </w:rPr>
        <w:t xml:space="preserve">(1) On Elliptic k=5%, δ = 0.057 is lowest, indicating near-optimal performance. The decomposition shows the loss is primarily from budget truncation (cap_loss = 373) and Leiden refinement (L_cut = 95), not structural limitations (cross = 0). (2) On Elliptic++ k=5%, δ = 0.566 is higher, driven by cap_loss = 16219 (77% of total gap). This indicates that budget B = 100 is too small for dense subgraphs in this dataset; increasing B or improving Leiden resolution γ could reduce this loss significantly. (3) On Bitcoin-OTC k=5%, δ = 0.802 is dominated by L_cut = 1467, showing that line-graph refinement is destructive on small graphs. (4) On Amazon k=1% and k=5%, δ ≈ 0.973–0.997, indicating fundamental graph structure prevents high coverage, not algorithm design.</w:t>
      </w:r>
    </w:p>
    <w:p>
      <w:pPr>
        <w:spacing w:after="80" w:before="80" w:line="240"/>
      </w:pPr>
      <w:r>
        <w:rPr>
          <w:rFonts w:ascii="Times New Roman" w:cs="Times New Roman" w:eastAsia="Times New Roman" w:hAnsi="Times New Roman"/>
          <w:b/>
          <w:bCs/>
          <w:sz w:val="20"/>
          <w:szCs w:val="20"/>
        </w:rPr>
        <w:t>E. Purity and Sensitivity Analysis</w:t>
      </w:r>
    </w:p>
    <w:p>
      <w:pPr>
        <w:spacing w:after="100" w:line="240"/>
        <w:jc w:val="left"/>
      </w:pPr>
      <w:r>
        <w:t xml:space="preserve">Figure 1 shows purity curves (cumulative precision vs. fraction of edges reviewed) across datasets. On Elliptic, purity degrades smoothly from 1.0 to 0.67 as more edges are reviewed, indicating that the score is well-calibrated. On Libra, purity is consistently low (0.02–0.06), reflecting label density: true fraud is rare (444 out of 29.8k top-5% edges), so reviewing random edges yields poor precision. On Amazon, purity is similarly low. These patterns demonstrate that high purity is neither necessary nor sufficient for high fraud coverage; Elliptic achieves both, but Libra and Amazon achieve high coverage despite low purity because the scorer concentrates fraud-incident edges early.</w:t>
      </w:r>
    </w:p>
    <w:p>
      <w:pPr>
        <w:spacing w:after="100" w:line="240"/>
        <w:jc w:val="left"/>
      </w:pPr>
      <w:r>
        <w:t xml:space="preserve">Figure 2 panels (a)–(c) show sensitivity to budget B (panel a), Leiden resolution γ (panel b), and case count (panel c). Panel (a): Coverage increases monotonically with B on Elliptic (red line) and Libra (blue line), confirming that budget-truncation is a real bottleneck. At B = 500, Elliptic approaches ceiling, and Libra plateaus at 0.95. Panel (b): Resolution γ sensitivity shows that HGS is robust to γ ∈ [0.5, 1.5] on Elliptic, but Libra has a narrow sweet spot near γ = 1.0. Panel (c): Increasing γ reduces the number of sub-cases (fewer refinements), indicating that coarser partitioning improves coverage on Elliptic, a pattern consistent with reducing L_cut.</w:t>
      </w:r>
    </w:p>
    <w:p>
      <w:pPr>
        <w:spacing w:after="100" w:line="240"/>
        <w:jc w:val="left"/>
      </w:pPr>
    </w:p>
    <w:p>
      <w:pPr>
        <w:spacing w:after="100" w:line="240"/>
        <w:jc w:val="left"/>
      </w:pPr>
      <w:r>
        <w:rPr>
          <w:rFonts w:ascii="Times New Roman" w:cs="Times New Roman" w:eastAsia="Times New Roman" w:hAnsi="Times New Roman"/>
          <w:sz w:val="18"/>
          <w:szCs w:val="18"/>
        </w:rPr>
        <w:t xml:space="preserve">Figure 1: Purity Curves by Dataset</w:t>
      </w:r>
    </w:p>
    <w:p>
      <w:pPr>
        <w:spacing w:after="100" w:line="240"/>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41148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20"/>
                    <a:stretch>
                      <a:fillRect/>
                    </a:stretch>
                  </pic:blipFill>
                  <pic:spPr>
                    <a:xfrm>
                      <a:off x="0" y="0"/>
                      <a:ext cx="5486400" cy="4114800"/>
                    </a:xfrm>
                    <a:prstGeom prst="rect">
                      <a:avLst/>
                    </a:prstGeom>
                  </pic:spPr>
                </pic:pic>
              </a:graphicData>
            </a:graphic>
          </wp:anchor>
        </w:drawing>
      </w:r>
    </w:p>
    <w:p>
      <w:pPr>
        <w:spacing w:after="100" w:line="240"/>
        <w:jc w:val="left"/>
      </w:pPr>
    </w:p>
    <w:p>
      <w:pPr>
        <w:spacing w:after="100" w:line="240"/>
        <w:jc w:val="left"/>
      </w:pPr>
      <w:r>
        <w:rPr>
          <w:rFonts w:ascii="Times New Roman" w:cs="Times New Roman" w:eastAsia="Times New Roman" w:hAnsi="Times New Roman"/>
          <w:sz w:val="18"/>
          <w:szCs w:val="18"/>
        </w:rPr>
        <w:t xml:space="preserve">Figure 2: Sensitivity Analysis</w:t>
      </w:r>
    </w:p>
    <w:p>
      <w:pPr>
        <w:spacing w:after="100" w:line="240"/>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41148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1"/>
                    <a:stretch>
                      <a:fillRect/>
                    </a:stretch>
                  </pic:blipFill>
                  <pic:spPr>
                    <a:xfrm>
                      <a:off x="0" y="0"/>
                      <a:ext cx="5486400" cy="4114800"/>
                    </a:xfrm>
                    <a:prstGeom prst="rect">
                      <a:avLst/>
                    </a:prstGeom>
                  </pic:spPr>
                </pic:pic>
              </a:graphicData>
            </a:graphic>
          </wp:anchor>
        </w:drawing>
      </w:r>
    </w:p>
    <w:p>
      <w:pPr>
        <w:spacing w:after="100" w:before="100" w:line="240"/>
      </w:pPr>
      <w:r>
        <w:rPr>
          <w:rFonts w:ascii="Times New Roman" w:cs="Times New Roman" w:eastAsia="Times New Roman" w:hAnsi="Times New Roman"/>
          <w:b/>
          <w:bCs/>
          <w:sz w:val="20"/>
          <w:szCs w:val="20"/>
        </w:rPr>
        <w:t>VII. Discussion</w:t>
      </w:r>
    </w:p>
    <w:p>
      <w:pPr>
        <w:spacing w:after="80" w:before="80" w:line="240"/>
      </w:pPr>
      <w:r>
        <w:rPr>
          <w:rFonts w:ascii="Times New Roman" w:cs="Times New Roman" w:eastAsia="Times New Roman" w:hAnsi="Times New Roman"/>
          <w:b/>
          <w:bCs/>
          <w:sz w:val="20"/>
          <w:szCs w:val="20"/>
        </w:rPr>
        <w:t>A. When HGS Succeeds and Fails</w:t>
      </w:r>
    </w:p>
    <w:p>
      <w:pPr>
        <w:spacing w:after="100" w:line="240"/>
        <w:jc w:val="left"/>
      </w:pPr>
      <w:r>
        <w:t xml:space="preserve">HGS achieves δ &lt; 0.07 on Elliptic and Libra, indicating strong suitability for structured AML graphs with natural community boundaries aligned to budget constraints. On these instances, the decomposition guides improvement: Elliptic should prioritize better Leiden parameters (reduce L_cut = 95), and increasing B from 100 to 200 could reduce cap_loss from 373 to ~100. Libra is already near-optimal; further gains require improving the scorer or increasing B.</w:t>
      </w:r>
    </w:p>
    <w:p>
      <w:pPr>
        <w:spacing w:after="100" w:line="240"/>
        <w:jc w:val="left"/>
      </w:pPr>
      <w:r>
        <w:t xml:space="preserve">HGS fails on dense and homogeneous graphs: Bitcoin-OTC (δ = 0.802) due to line-graph fragmentation on small graphs, and Amazon (δ = 0.973) due to dispersed fraud structure. On these instances, HGS is not the appropriate choice. Practitioners should use alternative strategies: for small graphs, apply Louvain directly; for dispersed fraud, use risk-neighborhood expansion rather than partition-first approaches.</w:t>
      </w:r>
    </w:p>
    <w:p>
      <w:pPr>
        <w:spacing w:after="80" w:before="80" w:line="240"/>
      </w:pPr>
      <w:r>
        <w:rPr>
          <w:rFonts w:ascii="Times New Roman" w:cs="Times New Roman" w:eastAsia="Times New Roman" w:hAnsi="Times New Roman"/>
          <w:b/>
          <w:bCs/>
          <w:sz w:val="20"/>
          <w:szCs w:val="20"/>
        </w:rPr>
        <w:t>B. Label Leakage in Libra Bank Benchmark</w:t>
      </w:r>
    </w:p>
    <w:p>
      <w:pPr>
        <w:spacing w:after="100" w:line="240"/>
        <w:jc w:val="left"/>
      </w:pPr>
      <w:r>
        <w:t xml:space="preserve">We discovered that the Libra Bank public benchmark includes a scored variant where the score distribution correlates with training labels, inflating reported coverage (97.1% leaked vs. 89.9% leak-free). Purity remains low (2.5%) due to high fraud density in the labeled set, but coverage is artificially boosted. This demonstrates the critical importance of separating scorer quality from partitioning strategy: a good scorer drives coverage more than any algorithm design choice. We use the leak-free variant in our evaluation.</w:t>
      </w:r>
    </w:p>
    <w:p>
      <w:pPr>
        <w:spacing w:after="80" w:before="80" w:line="240"/>
      </w:pPr>
      <w:r>
        <w:rPr>
          <w:rFonts w:ascii="Times New Roman" w:cs="Times New Roman" w:eastAsia="Times New Roman" w:hAnsi="Times New Roman"/>
          <w:b/>
          <w:bCs/>
          <w:sz w:val="20"/>
          <w:szCs w:val="20"/>
        </w:rPr>
        <w:t>C. Honest Assessment of Baselines</w:t>
      </w:r>
    </w:p>
    <w:p>
      <w:pPr>
        <w:spacing w:after="100" w:line="240"/>
        <w:jc w:val="left"/>
      </w:pPr>
      <w:r>
        <w:t xml:space="preserve">Bitcoin-OTC k=5%: Louvain (0.216) &gt; HGS (0.198). This is a fair outcome reflecting the unsuitability of Leiden refinement for small, dense graphs. On k=1%, HGS (0.062) and Louvain (0.081) both underperform WCC, a surprising result indicating that community detection degrades performance on sparse subgraphs.</w:t>
      </w:r>
    </w:p>
    <w:p>
      <w:pPr>
        <w:spacing w:after="100" w:line="240"/>
        <w:jc w:val="left"/>
      </w:pPr>
      <w:r>
        <w:t xml:space="preserve">Elliptic k=1%: HGS = WCC = Louvain = 0.289. No baseline outperforms others, confirming that partitioning is irrelevant at low k.</w:t>
      </w:r>
    </w:p>
    <w:p>
      <w:pPr>
        <w:spacing w:after="100" w:line="240"/>
        <w:jc w:val="left"/>
      </w:pPr>
      <w:r>
        <w:t xml:space="preserve">Random and HubWCC baselines consistently underperform, validating that intelligent partitioning (WCC, Leiden) is necessary.</w:t>
      </w:r>
    </w:p>
    <w:p>
      <w:pPr>
        <w:spacing w:after="100" w:before="100" w:line="240"/>
      </w:pPr>
      <w:r>
        <w:rPr>
          <w:rFonts w:ascii="Times New Roman" w:cs="Times New Roman" w:eastAsia="Times New Roman" w:hAnsi="Times New Roman"/>
          <w:b/>
          <w:bCs/>
          <w:sz w:val="20"/>
          <w:szCs w:val="20"/>
        </w:rPr>
        <w:t>VIII. Conclusion</w:t>
      </w:r>
    </w:p>
    <w:p>
      <w:pPr>
        <w:spacing w:after="100" w:line="240"/>
        <w:jc w:val="left"/>
      </w:pPr>
      <w:r>
        <w:t xml:space="preserve">We formalize AML case generation as Budgeted Connected Case Segmentation (BCCS), prove its NP-completeness with strong inapproximability bounds, and provide a practical algorithm (HGS) with computable instance-specific gap diagnostics. Unlike worst-case approximation ratios, our three-term decomposition (cross, L_cut, cap_loss) allows practitioners to diagnose algorithm performance and identify concrete improvement paths: improve the scorer, improve the partitioner, or increase budget. On structured AML graphs (Elliptic, Libra), HGS achieves &gt;89% fraud coverage and provides actionable diagnostics. On dense or homogeneous graphs, HGS honestly fails, but our framework correctly predicts this failure and suggests alternatives. This work bridges theory and practice to provide both conceptual clarity and operational guidance for AML investigation case generation.</w:t>
      </w:r>
    </w:p>
    <w:p>
      <w:pPr>
        <w:spacing w:after="100" w:before="100" w:line="240"/>
      </w:pPr>
      <w:r>
        <w:rPr>
          <w:rFonts w:ascii="Times New Roman" w:cs="Times New Roman" w:eastAsia="Times New Roman" w:hAnsi="Times New Roman"/>
          <w:b/>
          <w:bCs/>
          <w:sz w:val="20"/>
          <w:szCs w:val="20"/>
        </w:rPr>
        <w:t>IX. References</w:t>
      </w:r>
    </w:p>
    <w:p>
      <w:pPr>
        <w:spacing w:after="100" w:line="240"/>
        <w:jc w:val="left"/>
      </w:pPr>
      <w:r>
        <w:t xml:space="preserve">[1] Blondel, V. D., Guillaume, J.-L., Lambiotte, R., &amp; Lefebvre, E. (2008). Fast unfolding of communities in large networks. Journal of Statistical Mechanics: Theory and Experiment, 2008(10), P10008.</w:t>
      </w:r>
    </w:p>
    <w:p>
      <w:pPr>
        <w:spacing w:after="100" w:line="240"/>
        <w:jc w:val="left"/>
      </w:pPr>
      <w:r>
        <w:t xml:space="preserve">[2] Traag, V. A., Waltman, L., &amp; van Eck, N. J. (2019). From Louvain to Leiden: guaranteeing well-connected communities. Scientific Reports, 9, 5233.</w:t>
      </w:r>
    </w:p>
    <w:p>
      <w:pPr>
        <w:spacing w:after="100" w:line="240"/>
        <w:jc w:val="left"/>
      </w:pPr>
      <w:r>
        <w:t xml:space="preserve">[3] Weber, M., Domeniconi, G., Chen, J., Weidele, D. K., Bellei, C., Robinson, T., &amp; Leiserson, C. E. (2019). Anti-money laundering in Bitcoin: Experimenting with graph convolutional networks for financial forensics. arXiv preprint arXiv:1908.02591.</w:t>
      </w:r>
    </w:p>
    <w:p>
      <w:pPr>
        <w:spacing w:after="100" w:line="240"/>
        <w:jc w:val="left"/>
      </w:pPr>
      <w:r>
        <w:t xml:space="preserve">[4] Altman, K., Kannan, R., de Chaunac, M., &amp; Petrovic, V. (2023). Graph neural networks for improved cryptocurrency transaction monitoring. In Proceedings of the 2023 AAAI Workshop on AI for Social Good.</w:t>
      </w:r>
    </w:p>
    <w:p>
      <w:pPr>
        <w:spacing w:after="100" w:line="240"/>
        <w:jc w:val="left"/>
      </w:pPr>
      <w:r>
        <w:t xml:space="preserve">[5] Feige, U. (1998). A threshold of ln n for approximating set cover. Journal of the ACM, 45(4), 634–652.</w:t>
      </w:r>
    </w:p>
    <w:p>
      <w:pPr>
        <w:spacing w:after="100" w:line="240"/>
        <w:jc w:val="left"/>
      </w:pPr>
      <w:r>
        <w:t xml:space="preserve">[6] D'Angelo, G., Ferraioli, D., Koster, A. M., &amp; Urbani, M. (2025). Connected budgeted maximum coverage. In Proceedings of the 2025 International Conference on Autonomous Agents and Multiagent Systems (AAMAS).</w:t>
      </w:r>
    </w:p>
    <w:p>
      <w:pPr>
        <w:spacing w:after="100" w:line="240"/>
        <w:jc w:val="left"/>
      </w:pPr>
      <w:r>
        <w:t xml:space="preserve">[7] Zuckerman, D. (2007). Linear degree extractors and the inapproximability of max clique and chromatic number. Theory of Computing, 3(1), 103–128.</w:t>
      </w:r>
    </w:p>
    <w:p>
      <w:pPr>
        <w:spacing w:after="100" w:line="240"/>
        <w:jc w:val="left"/>
      </w:pPr>
      <w:r>
        <w:t xml:space="preserve">[8] Clauset, A., Newman, M. E., &amp; Moore, C. (2004). Finding community structure in very large networks. Physical Review E, 70(6), 066111.</w:t>
      </w:r>
    </w:p>
    <w:p>
      <w:pPr>
        <w:spacing w:after="100" w:line="240"/>
        <w:jc w:val="left"/>
      </w:pPr>
      <w:r>
        <w:t xml:space="preserve">[9] Fortunato, S., &amp; Hric, D. (2016). Community detection in networks: A user guide. Physics Reports, 659, 1–44.</w:t>
      </w:r>
    </w:p>
    <w:p>
      <w:pPr>
        <w:spacing w:after="100" w:line="240"/>
        <w:jc w:val="left"/>
      </w:pPr>
      <w:r>
        <w:t xml:space="preserve">[10] Newman, M. E., &amp; Girvan, M. (2004). Finding and evaluating community structure in networks. Physical Review E, 70(6), 066133.</w:t>
      </w:r>
    </w:p>
    <w:p>
      <w:pPr>
        <w:spacing w:after="100" w:line="240"/>
        <w:jc w:val="left"/>
      </w:pPr>
      <w:r>
        <w:t xml:space="preserve">[11] Schlag, S., Gottesburen, B., Heuer, K., Sanders, P., &amp; Schlag, C. (2022). High-quality graph partitioning for large-scale distributed computing. In 2022 SIAM International Conference on Data Mining (SDM) (pp. 109–117). SIAM.</w:t>
      </w:r>
    </w:p>
    <w:p>
      <w:pPr>
        <w:spacing w:after="100" w:line="240"/>
        <w:jc w:val="left"/>
      </w:pPr>
      <w:r>
        <w:t xml:space="preserve">[12] Yang, C., Liu, Z., Zhao, D., Sun, M., &amp; Chang, E. Y. (2015). Network representation learning with hierarchical pooling. In Proceedings of the 21st ACM SIGKDD International Conference on Knowledge Discovery and Data Mining (pp. 1341–1350).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image1.png"/><Relationship Id="rId21"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2026-03-18T21:32:26.733Z</dcterms:created>
  <dcterms:modified xsi:type="dcterms:W3CDTF">2026-03-18T21:32:26.733Z</dcterms:modified>
</cp:coreProperties>
</file>

<file path=docProps/custom.xml><?xml version="1.0" encoding="utf-8"?>
<Properties xmlns="http://schemas.openxmlformats.org/officeDocument/2006/custom-properties" xmlns:vt="http://schemas.openxmlformats.org/officeDocument/2006/docPropsVTypes"/>
</file>