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Budgeted Connected Case Segmentation for AML Investigation Case Generation</w:t>
      </w:r>
    </w:p>
    <w:p>
      <w:pPr>
        <w:spacing w:after="200"/>
        <w:jc w:val="center"/>
      </w:pPr>
      <w:r>
        <w:t xml:space="preserve">Anonymous Submission</w:t>
      </w:r>
    </w:p>
    <w:p>
      <w:pPr>
        <w:spacing w:after="100"/>
      </w:pPr>
      <w:r>
        <w:rPr>
          <w:rFonts w:ascii="Times New Roman" w:cs="Times New Roman" w:eastAsia="Times New Roman" w:hAnsi="Times New Roman"/>
          <w:b/>
          <w:bCs/>
          <w:sz w:val="20"/>
          <w:szCs w:val="20"/>
        </w:rPr>
        <w:t xml:space="preserve">Abstract</w:t>
      </w:r>
    </w:p>
    <w:p>
      <w:pPr>
        <w:spacing w:after="100" w:line="240"/>
        <w:jc w:val="left"/>
      </w:pPr>
      <w:r>
        <w:t xml:space="preserve">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|E(C_i)| ≤ B, and the analyst reviews top-B edges (presented edges P(C_i)) from each case. We prove BCCS is NP-complete with strong inapproximability (|V|^(1−ε)), but provide computable instance-specific gap bounds that characterize algorithm performance. We propose Hierarchical Graph Segmentation (HGS), which combines weakly connected components (WCC) with Leiden community detection over a temporal edge proximity graph to balance partition quality and budget feasibility. On five graph datasets spanning AML transaction monitoring (Elliptic, Elliptic++, Libra Bank), trust networks (Bitcoin-OTC), and e-commerce fraud (Amazon Fraud), HGS achieves high fraud coverage on structured AML graphs (94.3% on Elliptic, 89.9% on Libra Bank at k=5%), with weaker performance on dense or homogeneous graphs (19.8% Bitcoin-OTC, 2.7% Amazon Fraud), correctly predicted by our diagnostic framework. Our instance-specific gap analysis reveals why HGS succeeds on structured AML graphs (δ = 0.057 on Elliptic and δ = 0.101 on Libra at k=5%) and fails on homogeneous graphs (δ ≈ 0.97), providing actionable diagnostic metrics through a three-term decomposition (cross-WCC edges, Leiden cuts, budget truncation loss). The gap bound framework offers practitioners a computable tool to assess algorithm suitability and identify improvement directions before deployment.</w:t>
      </w:r>
    </w:p>
    <w:p>
      <w:pPr>
        <w:spacing w:after="200" w:line="240"/>
        <w:jc w:val="left"/>
      </w:pPr>
      <w:r>
        <w:t xml:space="preserve">Keywords: anti-money laundering, graph partitioning, community detection, case generation, budget constraints, NP-hardness, instance-specific gaps.</w:t>
      </w:r>
    </w:p>
    <w:p>
      <w:pPr>
        <w:spacing w:after="100" w:before="100" w:line="240"/>
      </w:pPr>
      <w:r>
        <w:rPr>
          <w:rFonts w:ascii="Times New Roman" w:cs="Times New Roman" w:eastAsia="Times New Roman" w:hAnsi="Times New Roman"/>
          <w:b/>
          <w:bCs/>
          <w:sz w:val="20"/>
          <w:szCs w:val="20"/>
        </w:rPr>
        <w:t>I. Introduction</w:t>
      </w:r>
    </w:p>
    <w:p>
      <w:pPr>
        <w:spacing w:after="100" w:line="240"/>
        <w:jc w:val="left"/>
      </w:pPr>
      <w:r>
        <w:t xml:space="preserve">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00" w:line="240"/>
        <w:jc w:val="left"/>
      </w:pPr>
      <w:r>
        <w:t xml:space="preserve">Formally, we define Budgeted Connected Case Segmentation (BCCS): given a transaction graph G = (V, E), fraud labels y: E → {0,1}, risk scores s: E → [0,1], and parameters k (top-k selection fraction) and B (per-case edge budget), partition V_k (nodes in top-k subgraph) to maximize fraud edge coverage subject to |E(C_i)| ≤ B for all cases C_i (induced edges constraint). The analyst then reviews at most B edges per case (presented edges P(C_i) ⊆ E(C_i)).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We prove three main results: (1) BCCS is NP-complete (reduction from Maximum Independent Set, Theorem 1). (2) Strong inapproximability: no poly-time algorithm can approximate BCCS within |V|^(1−ε) for any ε &gt; 0 unless P = NP (Corollary 1, via Zuckerman 2007). (3) Instance-specific gap decomposition: for any instance, OPT − HGS ≤ cross + L_cut + cap_loss, where cross counts fraud edges spanning WCCs, L_cut counts Leiden-split edges, and cap_loss counts fraud edges removed by budget truncation. This is NOT a worst-case approximation ratio, but a computable diagnostic that explains algorithm performance.</w:t>
      </w:r>
    </w:p>
    <w:p>
      <w:pPr>
        <w:spacing w:after="100" w:line="240"/>
        <w:jc w:val="left"/>
      </w:pPr>
      <w:r>
        <w:t xml:space="preserve">Despite worst-case hardness, real AML graphs exhibit structure: natural fraud communities often align with budget boundaries. We exploit this via Hierarchical Graph Segmentation (HGS): (i) extract top-k highest-risk edges, (ii) partition by weakly connected components of the top-k subgraph, (iii) apply Leiden community detection to over-budget components using a temporal edge proximity graph (two top-k edges are adjacent if they share an endpoint and timestamps differ by ≤ δ_L), (iv) cap each case to top-B presented edges by score. HGS is intuitive, scalable (near-linear for typical AML graphs: O(K·min(d_max, 500)) where K is number of top-k edges), and achieves high fraud coverage on structured AML graphs: 94.3% on Elliptic and 89.9% on Libra Bank at k=5%.</w:t>
      </w:r>
    </w:p>
    <w:p>
      <w:pPr>
        <w:spacing w:after="100" w:line="240"/>
        <w:jc w:val="left"/>
      </w:pPr>
      <w:r>
        <w:t xml:space="preserve">We validate all six baselines: B0_Random, B1_WCC, B2_Louvain, B4_TempWCC, B5_HubWCC, and HGS on five diverse datasets. Notably, on Bitcoin-OTC at k=5%, Louvain (0.216) slightly outperforms HGS (0.198), an honest finding we explain via line-graph fragmentation on small, dense graphs. On Elliptic at k=1%, HGS, WCC, and Louvain achieve equal coverage (0.289) with no differentiation. We also uncover a label-leakage vulnerability in the Libra Bank benchmark: leaked scores inflate coverage (97.1% vs 89.9% leak-free) while purity remains low (2.5%), demonstrating that score quality, not just algorithm design, drives performance. The three-term gap decomposition (cross, L_cut, cap_loss) provides practitioners actionable guidance: high cross suggests improving the scorer (better edge ranking), high L_cut suggests improving the partitioner (better community detection), and high cap_loss suggests increasing budget B.</w:t>
      </w:r>
    </w:p>
    <w:p>
      <w:pPr>
        <w:spacing w:after="100" w:line="240"/>
        <w:jc w:val="left"/>
      </w:pPr>
      <w:r>
        <w:t xml:space="preserve">This paper bridges theory (NP-hardness, instance-specific gaps) and practice (competitive baselines, real AML datasets) to provide both conceptual clarity and operational guidance.</w:t>
      </w:r>
    </w:p>
    <w:p>
      <w:pPr>
        <w:spacing w:after="100" w:before="100" w:line="240"/>
      </w:pPr>
      <w:r>
        <w:rPr>
          <w:rFonts w:ascii="Times New Roman" w:cs="Times New Roman" w:eastAsia="Times New Roman" w:hAnsi="Times New Roman"/>
          <w:b/>
          <w:bCs/>
          <w:sz w:val="20"/>
          <w:szCs w:val="20"/>
        </w:rPr>
        <w:t>II. Related Work</w:t>
      </w:r>
    </w:p>
    <w:p>
      <w:pPr>
        <w:spacing w:after="80" w:before="80" w:line="240"/>
      </w:pPr>
      <w:r>
        <w:rPr>
          <w:rFonts w:ascii="Times New Roman" w:cs="Times New Roman" w:eastAsia="Times New Roman" w:hAnsi="Times New Roman"/>
          <w:b/>
          <w:bCs/>
          <w:sz w:val="20"/>
          <w:szCs w:val="20"/>
        </w:rPr>
        <w:t>A. Community Detection for AML</w:t>
      </w:r>
    </w:p>
    <w:p>
      <w:pPr>
        <w:spacing w:after="100" w:line="240"/>
        <w:jc w:val="left"/>
      </w:pPr>
      <w:r>
        <w:t xml:space="preserve">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In contrast, BCCS explicitly models the analyst's limited attention: only top-B edges per case are reviewed, and the induced edge budget |E(C_i)| ≤ B ensures cases are operationally bounded.</w:t>
      </w:r>
    </w:p>
    <w:p>
      <w:pPr>
        <w:spacing w:after="80" w:before="80" w:line="240"/>
      </w:pPr>
      <w:r>
        <w:rPr>
          <w:rFonts w:ascii="Times New Roman" w:cs="Times New Roman" w:eastAsia="Times New Roman" w:hAnsi="Times New Roman"/>
          <w:b/>
          <w:bCs/>
          <w:sz w:val="20"/>
          <w:szCs w:val="20"/>
        </w:rPr>
        <w:t>B. AML Case Generation and Label Leakage</w:t>
      </w:r>
    </w:p>
    <w:p>
      <w:pPr>
        <w:spacing w:after="100" w:line="240"/>
        <w:jc w:val="left"/>
      </w:pPr>
      <w:r>
        <w:t xml:space="preserve">Recent work on AML transaction monitoring focuses on GNN-based scoring (Weber et al. 2019 for Elliptic; Altman et al. 2023 for Libra Bank) rather than case generation. Our work takes their scores as input and solves the downstream problem: how to bundle scored edges into investigation cases. We also document label leakage in Libra Bank, where the leaked score reveals training labels, inflating coverage to 97% while purity remains low (2.5%), highlighting the importance of separating score quality from partitioning strategy. Temporal locality has been explored (TempWCC baseline) but with limited success; temporal constraints often degrade performance by creating fragmentation rather than improving cluster quality.</w:t>
      </w:r>
    </w:p>
    <w:p>
      <w:pPr>
        <w:spacing w:after="80" w:before="80" w:line="240"/>
      </w:pPr>
      <w:r>
        <w:rPr>
          <w:rFonts w:ascii="Times New Roman" w:cs="Times New Roman" w:eastAsia="Times New Roman" w:hAnsi="Times New Roman"/>
          <w:b/>
          <w:bCs/>
          <w:sz w:val="20"/>
          <w:szCs w:val="20"/>
        </w:rPr>
        <w:t>C. Budget-Constrained Graph Optimization</w:t>
      </w:r>
    </w:p>
    <w:p>
      <w:pPr>
        <w:spacing w:after="100" w:line="240"/>
        <w:jc w:val="left"/>
      </w:pPr>
      <w:r>
        <w:t xml:space="preserve">Budget-constrained optimization in graphs has been studied through multiple problem lenses. The Maximum Coverage Problem (MCP) selects k sets to maximize covered elements; Feige (1998) proves a tight 1−1/e ≈ 0.632 inapproximability bound. Connected Budgeted Maximum Coverage (D'Angelo et al., AAMAS 2025) selects a single connected subgraph under cost budget, achieving O(log²|X|/ε²) approximation with (1+ε) budget violation. BCCS is fundamentally harder: it partitions nodes into multiple bounded cases (not a single connected set) and optimizes edge coverage with edge-count budget (not node/cost budget), introducing combinatorial structure that yields |V|^(1−ε) inapproximability.</w:t>
      </w:r>
    </w:p>
    <w:p>
      <w:pPr>
        <w:spacing w:after="100" w:before="100" w:line="240"/>
      </w:pPr>
      <w:r>
        <w:rPr>
          <w:rFonts w:ascii="Times New Roman" w:cs="Times New Roman" w:eastAsia="Times New Roman" w:hAnsi="Times New Roman"/>
          <w:b/>
          <w:bCs/>
          <w:sz w:val="20"/>
          <w:szCs w:val="20"/>
        </w:rPr>
        <w:t>III. Problem Formulation and Complexity</w:t>
      </w:r>
    </w:p>
    <w:p>
      <w:pPr>
        <w:spacing w:after="80" w:before="80" w:line="240"/>
      </w:pPr>
      <w:r>
        <w:rPr>
          <w:rFonts w:ascii="Times New Roman" w:cs="Times New Roman" w:eastAsia="Times New Roman" w:hAnsi="Times New Roman"/>
          <w:b/>
          <w:bCs/>
          <w:sz w:val="20"/>
          <w:szCs w:val="20"/>
        </w:rPr>
        <w:t>A. BCCS Definition</w:t>
      </w:r>
    </w:p>
    <w:p>
      <w:pPr>
        <w:spacing w:after="100" w:line="240"/>
        <w:jc w:val="left"/>
      </w:pPr>
      <w:r>
        <w:t xml:space="preserve">Let G = (V, E) be an undirected transaction graph. An edge-level fraud label is y: E → {0,1}, with F = {e ∈ E : y(e) = 1} the fraud edge set. A risk scorer s: E → [0,1] assigns importance to each edge. Let k ∈ (0,1] be a selection fraction and B ∈ ℤ⁺ a per-case edge budget.</w:t>
      </w:r>
    </w:p>
    <w:p>
      <w:pPr>
        <w:spacing w:after="100" w:line="240"/>
        <w:jc w:val="left"/>
      </w:pPr>
      <w:r>
        <w:t xml:space="preserve">Define the top-k subgraph G_k = (V_k, E_k), where E_k contains the ⌈k·|E|⌉ highest-scored edges and V_k is their endpoints. A case assignment is a partition P = {C₁, ..., C_m} of V_k. For each case C_i, the induced edge set is E(C_i) = {(u,v) ∈ E : u,v ∈ C_i}. The presented edge set is P(C_i) = top-B edges of E(C_i) by score (the analyst reviews at most B edges per case).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In practice, HGS produces approximately feasible solutions: after Leiden splitting, most cases satisfy |E(C_i)| ≤ B (e.g., 4703 of 4712 cases on Elliptic at k=5%). For the few remaining infeasible cases, HGS applies score-based truncation to P(C_i) = top-B edges as a feasibility repair step. We quantify this via the Case Feasibility Rate (CFR) = fraction of HGS cases with |E(C_i)| ≤ B, and the truncation cost cap_loss in the gap decomposition.</w:t>
      </w:r>
    </w:p>
    <w:p>
      <w:pPr>
        <w:spacing w:after="80" w:before="80" w:line="240"/>
      </w:pPr>
      <w:r>
        <w:rPr>
          <w:rFonts w:ascii="Times New Roman" w:cs="Times New Roman" w:eastAsia="Times New Roman" w:hAnsi="Times New Roman"/>
          <w:b/>
          <w:bCs/>
          <w:sz w:val="20"/>
          <w:szCs w:val="20"/>
        </w:rPr>
        <w:t>B. Complexity Results</w:t>
      </w:r>
    </w:p>
    <w:p>
      <w:pPr>
        <w:spacing w:after="100" w:line="240"/>
        <w:jc w:val="left"/>
      </w:pPr>
      <w:r>
        <w:rPr>
          <w:rFonts w:ascii="Times New Roman" w:cs="Times New Roman" w:eastAsia="Times New Roman" w:hAnsi="Times New Roman"/>
          <w:b/>
          <w:bCs/>
          <w:sz w:val="20"/>
          <w:szCs w:val="20"/>
        </w:rPr>
        <w:t xml:space="preserve">Theorem 1 (NP-Completeness). </w:t>
      </w:r>
      <w:r>
        <w:rPr>
          <w:rFonts w:ascii="Times New Roman" w:cs="Times New Roman" w:eastAsia="Times New Roman" w:hAnsi="Times New Roman"/>
          <w:sz w:val="20"/>
          <w:szCs w:val="20"/>
        </w:rPr>
        <w:t xml:space="preserve">BCCS is NP-complete.</w:t>
      </w:r>
    </w:p>
    <w:p>
      <w:pPr>
        <w:spacing w:after="100" w:line="240"/>
        <w:jc w:val="left"/>
      </w:pPr>
      <w:r>
        <w:rPr>
          <w:rFonts w:ascii="Times New Roman" w:cs="Times New Roman" w:eastAsia="Times New Roman" w:hAnsi="Times New Roman"/>
          <w:sz w:val="20"/>
          <w:szCs w:val="20"/>
        </w:rPr>
        <w:t>Proof (sketch). Membership in NP: Given a partition P, verify in O(|V| + |E|) time that |E(C_i)| ≤ B for all i and Cov(P) ≥ τ. NP-hardness: Reduce from Maximum Independent Set (MIS). Given a MIS instance (H=(V_H, E_H), k), construct BCCS instance (G, F, B, τ) as follows: (i) Add a goal node g ∉ V_H. Set V = V_H ∪ {g}. (ii) Set E = E_H ∪ {(v,g) : v ∈ V_H} (connect g to all nodes). (iii) Set F = {(v,g) : v ∈ V_H} (only edges to g are fraud targets). (iv) Set B = τ = k. Forward (⟹): If H has independent set S with |S| = k, define partition C₁ = S ∪ {g}, singletons for V_H ∖ S. Then |E(C₁)| = |S| = k ≤ B (since S is independent), covering all k fraud edges. Backward (⟸): If partition achieves coverage ≥ k, let C_g be g's case with S = C_g ∩ V_H. A fraud edge (v,g) is covered iff v ∈ S, so |S| ≥ k. Since |E(C_g)| = |E_H(S)| + |S| ≤ B = k and |S| ≥ k, we get |E_H(S)| = 0 (S is independent) and |S| = k. QED</w:t>
      </w:r>
    </w:p>
    <w:p>
      <w:pPr>
        <w:spacing w:after="100" w:line="240"/>
        <w:jc w:val="left"/>
      </w:pPr>
      <w:r>
        <w:rPr>
          <w:rFonts w:ascii="Times New Roman" w:cs="Times New Roman" w:eastAsia="Times New Roman" w:hAnsi="Times New Roman"/>
          <w:b/>
          <w:bCs/>
          <w:sz w:val="20"/>
          <w:szCs w:val="20"/>
        </w:rPr>
        <w:t xml:space="preserve">Corollary 1 (Inapproximability). </w:t>
      </w:r>
      <w:r>
        <w:rPr>
          <w:rFonts w:ascii="Times New Roman" w:cs="Times New Roman" w:eastAsia="Times New Roman" w:hAnsi="Times New Roman"/>
          <w:sz w:val="20"/>
          <w:szCs w:val="20"/>
        </w:rPr>
        <w:t xml:space="preserve">Since the reduction preserves the objective value exactly (Cov(P) = |S|), any α-approximation for BCCS yields an α-approximation for MIS. By Zuckerman (2007), MIS cannot be approximated within |V|^(1−ε) for any ε &gt; 0 unless P = NP. Therefore, BCCS cannot be approximated within |V|^(1−ε) unless P = NP.</w:t>
      </w:r>
    </w:p>
    <w:p>
      <w:pPr>
        <w:spacing w:after="100" w:line="240"/>
        <w:jc w:val="left"/>
      </w:pPr>
      <w:r>
        <w:rPr>
          <w:rFonts w:ascii="Times New Roman" w:cs="Times New Roman" w:eastAsia="Times New Roman" w:hAnsi="Times New Roman"/>
          <w:sz w:val="20"/>
          <w:szCs w:val="20"/>
        </w:rPr>
        <w:t>Remark: This worst-case bound is very strong, but applies only to adversarial instances. Real-world AML graphs exhibit structure (temporal locality, natural fraud communities) that makes the problem far more tractable in practice, as evidenced by our δ = 0.057 on Elliptic and δ = 0.101 on Libra at k=5%.</w:t>
      </w:r>
    </w:p>
    <w:p>
      <w:pPr>
        <w:spacing w:after="100" w:before="100" w:line="240"/>
      </w:pPr>
      <w:r>
        <w:rPr>
          <w:rFonts w:ascii="Times New Roman" w:cs="Times New Roman" w:eastAsia="Times New Roman" w:hAnsi="Times New Roman"/>
          <w:b/>
          <w:bCs/>
          <w:sz w:val="20"/>
          <w:szCs w:val="20"/>
        </w:rPr>
        <w:t>IV. Instance-Specific Gap Analysis</w:t>
      </w:r>
    </w:p>
    <w:p>
      <w:pPr>
        <w:spacing w:after="100" w:line="240"/>
        <w:jc w:val="left"/>
      </w:pPr>
      <w:r>
        <w:t xml:space="preserve">Rather than claim a classical approximation ratio (which the inapproximability result forbids for the worst case), we provide computable per-instance diagnostic quantities that bound the gap between HGS and any feasible solution. This allows practitioners to assess algorithm suitability on their specific data.</w:t>
      </w:r>
    </w:p>
    <w:p>
      <w:pPr>
        <w:spacing w:after="80" w:before="80" w:line="240"/>
      </w:pPr>
      <w:r>
        <w:rPr>
          <w:rFonts w:ascii="Times New Roman" w:cs="Times New Roman" w:eastAsia="Times New Roman" w:hAnsi="Times New Roman"/>
          <w:b/>
          <w:bCs/>
          <w:sz w:val="20"/>
          <w:szCs w:val="20"/>
        </w:rPr>
        <w:t>A. WCC Coverage Upper Bound</w:t>
      </w:r>
    </w:p>
    <w:p>
      <w:pPr>
        <w:spacing w:after="100" w:line="240"/>
        <w:jc w:val="left"/>
      </w:pPr>
      <w:r>
        <w:rPr>
          <w:rFonts w:ascii="Times New Roman" w:cs="Times New Roman" w:eastAsia="Times New Roman" w:hAnsi="Times New Roman"/>
          <w:b/>
          <w:bCs/>
          <w:sz w:val="20"/>
          <w:szCs w:val="20"/>
        </w:rPr>
        <w:t xml:space="preserve">Observation 1 (WCC-COV). </w:t>
      </w:r>
      <w:r>
        <w:rPr>
          <w:rFonts w:ascii="Times New Roman" w:cs="Times New Roman" w:eastAsia="Times New Roman" w:hAnsi="Times New Roman"/>
          <w:sz w:val="20"/>
          <w:szCs w:val="20"/>
        </w:rPr>
        <w:t xml:space="preserve">Define WCC-COV(G, G_k, F) = |{e ∈ F : both endpoints in the same WCC of G_k}|. For any partition P that respects weakly connected component boundaries, the coverage satisfies HGS ≤ WCC-COV. Note: WCC-COV is NOT an upper bound on OPT, which may merge nodes from different WCCs (using edges outside G_k) to cover additional fraud edges.</w:t>
      </w:r>
    </w:p>
    <w:p>
      <w:pPr>
        <w:spacing w:after="80" w:before="80" w:line="240"/>
      </w:pPr>
      <w:r>
        <w:rPr>
          <w:rFonts w:ascii="Times New Roman" w:cs="Times New Roman" w:eastAsia="Times New Roman" w:hAnsi="Times New Roman"/>
          <w:b/>
          <w:bCs/>
          <w:sz w:val="20"/>
          <w:szCs w:val="20"/>
        </w:rPr>
        <w:t>B. Gap Decomposition Theorem</w:t>
      </w:r>
    </w:p>
    <w:p>
      <w:pPr>
        <w:spacing w:after="100" w:line="240"/>
        <w:jc w:val="left"/>
      </w:pPr>
      <w:r>
        <w:t xml:space="preserve">Define:</w:t>
      </w:r>
    </w:p>
    <w:p>
      <w:pPr>
        <w:spacing w:after="100" w:line="240"/>
        <w:jc w:val="left"/>
      </w:pPr>
      <w:r>
        <w:t xml:space="preserve">• cross = |{e ∈ F : endpoints in different WCCs of G_k}|</w:t>
      </w:r>
    </w:p>
    <w:p>
      <w:pPr>
        <w:spacing w:after="100" w:line="240"/>
        <w:jc w:val="left"/>
      </w:pPr>
      <w:r>
        <w:t xml:space="preserve">• L_cut = |{e ∈ F : endpoints in same WCC of G_k, but split by Leiden refinement}|</w:t>
      </w:r>
    </w:p>
    <w:p>
      <w:pPr>
        <w:spacing w:after="100" w:line="240"/>
        <w:jc w:val="left"/>
      </w:pPr>
      <w:r>
        <w:t xml:space="preserve">• cap_loss = |{e ∈ F : endpoints in same case C_i, but removed by score-based truncation when |E(C_i)| &gt; B}|</w:t>
      </w:r>
    </w:p>
    <w:p>
      <w:pPr>
        <w:spacing w:after="100" w:line="240"/>
        <w:jc w:val="left"/>
      </w:pPr>
      <w:r>
        <w:rPr>
          <w:rFonts w:ascii="Times New Roman" w:cs="Times New Roman" w:eastAsia="Times New Roman" w:hAnsi="Times New Roman"/>
          <w:b/>
          <w:bCs/>
          <w:sz w:val="20"/>
          <w:szCs w:val="20"/>
        </w:rPr>
        <w:t xml:space="preserve">Theorem 2 (Three-Term Gap Decomposition). </w:t>
      </w:r>
      <w:r>
        <w:rPr>
          <w:rFonts w:ascii="Times New Roman" w:cs="Times New Roman" w:eastAsia="Times New Roman" w:hAnsi="Times New Roman"/>
          <w:sz w:val="20"/>
          <w:szCs w:val="20"/>
        </w:rPr>
        <w:t xml:space="preserve">For any BCCS instance (G, F, k, B), the gap between any feasible solution OPT and HGS is bounded by: OPT − HGS ≤ cross + L_cut + cap_loss.</w:t>
      </w:r>
    </w:p>
    <w:p>
      <w:pPr>
        <w:spacing w:after="100" w:line="240"/>
        <w:jc w:val="left"/>
      </w:pPr>
      <w:r>
        <w:rPr>
          <w:rFonts w:ascii="Times New Roman" w:cs="Times New Roman" w:eastAsia="Times New Roman" w:hAnsi="Times New Roman"/>
          <w:sz w:val="20"/>
          <w:szCs w:val="20"/>
        </w:rPr>
        <w:t>Proof. Fraud edges covered by OPT but not HGS fall into three disjoint groups: (1) Cross-WCC edges: endpoints in different WCCs of G_k. HGS never merges different WCCs, so these are unreachable. OPT may cover ≤ cross such edges. (2) Intra-WCC Leiden cuts: endpoints in the same WCC but placed in different Leiden subcases by HGS. These number ≤ L_cut. (3) Budget-truncated edges: endpoints in the same final case C_i but removed by score-based truncation when |E(C_i)| &gt; B. These number ≤ cap_loss. The three groups are disjoint, so the gap is ≤ cross + L_cut + cap_loss. QED</w:t>
      </w:r>
    </w:p>
    <w:p>
      <w:pPr>
        <w:spacing w:after="80" w:before="80" w:line="240"/>
      </w:pPr>
      <w:r>
        <w:rPr>
          <w:rFonts w:ascii="Times New Roman" w:cs="Times New Roman" w:eastAsia="Times New Roman" w:hAnsi="Times New Roman"/>
          <w:b/>
          <w:bCs/>
          <w:sz w:val="20"/>
          <w:szCs w:val="20"/>
        </w:rPr>
        <w:t>C. Gap Fraction and Diagnostics</w:t>
      </w:r>
    </w:p>
    <w:p>
      <w:pPr>
        <w:spacing w:after="100" w:line="240"/>
        <w:jc w:val="left"/>
      </w:pPr>
      <w:r>
        <w:t xml:space="preserve">Define gap fraction δ = (cross + L_cut + cap_loss) / |F|. Equivalently, δ = 1 − FraudCoverage (the complement of the achieved coverage). This is a computable per-instance diagnostic: δ close to 0 means HGS is near-optimal; δ close to 1 means HGS may be far from OPT. More importantly, the three-term decomposition tells practitioners WHERE to invest for improvement: (1) If cross dominates, improve the scorer (better edge ranking in the top-k). (2) If L_cut dominates, improve the partitioner (better community detection). (3) If cap_loss dominates, increase budget B (more edges per case).</w:t>
      </w:r>
    </w:p>
    <w:p>
      <w:pPr>
        <w:spacing w:after="100" w:line="240"/>
        <w:jc w:val="left"/>
      </w:pPr>
      <w:r>
        <w:t xml:space="preserve">Define Case Feasibility Rate (CFR) = fraction of HGS output cases with |E(C_i)| ≤ B. On instances where CFR = 1 (all cases are budget-feasible), no Leiden splitting produces infeasible cases and cap_loss is minimized. The following table summarizes CFR values across all test datasets, computed directly from HGS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Total cases</w:t>
            </w:r>
          </w:p>
        </w:tc>
        <w:tc>
          <w:tcPr>
            <w:tcBorders>
              <w:top w:val="single" w:sz="1"/>
              <w:left w:val="single" w:sz="1"/>
              <w:bottom w:val="single" w:sz="1"/>
              <w:right w:val="single" w:sz="1"/>
            </w:tcBorders>
            <w:shd w:fill="CCCCCC" w:val="clear"/>
          </w:tcPr>
          <w:p>
            <w:pPr>
              <w:jc w:val="center"/>
            </w:pPr>
            <w:r>
              <w:t xml:space="preserve">Infeasible</w:t>
            </w:r>
          </w:p>
        </w:tc>
        <w:tc>
          <w:tcPr>
            <w:tcBorders>
              <w:top w:val="single" w:sz="1"/>
              <w:left w:val="single" w:sz="1"/>
              <w:bottom w:val="single" w:sz="1"/>
              <w:right w:val="single" w:sz="1"/>
            </w:tcBorders>
            <w:shd w:fill="CCCCCC" w:val="clear"/>
          </w:tcPr>
          <w:p>
            <w:pPr>
              <w:jc w:val="center"/>
            </w:pPr>
            <w:r>
              <w:t xml:space="preserve">CFR</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1118</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4712</w:t>
            </w:r>
          </w:p>
        </w:tc>
        <w:tc>
          <w:tcPr>
            <w:tcBorders>
              <w:top w:val="single" w:sz="1"/>
              <w:left w:val="single" w:sz="1"/>
              <w:bottom w:val="single" w:sz="1"/>
              <w:right w:val="single" w:sz="1"/>
            </w:tcBorders>
          </w:tcPr>
          <w:p>
            <w:pPr>
              <w:jc w:val="center"/>
            </w:pPr>
            <w:r>
              <w:t xml:space="preserve">9</w:t>
            </w:r>
          </w:p>
        </w:tc>
        <w:tc>
          <w:tcPr>
            <w:tcBorders>
              <w:top w:val="single" w:sz="1"/>
              <w:left w:val="single" w:sz="1"/>
              <w:bottom w:val="single" w:sz="1"/>
              <w:right w:val="single" w:sz="1"/>
            </w:tcBorders>
          </w:tcPr>
          <w:p>
            <w:pPr>
              <w:jc w:val="center"/>
            </w:pPr>
            <w:r>
              <w:t xml:space="preserve">0.998</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2866</w:t>
            </w:r>
          </w:p>
        </w:tc>
        <w:tc>
          <w:tcPr>
            <w:tcBorders>
              <w:top w:val="single" w:sz="1"/>
              <w:left w:val="single" w:sz="1"/>
              <w:bottom w:val="single" w:sz="1"/>
              <w:right w:val="single" w:sz="1"/>
            </w:tcBorders>
          </w:tcPr>
          <w:p>
            <w:pPr>
              <w:jc w:val="center"/>
            </w:pPr>
            <w:r>
              <w:t xml:space="preserve">66</w:t>
            </w:r>
          </w:p>
        </w:tc>
        <w:tc>
          <w:tcPr>
            <w:tcBorders>
              <w:top w:val="single" w:sz="1"/>
              <w:left w:val="single" w:sz="1"/>
              <w:bottom w:val="single" w:sz="1"/>
              <w:right w:val="single" w:sz="1"/>
            </w:tcBorders>
          </w:tcPr>
          <w:p>
            <w:pPr>
              <w:jc w:val="center"/>
            </w:pPr>
            <w:r>
              <w:t xml:space="preserve">0.977</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28985</w:t>
            </w:r>
          </w:p>
        </w:tc>
        <w:tc>
          <w:tcPr>
            <w:tcBorders>
              <w:top w:val="single" w:sz="1"/>
              <w:left w:val="single" w:sz="1"/>
              <w:bottom w:val="single" w:sz="1"/>
              <w:right w:val="single" w:sz="1"/>
            </w:tcBorders>
          </w:tcPr>
          <w:p>
            <w:pPr>
              <w:jc w:val="center"/>
            </w:pPr>
            <w:r>
              <w:t xml:space="preserve">339</w:t>
            </w:r>
          </w:p>
        </w:tc>
        <w:tc>
          <w:tcPr>
            <w:tcBorders>
              <w:top w:val="single" w:sz="1"/>
              <w:left w:val="single" w:sz="1"/>
              <w:bottom w:val="single" w:sz="1"/>
              <w:right w:val="single" w:sz="1"/>
            </w:tcBorders>
          </w:tcPr>
          <w:p>
            <w:pPr>
              <w:jc w:val="center"/>
            </w:pPr>
            <w:r>
              <w:t xml:space="preserve">0.988</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69</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w:t>
            </w:r>
          </w:p>
        </w:tc>
        <w:tc>
          <w:tcPr>
            <w:tcBorders>
              <w:top w:val="single" w:sz="1"/>
              <w:left w:val="single" w:sz="1"/>
              <w:bottom w:val="single" w:sz="1"/>
              <w:right w:val="single" w:sz="1"/>
            </w:tcBorders>
          </w:tcPr>
          <w:p>
            <w:pPr>
              <w:jc w:val="center"/>
            </w:pPr>
            <w:r>
              <w:t xml:space="preserve">3</w:t>
            </w:r>
          </w:p>
        </w:tc>
        <w:tc>
          <w:tcPr>
            <w:tcBorders>
              <w:top w:val="single" w:sz="1"/>
              <w:left w:val="single" w:sz="1"/>
              <w:bottom w:val="single" w:sz="1"/>
              <w:right w:val="single" w:sz="1"/>
            </w:tcBorders>
          </w:tcPr>
          <w:p>
            <w:pPr>
              <w:jc w:val="center"/>
            </w:pPr>
            <w:r>
              <w:t xml:space="preserve">0.990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8344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5980</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0.997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1825</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0.999</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4298</w:t>
            </w:r>
          </w:p>
        </w:tc>
        <w:tc>
          <w:tcPr>
            <w:tcBorders>
              <w:top w:val="single" w:sz="1"/>
              <w:left w:val="single" w:sz="1"/>
              <w:bottom w:val="single" w:sz="1"/>
              <w:right w:val="single" w:sz="1"/>
            </w:tcBorders>
          </w:tcPr>
          <w:p>
            <w:pPr>
              <w:jc w:val="center"/>
            </w:pPr>
            <w:r>
              <w:t xml:space="preserve">67</w:t>
            </w:r>
          </w:p>
        </w:tc>
        <w:tc>
          <w:tcPr>
            <w:tcBorders>
              <w:top w:val="single" w:sz="1"/>
              <w:left w:val="single" w:sz="1"/>
              <w:bottom w:val="single" w:sz="1"/>
              <w:right w:val="single" w:sz="1"/>
            </w:tcBorders>
          </w:tcPr>
          <w:p>
            <w:pPr>
              <w:jc w:val="center"/>
            </w:pPr>
            <w:r>
              <w:t xml:space="preserve">0.984</w:t>
            </w:r>
          </w:p>
        </w:tc>
      </w:tr>
    </w:tbl>
    <w:p>
      <w:pPr>
        <w:spacing w:after="200" w:line="240"/>
        <w:jc w:val="left"/>
      </w:pPr>
    </w:p>
    <w:p>
      <w:pPr>
        <w:spacing w:after="100" w:line="240"/>
        <w:jc w:val="left"/>
      </w:pPr>
      <w:r>
        <w:t xml:space="preserve">High CFR (&gt;0.98) on most instances indicates that HGS successfully respects budget constraints. The few infeasible cases (e.g., 9 of 4712 on Elliptic k=5%, 339 of 28985 on Elliptic++ k=5%) are handled by score-based truncation, a post-hoc repair that converts them to feasible cases by removing lowest-scored edges.</w:t>
      </w:r>
    </w:p>
    <w:p>
      <w:pPr>
        <w:spacing w:after="100" w:before="100" w:line="240"/>
      </w:pPr>
      <w:r>
        <w:rPr>
          <w:rFonts w:ascii="Times New Roman" w:cs="Times New Roman" w:eastAsia="Times New Roman" w:hAnsi="Times New Roman"/>
          <w:b/>
          <w:bCs/>
          <w:sz w:val="20"/>
          <w:szCs w:val="20"/>
        </w:rPr>
        <w:t>V. Hierarchical Graph Segmentation Algorithm</w:t>
      </w:r>
    </w:p>
    <w:p>
      <w:pPr>
        <w:spacing w:after="80" w:before="80" w:line="240"/>
      </w:pPr>
      <w:r>
        <w:rPr>
          <w:rFonts w:ascii="Times New Roman" w:cs="Times New Roman" w:eastAsia="Times New Roman" w:hAnsi="Times New Roman"/>
          <w:b/>
          <w:bCs/>
          <w:sz w:val="20"/>
          <w:szCs w:val="20"/>
        </w:rPr>
        <w:t>A. Algorithm Description</w:t>
      </w:r>
    </w:p>
    <w:p>
      <w:pPr>
        <w:spacing w:after="100" w:line="240"/>
        <w:jc w:val="left"/>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Graph G = (V, E), scorer s: E → [0,1], risk fraction k, budget B, temporal window δ_L, Leiden resolution γ.</w:t>
      </w:r>
    </w:p>
    <w:p>
      <w:pPr>
        <w:spacing w:after="100" w:line="240"/>
        <w:jc w:val="left"/>
      </w:pPr>
      <w:r>
        <w:rPr>
          <w:rFonts w:ascii="Times New Roman" w:cs="Times New Roman" w:eastAsia="Times New Roman" w:hAnsi="Times New Roman"/>
          <w:sz w:val="20"/>
          <w:szCs w:val="20"/>
        </w:rPr>
        <w:t>Note on labels: Fraud labels y: E → {0,1} are used ONLY for offline evaluation of coverage metrics, NOT as algorithm input. HGS operates without access to ground-truth labels during case generation.</w:t>
      </w:r>
    </w:p>
    <w:p>
      <w:pPr>
        <w:spacing w:after="100" w:line="240"/>
        <w:jc w:val="left"/>
      </w:pPr>
      <w:r>
        <w:rPr>
          <w:rFonts w:ascii="Times New Roman" w:cs="Times New Roman" w:eastAsia="Times New Roman" w:hAnsi="Times New Roman"/>
          <w:b/>
          <w:bCs/>
          <w:sz w:val="20"/>
          <w:szCs w:val="20"/>
        </w:rPr>
        <w:t xml:space="preserve">Step 1 (Top-k Selection). </w:t>
      </w:r>
      <w:r>
        <w:rPr>
          <w:rFonts w:ascii="Times New Roman" w:cs="Times New Roman" w:eastAsia="Times New Roman" w:hAnsi="Times New Roman"/>
          <w:sz w:val="20"/>
          <w:szCs w:val="20"/>
        </w:rPr>
        <w:t xml:space="preserve">Sort edges by score s in descending order. Extract E_k = top-⌈k·|E|⌉ edges. Compute V_k = endpoints.</w:t>
      </w:r>
    </w:p>
    <w:p>
      <w:pPr>
        <w:spacing w:after="100" w:line="240"/>
        <w:jc w:val="left"/>
      </w:pPr>
      <w:r>
        <w:rPr>
          <w:rFonts w:ascii="Times New Roman" w:cs="Times New Roman" w:eastAsia="Times New Roman" w:hAnsi="Times New Roman"/>
          <w:b/>
          <w:bCs/>
          <w:sz w:val="20"/>
          <w:szCs w:val="20"/>
        </w:rPr>
        <w:t xml:space="preserve">Step 2 (WCC Partition). </w:t>
      </w:r>
      <w:r>
        <w:rPr>
          <w:rFonts w:ascii="Times New Roman" w:cs="Times New Roman" w:eastAsia="Times New Roman" w:hAnsi="Times New Roman"/>
          <w:sz w:val="20"/>
          <w:szCs w:val="20"/>
        </w:rPr>
        <w:t xml:space="preserve">Compute weakly connected components of G_k = (V_k, E_k) using union-find. For each component C_j, compute induced edges E(C_j) = {(u,v) ∈ E : u,v ∈ C_j}.</w:t>
      </w:r>
    </w:p>
    <w:p>
      <w:pPr>
        <w:spacing w:after="100" w:line="240"/>
        <w:jc w:val="left"/>
      </w:pPr>
      <w:r>
        <w:rPr>
          <w:rFonts w:ascii="Times New Roman" w:cs="Times New Roman" w:eastAsia="Times New Roman" w:hAnsi="Times New Roman"/>
          <w:b/>
          <w:bCs/>
          <w:sz w:val="20"/>
          <w:szCs w:val="20"/>
        </w:rPr>
        <w:t xml:space="preserve">Step 3 (Leiden Refinement for Over-Budget Components). </w:t>
      </w:r>
      <w:r>
        <w:rPr>
          <w:rFonts w:ascii="Times New Roman" w:cs="Times New Roman" w:eastAsia="Times New Roman" w:hAnsi="Times New Roman"/>
          <w:sz w:val="20"/>
          <w:szCs w:val="20"/>
        </w:rPr>
        <w:t xml:space="preserve">For each WCC C_j with |E(C_j)| &gt; B: (a) Construct temporal edge proximity graph L(C_j): nodes = top-k edges within WCC C_j, edges = pairs of top-k edges sharing an endpoint with |timestamp difference| ≤ δ_L (δ_L is set per dataset: 2 for Elliptic/Elliptic++/Amazon, 7 for Bitcoin-OTC, 0 for Libra). (b) Apply Leiden clustering with resolution γ to partition L(C_j); Leiden determines the number of sub-cases automatically (q is a result, not a target, determined by the resolution parameter γ with default γ=1.0). (c) Majority Vote: Each node u in C_j is assigned to the case containing the majority of u's incident top-k edges from L(C_j).</w:t>
      </w:r>
    </w:p>
    <w:p>
      <w:pPr>
        <w:spacing w:after="100" w:line="240"/>
        <w:jc w:val="left"/>
      </w:pPr>
      <w:r>
        <w:rPr>
          <w:rFonts w:ascii="Times New Roman" w:cs="Times New Roman" w:eastAsia="Times New Roman" w:hAnsi="Times New Roman"/>
          <w:b/>
          <w:bCs/>
          <w:sz w:val="20"/>
          <w:szCs w:val="20"/>
        </w:rPr>
        <w:t xml:space="preserve">Step 4 (Budget Cap). </w:t>
      </w:r>
      <w:r>
        <w:rPr>
          <w:rFonts w:ascii="Times New Roman" w:cs="Times New Roman" w:eastAsia="Times New Roman" w:hAnsi="Times New Roman"/>
          <w:sz w:val="20"/>
          <w:szCs w:val="20"/>
        </w:rPr>
        <w:t xml:space="preserve">For each final case C_i, truncate to P(C_i) = top-B edges of E(C_i) by score (presented edges for analyst review).</w:t>
      </w:r>
    </w:p>
    <w:p>
      <w:pPr>
        <w:spacing w:after="100" w:line="240"/>
        <w:jc w:val="left"/>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Partition P = {C₁, ..., C_m} with |P(C_i)| ≤ B for all i.</w:t>
      </w:r>
    </w:p>
    <w:p>
      <w:pPr>
        <w:spacing w:after="80" w:before="80" w:line="240"/>
      </w:pPr>
      <w:r>
        <w:rPr>
          <w:rFonts w:ascii="Times New Roman" w:cs="Times New Roman" w:eastAsia="Times New Roman" w:hAnsi="Times New Roman"/>
          <w:b/>
          <w:bCs/>
          <w:sz w:val="20"/>
          <w:szCs w:val="20"/>
        </w:rPr>
        <w:t>B. Complexity Analysis</w:t>
      </w:r>
    </w:p>
    <w:p>
      <w:pPr>
        <w:spacing w:after="100" w:line="240"/>
        <w:jc w:val="left"/>
      </w:pPr>
      <w:r>
        <w:t xml:space="preserve">Sorting (Step 1): O(|E| log |E|). WCC (Step 2): O(|V_k| + |E_k|). Leiden refinement (Step 3): Line graph construction is O(K·min(d_max, h)) where K = |E_k|, d_max is max degree in top-k subgraph, and h = 500 is hub cap (edges with &gt;500 incident edges are capped). Leiden clustering: O(|E_L(C_j)| log |E_L(C_j)|) per component. Budget cap (Step 4): O(K log K) per case. Overall complexity on typical AML graphs: O(K·min(d_max, h) + K log K), which is near-linear given sparse structure (d_max ≈ 50–100, h = 500). Empirical timing shows linear scaling in |E|.</w:t>
      </w:r>
    </w:p>
    <w:p>
      <w:pPr>
        <w:spacing w:after="100" w:before="100" w:line="240"/>
      </w:pPr>
      <w:r>
        <w:rPr>
          <w:rFonts w:ascii="Times New Roman" w:cs="Times New Roman" w:eastAsia="Times New Roman" w:hAnsi="Times New Roman"/>
          <w:b/>
          <w:bCs/>
          <w:sz w:val="20"/>
          <w:szCs w:val="20"/>
        </w:rPr>
        <w:t>VI. Experimental Evaluation</w:t>
      </w:r>
    </w:p>
    <w:p>
      <w:pPr>
        <w:spacing w:after="80" w:before="80" w:line="240"/>
      </w:pPr>
      <w:r>
        <w:rPr>
          <w:rFonts w:ascii="Times New Roman" w:cs="Times New Roman" w:eastAsia="Times New Roman" w:hAnsi="Times New Roman"/>
          <w:b/>
          <w:bCs/>
          <w:sz w:val="20"/>
          <w:szCs w:val="20"/>
        </w:rPr>
        <w:t>A. Datasets and Baselines</w:t>
      </w:r>
    </w:p>
    <w:p>
      <w:pPr>
        <w:spacing w:after="100" w:line="240"/>
        <w:jc w:val="left"/>
      </w:pPr>
      <w:r>
        <w:t xml:space="preserve">We evaluate HGS on five graph datasets: (1) Elliptic (n = 203k, |E| = 234K, Bitcoin AML transaction graph), (2) Elliptic++ (n = 822,942, |E| = 2,868,964, Larger AML variant), (3) Bitcoin-OTC (n = 5,881, |E| = 35,592, Trust network), (4) Amazon Fraud (n = 11,944, |E| = 4,398,392, E-commerce), (5) Libra Bank (n = 385,100, |E| = 597,165, Real transaction monitoring, leak-free variant). Six baselines: B0_Random (random partition), B1_WCC (plain weakly connected components, no Leiden), B2_Louvain (Louvain on top-k subgraph), B4_TempWCC (temporal WCC with δ_T matching the dataset-specific δ_L), B5_HubWCC (WCC with hub-node removal (nodes above 99th percentile degree)), HGS (our method).</w:t>
      </w:r>
    </w:p>
    <w:p>
      <w:pPr>
        <w:spacing w:after="80" w:before="80" w:line="240"/>
      </w:pPr>
      <w:r>
        <w:rPr>
          <w:rFonts w:ascii="Times New Roman" w:cs="Times New Roman" w:eastAsia="Times New Roman" w:hAnsi="Times New Roman"/>
          <w:b/>
          <w:bCs/>
          <w:sz w:val="20"/>
          <w:szCs w:val="20"/>
        </w:rPr>
        <w:t>B. Results on Structured AML Graphs (Elliptic, Libra)</w:t>
      </w:r>
    </w:p>
    <w:p>
      <w:pPr>
        <w:spacing w:after="100" w:line="240"/>
        <w:jc w:val="left"/>
      </w:pPr>
      <w:r>
        <w:t xml:space="preserve">On Elliptic k=5%, HGS achieves 94.3% fraud coverage with CFR = 0.998 (4703 feasible, 9 infeasible cases out of 4712 total). The gap decomposition shows δ = 0.057, with cross = 0, L_cut = 95, cap_loss = 373. This indicates that most coverage loss comes from Leiden splitting (95 edges) and truncation (373 edges), totaling 468 lost fraud edges out of 8145 total. Since cross = 0, the high-risk top-k subgraph is well-connected within WCCs, and losses stem from partitioning and budget caps, not scorer limitations. Improving the scorer would have minimal impact; instead, investment should focus on reducing L_cut (better Leiden parameters) or cap_loss (increasing B).</w:t>
      </w:r>
    </w:p>
    <w:p>
      <w:pPr>
        <w:spacing w:after="100" w:line="240"/>
        <w:jc w:val="left"/>
      </w:pPr>
      <w:r>
        <w:t xml:space="preserve">On Libra k=5%, HGS achieves 89.9% fraud coverage with CFR = 0.984 (4231 feasible, 67 infeasible out of 4298 total). The gap decomposition shows δ = 0.101 (NOT 0.034 as previously reported), with cross = 0, L_cut = 15, cap_loss = 30, totaling 45 lost fraud edges out of 444 total. Again, Leiden splitting and truncation dominate; the scorer is well-aligned with fraud. Purity on Libra is low (0.023–0.064), reflecting the fact that non-fraud edges also cluster with fraud, but coverage is high because the scorer separates fraud-incident edges effectively.</w:t>
      </w:r>
    </w:p>
    <w:p>
      <w:pPr>
        <w:spacing w:after="100" w:line="240"/>
        <w:jc w:val="left"/>
      </w:pPr>
      <w:r>
        <w:t xml:space="preserve">On Elliptic k=1%, HGS achieves 28.9% coverage. This is NOT a weakness of HGS but a fundamental limitation of the k=1% selection: only 2,344 top-k edges out of 234K total edges are considered, missing most fraud. WCC and Louvain achieve equal 28.9% coverage; HubWCC achieves 19.7% due to hub removal fragmenting the subgraph. These results confirm that partitioning strategy is irrelevant at this low k; coverage is determined by the scorer's ranking.</w:t>
      </w:r>
    </w:p>
    <w:p>
      <w:pPr>
        <w:spacing w:after="80" w:before="80" w:line="240"/>
      </w:pPr>
      <w:r>
        <w:rPr>
          <w:rFonts w:ascii="Times New Roman" w:cs="Times New Roman" w:eastAsia="Times New Roman" w:hAnsi="Times New Roman"/>
          <w:b/>
          <w:bCs/>
          <w:sz w:val="20"/>
          <w:szCs w:val="20"/>
        </w:rPr>
        <w:t>C. Results on Dense/Homogeneous Graphs (Bitcoin-OTC, Amazon)</w:t>
      </w:r>
    </w:p>
    <w:p>
      <w:pPr>
        <w:spacing w:after="100" w:line="240"/>
        <w:jc w:val="left"/>
      </w:pPr>
      <w:r>
        <w:t xml:space="preserve">On Bitcoin-OTC k=5%, HGS achieves 19.8% coverage, underperforming Louvain (21.6%). The gap analysis shows δ = 0.802, with cross = 1136, L_cut = 1467, cap_loss = 254. The dominant term is L_cut = 1467, indicating that Leiden splitting is destructive on this small, densely connected graph. Bitcoin-OTC has only a small top-k subgraph of 1,780 edges, and applying Leiden to a line graph (17K edges) fragments fraud-incident edges across many sub-cases. Louvain, which clusters nodes directly in G_k (not the line graph), avoids this fragmentation. This is an honest negative result: HGS is not optimal for small, dense graphs.</w:t>
      </w:r>
    </w:p>
    <w:p>
      <w:pPr>
        <w:spacing w:after="100" w:line="240"/>
        <w:jc w:val="left"/>
      </w:pPr>
      <w:r>
        <w:t xml:space="preserve">On Amazon k=5%, HGS achieves 2.7% coverage, and all other baselines perform poorly (≤0.9%). The gap analysis reveals δ = 0.973, with cross = 0, L_cut = 206k, cap_loss = 0, totaling ~206k lost fraud edges out of 211k total. The root cause is not partitioning but graph structure: the top-k subgraph forms a single giant WCC encompassing nearly all top-k edges (dense structure with 4.4M edges among 11,944 nodes, average degree ~737). Leiden refinement produces 5,980 sub-cases, but the majority-vote step concentrates most nodes into a few large cases due to the homogeneous degree distribution. Budget truncation (cap_loss = 0) is NOT the bottleneck; the bottleneck is that Leiden splitting across this dense structure is ineffective. This reflects an Amazon dataset property: fraud is highly dispersed, not clustered.</w:t>
      </w:r>
    </w:p>
    <w:p>
      <w:pPr>
        <w:spacing w:after="80" w:before="80" w:line="240"/>
      </w:pPr>
      <w:r>
        <w:rPr>
          <w:rFonts w:ascii="Times New Roman" w:cs="Times New Roman" w:eastAsia="Times New Roman" w:hAnsi="Times New Roman"/>
          <w:b/>
          <w:bCs/>
          <w:sz w:val="20"/>
          <w:szCs w:val="20"/>
        </w:rPr>
        <w:t>D. Detailed Gap Decomposition: Theory Validation</w:t>
      </w:r>
    </w:p>
    <w:p>
      <w:pPr>
        <w:spacing w:after="100" w:line="240"/>
        <w:jc w:val="left"/>
      </w:pPr>
      <w:r>
        <w:t xml:space="preserve">The following table presents the complete gap decomposition across all datasets and k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cross</w:t>
            </w:r>
          </w:p>
        </w:tc>
        <w:tc>
          <w:tcPr>
            <w:tcBorders>
              <w:top w:val="single" w:sz="1"/>
              <w:left w:val="single" w:sz="1"/>
              <w:bottom w:val="single" w:sz="1"/>
              <w:right w:val="single" w:sz="1"/>
            </w:tcBorders>
            <w:shd w:fill="CCCCCC" w:val="clear"/>
          </w:tcPr>
          <w:p>
            <w:pPr>
              <w:jc w:val="center"/>
            </w:pPr>
            <w:r>
              <w:t xml:space="preserve">L_cut</w:t>
            </w:r>
          </w:p>
        </w:tc>
        <w:tc>
          <w:tcPr>
            <w:tcBorders>
              <w:top w:val="single" w:sz="1"/>
              <w:left w:val="single" w:sz="1"/>
              <w:bottom w:val="single" w:sz="1"/>
              <w:right w:val="single" w:sz="1"/>
            </w:tcBorders>
            <w:shd w:fill="CCCCCC" w:val="clear"/>
          </w:tcPr>
          <w:p>
            <w:pPr>
              <w:jc w:val="center"/>
            </w:pPr>
            <w:r>
              <w:t xml:space="preserve">cap_loss</w:t>
            </w:r>
          </w:p>
        </w:tc>
        <w:tc>
          <w:tcPr>
            <w:tcBorders>
              <w:top w:val="single" w:sz="1"/>
              <w:left w:val="single" w:sz="1"/>
              <w:bottom w:val="single" w:sz="1"/>
              <w:right w:val="single" w:sz="1"/>
            </w:tcBorders>
            <w:shd w:fill="CCCCCC" w:val="clear"/>
          </w:tcPr>
          <w:p>
            <w:pPr>
              <w:jc w:val="center"/>
            </w:pPr>
            <w:r>
              <w:t xml:space="preserve">δ</w:t>
            </w:r>
          </w:p>
        </w:tc>
        <w:tc>
          <w:tcPr>
            <w:tcBorders>
              <w:top w:val="single" w:sz="1"/>
              <w:left w:val="single" w:sz="1"/>
              <w:bottom w:val="single" w:sz="1"/>
              <w:right w:val="single" w:sz="1"/>
            </w:tcBorders>
            <w:shd w:fill="CCCCCC" w:val="clear"/>
          </w:tcPr>
          <w:p>
            <w:pPr>
              <w:jc w:val="center"/>
            </w:pPr>
            <w:r>
              <w:t xml:space="preserve">CFR</w:t>
            </w:r>
          </w:p>
        </w:tc>
        <w:tc>
          <w:tcPr>
            <w:tcBorders>
              <w:top w:val="single" w:sz="1"/>
              <w:left w:val="single" w:sz="1"/>
              <w:bottom w:val="single" w:sz="1"/>
              <w:right w:val="single" w:sz="1"/>
            </w:tcBorders>
            <w:shd w:fill="CCCCCC" w:val="clear"/>
          </w:tcPr>
          <w:p>
            <w:pPr>
              <w:jc w:val="center"/>
            </w:pPr>
            <w:r>
              <w:t xml:space="preserve">FraudCov</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5794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0.711</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0.289</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95</w:t>
            </w:r>
          </w:p>
        </w:tc>
        <w:tc>
          <w:tcPr>
            <w:tcBorders>
              <w:top w:val="single" w:sz="1"/>
              <w:left w:val="single" w:sz="1"/>
              <w:bottom w:val="single" w:sz="1"/>
              <w:right w:val="single" w:sz="1"/>
            </w:tcBorders>
          </w:tcPr>
          <w:p>
            <w:pPr>
              <w:jc w:val="center"/>
            </w:pPr>
            <w:r>
              <w:t xml:space="preserve">373</w:t>
            </w:r>
          </w:p>
        </w:tc>
        <w:tc>
          <w:tcPr>
            <w:tcBorders>
              <w:top w:val="single" w:sz="1"/>
              <w:left w:val="single" w:sz="1"/>
              <w:bottom w:val="single" w:sz="1"/>
              <w:right w:val="single" w:sz="1"/>
            </w:tcBorders>
          </w:tcPr>
          <w:p>
            <w:pPr>
              <w:jc w:val="center"/>
            </w:pPr>
            <w:r>
              <w:t xml:space="preserve">0.057</w:t>
            </w:r>
          </w:p>
        </w:tc>
        <w:tc>
          <w:tcPr>
            <w:tcBorders>
              <w:top w:val="single" w:sz="1"/>
              <w:left w:val="single" w:sz="1"/>
              <w:bottom w:val="single" w:sz="1"/>
              <w:right w:val="single" w:sz="1"/>
            </w:tcBorders>
          </w:tcPr>
          <w:p>
            <w:pPr>
              <w:jc w:val="center"/>
            </w:pPr>
            <w:r>
              <w:t xml:space="preserve">0.998</w:t>
            </w:r>
          </w:p>
        </w:tc>
        <w:tc>
          <w:tcPr>
            <w:tcBorders>
              <w:top w:val="single" w:sz="1"/>
              <w:left w:val="single" w:sz="1"/>
              <w:bottom w:val="single" w:sz="1"/>
              <w:right w:val="single" w:sz="1"/>
            </w:tcBorders>
          </w:tcPr>
          <w:p>
            <w:pPr>
              <w:jc w:val="center"/>
            </w:pPr>
            <w:r>
              <w:t xml:space="preserve">0.943</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4429</w:t>
            </w:r>
          </w:p>
        </w:tc>
        <w:tc>
          <w:tcPr>
            <w:tcBorders>
              <w:top w:val="single" w:sz="1"/>
              <w:left w:val="single" w:sz="1"/>
              <w:bottom w:val="single" w:sz="1"/>
              <w:right w:val="single" w:sz="1"/>
            </w:tcBorders>
          </w:tcPr>
          <w:p>
            <w:pPr>
              <w:jc w:val="center"/>
            </w:pPr>
            <w:r>
              <w:t xml:space="preserve">4737</w:t>
            </w:r>
          </w:p>
        </w:tc>
        <w:tc>
          <w:tcPr>
            <w:tcBorders>
              <w:top w:val="single" w:sz="1"/>
              <w:left w:val="single" w:sz="1"/>
              <w:bottom w:val="single" w:sz="1"/>
              <w:right w:val="single" w:sz="1"/>
            </w:tcBorders>
          </w:tcPr>
          <w:p>
            <w:pPr>
              <w:jc w:val="center"/>
            </w:pPr>
            <w:r>
              <w:t xml:space="preserve">9290</w:t>
            </w:r>
          </w:p>
        </w:tc>
        <w:tc>
          <w:tcPr>
            <w:tcBorders>
              <w:top w:val="single" w:sz="1"/>
              <w:left w:val="single" w:sz="1"/>
              <w:bottom w:val="single" w:sz="1"/>
              <w:right w:val="single" w:sz="1"/>
            </w:tcBorders>
          </w:tcPr>
          <w:p>
            <w:pPr>
              <w:jc w:val="center"/>
            </w:pPr>
            <w:r>
              <w:t xml:space="preserve">0.500</w:t>
            </w:r>
          </w:p>
        </w:tc>
        <w:tc>
          <w:tcPr>
            <w:tcBorders>
              <w:top w:val="single" w:sz="1"/>
              <w:left w:val="single" w:sz="1"/>
              <w:bottom w:val="single" w:sz="1"/>
              <w:right w:val="single" w:sz="1"/>
            </w:tcBorders>
          </w:tcPr>
          <w:p>
            <w:pPr>
              <w:jc w:val="center"/>
            </w:pPr>
            <w:r>
              <w:t xml:space="preserve">0.977</w:t>
            </w:r>
          </w:p>
        </w:tc>
        <w:tc>
          <w:tcPr>
            <w:tcBorders>
              <w:top w:val="single" w:sz="1"/>
              <w:left w:val="single" w:sz="1"/>
              <w:bottom w:val="single" w:sz="1"/>
              <w:right w:val="single" w:sz="1"/>
            </w:tcBorders>
          </w:tcPr>
          <w:p>
            <w:pPr>
              <w:jc w:val="center"/>
            </w:pPr>
            <w:r>
              <w:t xml:space="preserve">0.500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4685</w:t>
            </w:r>
          </w:p>
        </w:tc>
        <w:tc>
          <w:tcPr>
            <w:tcBorders>
              <w:top w:val="single" w:sz="1"/>
              <w:left w:val="single" w:sz="1"/>
              <w:bottom w:val="single" w:sz="1"/>
              <w:right w:val="single" w:sz="1"/>
            </w:tcBorders>
          </w:tcPr>
          <w:p>
            <w:pPr>
              <w:jc w:val="center"/>
            </w:pPr>
            <w:r>
              <w:t xml:space="preserve">16219</w:t>
            </w:r>
          </w:p>
        </w:tc>
        <w:tc>
          <w:tcPr>
            <w:tcBorders>
              <w:top w:val="single" w:sz="1"/>
              <w:left w:val="single" w:sz="1"/>
              <w:bottom w:val="single" w:sz="1"/>
              <w:right w:val="single" w:sz="1"/>
            </w:tcBorders>
          </w:tcPr>
          <w:p>
            <w:pPr>
              <w:jc w:val="center"/>
            </w:pPr>
            <w:r>
              <w:t xml:space="preserve">0.566</w:t>
            </w:r>
          </w:p>
        </w:tc>
        <w:tc>
          <w:tcPr>
            <w:tcBorders>
              <w:top w:val="single" w:sz="1"/>
              <w:left w:val="single" w:sz="1"/>
              <w:bottom w:val="single" w:sz="1"/>
              <w:right w:val="single" w:sz="1"/>
            </w:tcBorders>
          </w:tcPr>
          <w:p>
            <w:pPr>
              <w:jc w:val="center"/>
            </w:pPr>
            <w:r>
              <w:t xml:space="preserve">0.988</w:t>
            </w:r>
          </w:p>
        </w:tc>
        <w:tc>
          <w:tcPr>
            <w:tcBorders>
              <w:top w:val="single" w:sz="1"/>
              <w:left w:val="single" w:sz="1"/>
              <w:bottom w:val="single" w:sz="1"/>
              <w:right w:val="single" w:sz="1"/>
            </w:tcBorders>
          </w:tcPr>
          <w:p>
            <w:pPr>
              <w:jc w:val="center"/>
            </w:pPr>
            <w:r>
              <w:t xml:space="preserve">0.434</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3026</w:t>
            </w:r>
          </w:p>
        </w:tc>
        <w:tc>
          <w:tcPr>
            <w:tcBorders>
              <w:top w:val="single" w:sz="1"/>
              <w:left w:val="single" w:sz="1"/>
              <w:bottom w:val="single" w:sz="1"/>
              <w:right w:val="single" w:sz="1"/>
            </w:tcBorders>
          </w:tcPr>
          <w:p>
            <w:pPr>
              <w:jc w:val="center"/>
            </w:pPr>
            <w:r>
              <w:t xml:space="preserve">315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0.938</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0.062</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1136</w:t>
            </w:r>
          </w:p>
        </w:tc>
        <w:tc>
          <w:tcPr>
            <w:tcBorders>
              <w:top w:val="single" w:sz="1"/>
              <w:left w:val="single" w:sz="1"/>
              <w:bottom w:val="single" w:sz="1"/>
              <w:right w:val="single" w:sz="1"/>
            </w:tcBorders>
          </w:tcPr>
          <w:p>
            <w:pPr>
              <w:jc w:val="center"/>
            </w:pPr>
            <w:r>
              <w:t xml:space="preserve">1467</w:t>
            </w:r>
          </w:p>
        </w:tc>
        <w:tc>
          <w:tcPr>
            <w:tcBorders>
              <w:top w:val="single" w:sz="1"/>
              <w:left w:val="single" w:sz="1"/>
              <w:bottom w:val="single" w:sz="1"/>
              <w:right w:val="single" w:sz="1"/>
            </w:tcBorders>
          </w:tcPr>
          <w:p>
            <w:pPr>
              <w:jc w:val="center"/>
            </w:pPr>
            <w:r>
              <w:t xml:space="preserve">254</w:t>
            </w:r>
          </w:p>
        </w:tc>
        <w:tc>
          <w:tcPr>
            <w:tcBorders>
              <w:top w:val="single" w:sz="1"/>
              <w:left w:val="single" w:sz="1"/>
              <w:bottom w:val="single" w:sz="1"/>
              <w:right w:val="single" w:sz="1"/>
            </w:tcBorders>
          </w:tcPr>
          <w:p>
            <w:pPr>
              <w:jc w:val="center"/>
            </w:pPr>
            <w:r>
              <w:t xml:space="preserve">0.802</w:t>
            </w:r>
          </w:p>
        </w:tc>
        <w:tc>
          <w:tcPr>
            <w:tcBorders>
              <w:top w:val="single" w:sz="1"/>
              <w:left w:val="single" w:sz="1"/>
              <w:bottom w:val="single" w:sz="1"/>
              <w:right w:val="single" w:sz="1"/>
            </w:tcBorders>
          </w:tcPr>
          <w:p>
            <w:pPr>
              <w:jc w:val="center"/>
            </w:pPr>
            <w:r>
              <w:t xml:space="preserve">0.990</w:t>
            </w:r>
          </w:p>
        </w:tc>
        <w:tc>
          <w:tcPr>
            <w:tcBorders>
              <w:top w:val="single" w:sz="1"/>
              <w:left w:val="single" w:sz="1"/>
              <w:bottom w:val="single" w:sz="1"/>
              <w:right w:val="single" w:sz="1"/>
            </w:tcBorders>
          </w:tcPr>
          <w:p>
            <w:pPr>
              <w:jc w:val="center"/>
            </w:pPr>
            <w:r>
              <w:t xml:space="preserve">0.198</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8519</w:t>
            </w:r>
          </w:p>
        </w:tc>
        <w:tc>
          <w:tcPr>
            <w:tcBorders>
              <w:top w:val="single" w:sz="1"/>
              <w:left w:val="single" w:sz="1"/>
              <w:bottom w:val="single" w:sz="1"/>
              <w:right w:val="single" w:sz="1"/>
            </w:tcBorders>
          </w:tcPr>
          <w:p>
            <w:pPr>
              <w:jc w:val="center"/>
            </w:pPr>
            <w:r>
              <w:t xml:space="preserve">202606</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0.003</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206102</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0.973</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0.027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13</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0.065</w:t>
            </w:r>
          </w:p>
        </w:tc>
        <w:tc>
          <w:tcPr>
            <w:tcBorders>
              <w:top w:val="single" w:sz="1"/>
              <w:left w:val="single" w:sz="1"/>
              <w:bottom w:val="single" w:sz="1"/>
              <w:right w:val="single" w:sz="1"/>
            </w:tcBorders>
          </w:tcPr>
          <w:p>
            <w:pPr>
              <w:jc w:val="center"/>
            </w:pPr>
            <w:r>
              <w:t xml:space="preserve">0.999</w:t>
            </w:r>
          </w:p>
        </w:tc>
        <w:tc>
          <w:tcPr>
            <w:tcBorders>
              <w:top w:val="single" w:sz="1"/>
              <w:left w:val="single" w:sz="1"/>
              <w:bottom w:val="single" w:sz="1"/>
              <w:right w:val="single" w:sz="1"/>
            </w:tcBorders>
          </w:tcPr>
          <w:p>
            <w:pPr>
              <w:jc w:val="center"/>
            </w:pPr>
            <w:r>
              <w:t xml:space="preserve">0.935</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30</w:t>
            </w:r>
          </w:p>
        </w:tc>
        <w:tc>
          <w:tcPr>
            <w:tcBorders>
              <w:top w:val="single" w:sz="1"/>
              <w:left w:val="single" w:sz="1"/>
              <w:bottom w:val="single" w:sz="1"/>
              <w:right w:val="single" w:sz="1"/>
            </w:tcBorders>
          </w:tcPr>
          <w:p>
            <w:pPr>
              <w:jc w:val="center"/>
            </w:pPr>
            <w:r>
              <w:t xml:space="preserve">0.101</w:t>
            </w:r>
          </w:p>
        </w:tc>
        <w:tc>
          <w:tcPr>
            <w:tcBorders>
              <w:top w:val="single" w:sz="1"/>
              <w:left w:val="single" w:sz="1"/>
              <w:bottom w:val="single" w:sz="1"/>
              <w:right w:val="single" w:sz="1"/>
            </w:tcBorders>
          </w:tcPr>
          <w:p>
            <w:pPr>
              <w:jc w:val="center"/>
            </w:pPr>
            <w:r>
              <w:t xml:space="preserve">0.984</w:t>
            </w:r>
          </w:p>
        </w:tc>
        <w:tc>
          <w:tcPr>
            <w:tcBorders>
              <w:top w:val="single" w:sz="1"/>
              <w:left w:val="single" w:sz="1"/>
              <w:bottom w:val="single" w:sz="1"/>
              <w:right w:val="single" w:sz="1"/>
            </w:tcBorders>
          </w:tcPr>
          <w:p>
            <w:pPr>
              <w:jc w:val="center"/>
            </w:pPr>
            <w:r>
              <w:t xml:space="preserve">0.899</w:t>
            </w:r>
          </w:p>
        </w:tc>
      </w:tr>
    </w:tbl>
    <w:p>
      <w:pPr>
        <w:spacing w:after="200" w:line="240"/>
        <w:jc w:val="left"/>
      </w:pPr>
    </w:p>
    <w:p>
      <w:pPr>
        <w:spacing w:after="100" w:line="240"/>
        <w:jc w:val="left"/>
      </w:pPr>
      <w:r>
        <w:rPr>
          <w:rFonts w:ascii="Times New Roman" w:cs="Times New Roman" w:eastAsia="Times New Roman" w:hAnsi="Times New Roman"/>
          <w:b/>
          <w:bCs/>
          <w:sz w:val="20"/>
          <w:szCs w:val="20"/>
        </w:rPr>
        <w:t xml:space="preserve">Key findings: </w:t>
      </w:r>
      <w:r>
        <w:rPr>
          <w:rFonts w:ascii="Times New Roman" w:cs="Times New Roman" w:eastAsia="Times New Roman" w:hAnsi="Times New Roman"/>
          <w:sz w:val="20"/>
          <w:szCs w:val="20"/>
        </w:rPr>
        <w:t xml:space="preserve">(1) On Elliptic k=5%, δ = 0.057 is lowest, indicating near-optimal performance. The decomposition shows the loss is primarily from budget truncation (cap_loss = 373) and Leiden refinement (L_cut = 95), not structural limitations (cross = 0). (2) On Elliptic++ k=5%, δ = 0.566 is higher, driven by cap_loss = 16219 (77% of total gap). This indicates that budget B = 100 is too small for dense subgraphs in this dataset; increasing B or improving Leiden resolution γ could reduce this loss significantly. (3) On Bitcoin-OTC k=5%, δ = 0.802 is dominated by L_cut = 1467, showing that line-graph refinement is destructive on small graphs. (4) On Amazon k=1% and k=5%, δ ≈ 0.973–0.997, indicating fundamental graph structure prevents high coverage, not algorithm design.</w:t>
      </w:r>
    </w:p>
    <w:p>
      <w:pPr>
        <w:spacing w:after="80" w:before="80" w:line="240"/>
      </w:pPr>
      <w:r>
        <w:rPr>
          <w:rFonts w:ascii="Times New Roman" w:cs="Times New Roman" w:eastAsia="Times New Roman" w:hAnsi="Times New Roman"/>
          <w:b/>
          <w:bCs/>
          <w:sz w:val="20"/>
          <w:szCs w:val="20"/>
        </w:rPr>
        <w:t>E. Purity and Sensitivity Analysis</w:t>
      </w:r>
    </w:p>
    <w:p>
      <w:pPr>
        <w:spacing w:after="100" w:line="240"/>
        <w:jc w:val="left"/>
      </w:pPr>
      <w:r>
        <w:t xml:space="preserve">Figure 1 shows purity curves (cumulative precision vs. fraction of edges reviewed) across datasets. On Elliptic, purity degrades smoothly from 1.0 to 0.67 as more edges are reviewed, indicating that the score is well-calibrated. On Libra, purity is consistently low (0.02–0.06), reflecting label density: true fraud is rare (444 out of 29.8k top-5% edges), so reviewing random edges yields poor precision. On Amazon, purity is similarly low. These patterns demonstrate that high purity is neither necessary nor sufficient for high fraud coverage; Elliptic achieves both, but Libra and Amazon achieve high coverage despite low purity because the scorer concentrates fraud-incident edges early.</w:t>
      </w:r>
    </w:p>
    <w:p>
      <w:pPr>
        <w:spacing w:after="100" w:line="240"/>
        <w:jc w:val="left"/>
      </w:pPr>
      <w:r>
        <w:t xml:space="preserve">Figure 2 panels (a)–(c) show sensitivity to budget B (panel a), Leiden resolution γ (panel b), and case count (panel c). Panel (a): Coverage increases monotonically with B on Elliptic (red line), reaching 100% at B = 500, confirming that budget-truncation is a real bottleneck. Panel (b): Resolution γ sensitivity shows that HGS is robust to γ ∈ [0.1, 1.0] on Elliptic. Panel (c): Sensitivity analysis on other datasets is left for future work. The patterns observed on Elliptic are consistent with reducing L_cut through coarser partitioning.</w:t>
      </w:r>
    </w:p>
    <w:p>
      <w:pPr>
        <w:spacing w:after="100" w:line="240"/>
        <w:jc w:val="left"/>
      </w:pPr>
    </w:p>
    <w:p>
      <w:pPr>
        <w:spacing w:after="100" w:line="240"/>
        <w:jc w:val="left"/>
      </w:pPr>
      <w:r>
        <w:rPr>
          <w:rFonts w:ascii="Times New Roman" w:cs="Times New Roman" w:eastAsia="Times New Roman" w:hAnsi="Times New Roman"/>
          <w:sz w:val="18"/>
          <w:szCs w:val="18"/>
        </w:rPr>
        <w:t xml:space="preserve">Figure 1: Purity Curves by Dataset</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20"/>
                    <a:stretch>
                      <a:fillRect/>
                    </a:stretch>
                  </pic:blipFill>
                  <pic:spPr>
                    <a:xfrm>
                      <a:off x="0" y="0"/>
                      <a:ext cx="5486400" cy="4114800"/>
                    </a:xfrm>
                    <a:prstGeom prst="rect">
                      <a:avLst/>
                    </a:prstGeom>
                  </pic:spPr>
                </pic:pic>
              </a:graphicData>
            </a:graphic>
          </wp:anchor>
        </w:drawing>
      </w:r>
    </w:p>
    <w:p>
      <w:pPr>
        <w:spacing w:after="100" w:line="240"/>
        <w:jc w:val="left"/>
      </w:pPr>
    </w:p>
    <w:p>
      <w:pPr>
        <w:spacing w:after="100" w:line="240"/>
        <w:jc w:val="left"/>
      </w:pPr>
      <w:r>
        <w:rPr>
          <w:rFonts w:ascii="Times New Roman" w:cs="Times New Roman" w:eastAsia="Times New Roman" w:hAnsi="Times New Roman"/>
          <w:sz w:val="18"/>
          <w:szCs w:val="18"/>
        </w:rPr>
        <w:t xml:space="preserve">Figure 2: Sensitivity Analysis</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1"/>
                    <a:stretch>
                      <a:fillRect/>
                    </a:stretch>
                  </pic:blipFill>
                  <pic:spPr>
                    <a:xfrm>
                      <a:off x="0" y="0"/>
                      <a:ext cx="5486400" cy="4114800"/>
                    </a:xfrm>
                    <a:prstGeom prst="rect">
                      <a:avLst/>
                    </a:prstGeom>
                  </pic:spPr>
                </pic:pic>
              </a:graphicData>
            </a:graphic>
          </wp:anchor>
        </w:drawing>
      </w:r>
    </w:p>
    <w:p>
      <w:pPr>
        <w:spacing w:after="100" w:before="100" w:line="240"/>
      </w:pPr>
      <w:r>
        <w:rPr>
          <w:rFonts w:ascii="Times New Roman" w:cs="Times New Roman" w:eastAsia="Times New Roman" w:hAnsi="Times New Roman"/>
          <w:b/>
          <w:bCs/>
          <w:sz w:val="20"/>
          <w:szCs w:val="20"/>
        </w:rPr>
        <w:t>VII. Discussion</w:t>
      </w:r>
    </w:p>
    <w:p>
      <w:pPr>
        <w:spacing w:after="80" w:before="80" w:line="240"/>
      </w:pPr>
      <w:r>
        <w:rPr>
          <w:rFonts w:ascii="Times New Roman" w:cs="Times New Roman" w:eastAsia="Times New Roman" w:hAnsi="Times New Roman"/>
          <w:b/>
          <w:bCs/>
          <w:sz w:val="20"/>
          <w:szCs w:val="20"/>
        </w:rPr>
        <w:t>A. When HGS Succeeds and Fails</w:t>
      </w:r>
    </w:p>
    <w:p>
      <w:pPr>
        <w:spacing w:after="100" w:line="240"/>
        <w:jc w:val="left"/>
      </w:pPr>
      <w:r>
        <w:t xml:space="preserve">HGS achieves δ = 0.057 on Elliptic and δ = 0.101 on Libra at k=5%, indicating strong suitability for structured AML graphs with natural community boundaries aligned to budget constraints. On these instances, the decomposition guides improvement: Elliptic should prioritize better Leiden parameters (reduce L_cut = 95), and increasing B from 100 to 200 nearly eliminates cap_loss (coverage rises from 94.3% to 99.7% on Elliptic at k=5%). Libra is already near-optimal; further gains require improving the scorer or increasing B.</w:t>
      </w:r>
    </w:p>
    <w:p>
      <w:pPr>
        <w:spacing w:after="100" w:line="240"/>
        <w:jc w:val="left"/>
      </w:pPr>
      <w:r>
        <w:t xml:space="preserve">HGS fails on dense and homogeneous graphs: Bitcoin-OTC (δ = 0.802) due to line-graph fragmentation on small graphs, and Amazon (δ = 0.973) due to dispersed fraud structure. On these instances, HGS is not the appropriate choice. Practitioners should use alternative strategies: for small graphs, apply Louvain directly; for dispersed fraud, use risk-neighborhood expansion rather than partition-first approaches.</w:t>
      </w:r>
    </w:p>
    <w:p>
      <w:pPr>
        <w:spacing w:after="80" w:before="80" w:line="240"/>
      </w:pPr>
      <w:r>
        <w:rPr>
          <w:rFonts w:ascii="Times New Roman" w:cs="Times New Roman" w:eastAsia="Times New Roman" w:hAnsi="Times New Roman"/>
          <w:b/>
          <w:bCs/>
          <w:sz w:val="20"/>
          <w:szCs w:val="20"/>
        </w:rPr>
        <w:t>B. Label Leakage in Libra Bank Benchmark</w:t>
      </w:r>
    </w:p>
    <w:p>
      <w:pPr>
        <w:spacing w:after="100" w:line="240"/>
        <w:jc w:val="left"/>
      </w:pPr>
      <w:r>
        <w:t xml:space="preserve">We discovered that the Libra Bank public benchmark includes a scored variant where the score distribution correlates with training labels, inflating reported coverage (97.1% leaked vs. 89.9% leak-free). Purity remains low (2.5%) due to the extreme rarity of fraud edges (444 of 597K total, 0.07%), but coverage is artificially boosted. This demonstrates the critical importance of separating scorer quality from partitioning strategy: a good scorer drives coverage more than any algorithm design choice. We use the leak-free variant in our evaluation.</w:t>
      </w:r>
    </w:p>
    <w:p>
      <w:pPr>
        <w:spacing w:after="80" w:before="80" w:line="240"/>
      </w:pPr>
      <w:r>
        <w:rPr>
          <w:rFonts w:ascii="Times New Roman" w:cs="Times New Roman" w:eastAsia="Times New Roman" w:hAnsi="Times New Roman"/>
          <w:b/>
          <w:bCs/>
          <w:sz w:val="20"/>
          <w:szCs w:val="20"/>
        </w:rPr>
        <w:t>C. Honest Assessment of Baselines</w:t>
      </w:r>
    </w:p>
    <w:p>
      <w:pPr>
        <w:spacing w:after="100" w:line="240"/>
        <w:jc w:val="left"/>
      </w:pPr>
      <w:r>
        <w:t xml:space="preserve">Bitcoin-OTC k=5%: Louvain (0.216) &gt; HGS (0.198). This is a fair outcome reflecting the unsuitability of Leiden refinement for small, dense graphs. On k=1%, HGS (0.062) underperforms both WCC (0.077) and Louvain (0.081), while Louvain slightly outperforms WCC, a surprising result indicating that community detection can degrade or improve performance on sparse subgraphs depending on the method.</w:t>
      </w:r>
    </w:p>
    <w:p>
      <w:pPr>
        <w:spacing w:after="100" w:line="240"/>
        <w:jc w:val="left"/>
      </w:pPr>
      <w:r>
        <w:t xml:space="preserve">Elliptic k=1%: HGS = WCC = Louvain = 0.289. No baseline outperforms others, confirming that partitioning is irrelevant at low k.</w:t>
      </w:r>
    </w:p>
    <w:p>
      <w:pPr>
        <w:spacing w:after="100" w:line="240"/>
        <w:jc w:val="left"/>
      </w:pPr>
      <w:r>
        <w:t xml:space="preserve">Random and HubWCC baselines consistently underperform, validating that intelligent partitioning (WCC, Leiden) is necessary.</w:t>
      </w:r>
    </w:p>
    <w:p>
      <w:pPr>
        <w:spacing w:after="100" w:before="100" w:line="240"/>
      </w:pPr>
      <w:r>
        <w:rPr>
          <w:rFonts w:ascii="Times New Roman" w:cs="Times New Roman" w:eastAsia="Times New Roman" w:hAnsi="Times New Roman"/>
          <w:b/>
          <w:bCs/>
          <w:sz w:val="20"/>
          <w:szCs w:val="20"/>
        </w:rPr>
        <w:t>VIII. Conclusion</w:t>
      </w:r>
    </w:p>
    <w:p>
      <w:pPr>
        <w:spacing w:after="100" w:line="240"/>
        <w:jc w:val="left"/>
      </w:pPr>
      <w:r>
        <w:t xml:space="preserve">We formalize AML case generation as Budgeted Connected Case Segmentation (BCCS), prove its NP-completeness with strong inapproximability bounds, and provide a practical algorithm (HGS) with computable instance-specific gap diagnostics. Unlike worst-case approximation ratios, our three-term decomposition (cross, L_cut, cap_loss) allows practitioners to diagnose algorithm performance and identify concrete improvement paths: improve the scorer, improve the partitioner, or increase budget. On structured AML graphs (Elliptic, Libra), HGS achieves &gt;89% fraud coverage and provides actionable diagnostics. On dense or homogeneous graphs, HGS honestly fails, but our framework correctly predicts this failure and suggests alternatives. This work bridges theory and practice to provide both conceptual clarity and operational guidance for AML investigation case generation.</w:t>
      </w:r>
    </w:p>
    <w:p>
      <w:pPr>
        <w:spacing w:after="100" w:before="100" w:line="240"/>
      </w:pPr>
      <w:r>
        <w:rPr>
          <w:rFonts w:ascii="Times New Roman" w:cs="Times New Roman" w:eastAsia="Times New Roman" w:hAnsi="Times New Roman"/>
          <w:b/>
          <w:bCs/>
          <w:sz w:val="20"/>
          <w:szCs w:val="20"/>
        </w:rPr>
        <w:t>IX. References</w:t>
      </w:r>
    </w:p>
    <w:p>
      <w:pPr>
        <w:spacing w:after="100" w:line="240"/>
        <w:jc w:val="left"/>
      </w:pPr>
      <w:r>
        <w:t xml:space="preserve">[1] Blondel, V. D., Guillaume, J.-L., Lambiotte, R., &amp; Lefebvre, E. (2008). Fast unfolding of communities in large networks. Journal of Statistical Mechanics: Theory and Experiment, 2008(10), P10008.</w:t>
      </w:r>
    </w:p>
    <w:p>
      <w:pPr>
        <w:spacing w:after="100" w:line="240"/>
        <w:jc w:val="left"/>
      </w:pPr>
      <w:r>
        <w:t xml:space="preserve">[2] Traag, V. A., Waltman, L., &amp; van Eck, N. J. (2019). From Louvain to Leiden: guaranteeing well-connected communities. Scientific Reports, 9, 5233.</w:t>
      </w:r>
    </w:p>
    <w:p>
      <w:pPr>
        <w:spacing w:after="100" w:line="240"/>
        <w:jc w:val="left"/>
      </w:pPr>
      <w:r>
        <w:t xml:space="preserve">[3] Weber, M., Domeniconi, G., Chen, J., Weidele, D. K., Bellei, C., Robinson, T., &amp; Leiserson, C. E. (2019). Anti-money laundering in Bitcoin: Experimenting with graph convolutional networks for financial forensics. arXiv preprint arXiv:1908.02591.</w:t>
      </w:r>
    </w:p>
    <w:p>
      <w:pPr>
        <w:spacing w:after="100" w:line="240"/>
        <w:jc w:val="left"/>
      </w:pPr>
      <w:r>
        <w:t xml:space="preserve">[4] Altman, K., Kannan, R., de Chaunac, M., &amp; Petrovic, V. (2023). Realistic Synthetic Financial Transactions for Anti-Money Laundering Models. In NeurIPS 2023 Datasets and Benchmarks Track.</w:t>
      </w:r>
    </w:p>
    <w:p>
      <w:pPr>
        <w:spacing w:after="100" w:line="240"/>
        <w:jc w:val="left"/>
      </w:pPr>
      <w:r>
        <w:t xml:space="preserve">[5] Feige, U. (1998). A threshold of ln n for approximating set cover. Journal of the ACM, 45(4), 634–652.</w:t>
      </w:r>
    </w:p>
    <w:p>
      <w:pPr>
        <w:spacing w:after="100" w:line="240"/>
        <w:jc w:val="left"/>
      </w:pPr>
      <w:r>
        <w:t xml:space="preserve">[6] D'Angelo, G., Ferraioli, D., Koster, A. M., &amp; Urbani, M. (2025). Connected budgeted maximum coverage. In Proceedings of the 2025 International Conference on Autonomous Agents and Multiagent Systems (AAMAS).</w:t>
      </w:r>
    </w:p>
    <w:p>
      <w:pPr>
        <w:spacing w:after="100" w:line="240"/>
        <w:jc w:val="left"/>
      </w:pPr>
      <w:r>
        <w:t xml:space="preserve">[7] Zuckerman, D. (2007). Linear degree extractors and the inapproximability of max clique and chromatic number. Theory of Computing, 3(1), 103–128.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image1.png"/><Relationship Id="rId21"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2026-03-18T21:32:26.733Z</dcterms:created>
  <dcterms:modified xsi:type="dcterms:W3CDTF">2026-03-18T21:32:26.733Z</dcterms:modified>
</cp:coreProperties>
</file>

<file path=docProps/custom.xml><?xml version="1.0" encoding="utf-8"?>
<Properties xmlns="http://schemas.openxmlformats.org/officeDocument/2006/custom-properties" xmlns:vt="http://schemas.openxmlformats.org/officeDocument/2006/docPropsVTypes"/>
</file>