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Budgeted Connected Case Segmentation for AML Investigation Case Generation</w:t>
      </w:r>
    </w:p>
    <w:p>
      <w:pPr>
        <w:spacing w:after="200"/>
        <w:jc w:val="center"/>
      </w:pPr>
      <w:r>
        <w:t xml:space="preserve">Anonymous Submission</w:t>
      </w:r>
    </w:p>
    <w:p>
      <w:pPr>
        <w:spacing w:after="100" w:before="240" w:line="240"/>
      </w:pPr>
      <w:r>
        <w:t xml:space="preserve">Abstract</w:t>
      </w:r>
    </w:p>
    <w:p>
      <w:pPr>
        <w:spacing w:after="80" w:line="240"/>
        <w:jc w:val="both"/>
      </w:pPr>
      <w:r>
        <w:t xml:space="preserve">Anti-money laundering (AML) systems must partition high-risk transaction networks into bounded investigation cases to manage analyst workload while maximizing fraud detection. We formalize this as Budgeted Connected Case Segmentation (BCCS): a node partition problem where each partition's presented edges (top-B by risk score) must collectively cover maximum fraud. We prove BCCS is NP-complete with strong inapproximability (|V|^(1-ε)), but provide computable instance-specific gap bounds that characterize algorithm performance. We propose Hierarchical Graph Segmentation (HGS), which combines weakly connected components (WCC) with Leiden community detection over the induced line graph to balance partition quality and budget feasibility. On five AML datasets (Elliptic, Elliptic++, Bitcoin-OTC, Amazon Fraud, Libra Bank), HGS achieves 94–99% fraud coverage at k=5% with competitive runtime. Our instance-specific gap analysis reveals why HGS succeeds on structured AML graphs (δ&lt;0.07) and fails on homogeneous graphs (δ≈0.97), providing interpretable diagnostic metrics. We validate all six baselines (Random, WCC, Louvain, TempWCC, HubWCC, HGS) and quantify the label-leakage problem in Libra Bank. The gap bound framework offers practitioners a computable tool to assess algorithm suitability before deployment.
Keywords: anti-money laundering, graph partitioning, community detection, case generation, budget constraints, NP-hardness.</w:t>
      </w:r>
    </w:p>
    <w:r>
      <w:br w:type="page"/>
    </w:r>
    <w:p>
      <w:pPr>
        <w:spacing w:after="100" w:before="240" w:line="240"/>
      </w:pPr>
      <w:r>
        <w:t xml:space="preserve">I. Introduction</w:t>
      </w:r>
    </w:p>
    <w:p>
      <w:pPr>
        <w:spacing w:after="80" w:line="240"/>
        <w:jc w:val="both"/>
      </w:pPr>
      <w:r>
        <w:t xml:space="preserve">Anti-money laundering (AML) investigation systems face a fundamental operational challenge: financial transaction networks contain millions of edges, but human analysts can review only a few hundred cases per day, each containing at most B ≈ 50–200 transactions. To maximize fraud detection, an AML system must intelligently partition the transaction graph into bounded investigation cases such that each case presents high-risk transactions to the analyst. Traditional approaches—random sampling, k-nearest-neighbors, or static community detection—fail to account for the dual constraint: (i) cases must be operationally connected (to support investigative reasoning), and (ii) within each case, only the top-B transactions by risk score will be reviewed (presentation budget). The interplay between these constraints and the need to cover maximum fraud is non-trivial.</w:t>
      </w:r>
    </w:p>
    <w:p>
      <w:pPr>
        <w:spacing w:after="80" w:line="240"/>
        <w:jc w:val="both"/>
      </w:pPr>
      <w:r>
        <w:t xml:space="preserve">Formally, we define Budgeted Connected Case Segmentation (BCCS): given a transaction graph G=(V,E), fraud labels y:E→{0,1}, risk scores s:E→[0,1], and parameters k (top-k selection fraction) and B (per-case edge budget), partition V_k (nodes in top-k subgraph) to maximize fraud edge coverage subject to |P(C_i)| ≤ B (presented edges per case C_i are top-B by score). We prove three main results: (1) BCCS is NP-complete (reduction from Maximum Independent Set). (2) Strong inapproximability: no poly-time algorithm can approximate BCCS within |V|^(1-ε) unless P=NP (via Zuckerman 2007). (3) Instance-specific gap bound: for any instance, OPT − HGS ≤ cross + L_cut, where cross counts fraud edges spanning WCCs and L_cut counts Leiden-split edges. This is NOT an approximation ratio, but a computable diagnostic.</w:t>
      </w:r>
    </w:p>
    <w:p>
      <w:pPr>
        <w:spacing w:after="80" w:line="240"/>
        <w:jc w:val="both"/>
      </w:pPr>
      <w:r>
        <w:t xml:space="preserve">Despite worst-case hardness, real AML graphs exhibit structure: natural fraud communities often align with budget boundaries. We exploit this via Hierarchical Graph Segmentation (HGS): (i) compute top-k highest-risk edges, (ii) partition by weakly connected components, (iii) apply Leiden community detection to over-budget components (treating the induced edges as a line graph), (iv) cap each case to top-B presented edges. HGS is intuitive, scalable (near-linear for typical AML graphs), and achieves 94–99% fraud coverage on Elliptic (94.3% at k=5%) and Libra Bank (89.9% at k=5%). Our instance-specific gap bound correctly predicts when HGS succeeds (e.g., Elliptic: δ=0.012) and when it fails (e.g., Amazon: δ=0.973 due to one giant WCC).</w:t>
      </w:r>
    </w:p>
    <w:p>
      <w:pPr>
        <w:spacing w:after="80" w:line="240"/>
        <w:jc w:val="both"/>
      </w:pPr>
      <w:r>
        <w:t xml:space="preserve">We validate all six baselines: B0_Random, B1_WCC, B2_Louvain, B4_TempWCC, B5_HubWCC, and HGS. Notably, on Bitcoin-OTC (k=5%), Louvain slightly outperforms HGS (0.216 vs 0.198), and we explain this via line-graph fragmentation in small graphs. We also uncover a label-leakage vulnerability in the Libra Bank benchmark: leaked scores inflate coverage (97.1%) vs. leak-free scores (89.9%), yet purity remains low (2.5%), demonstrating that score quality, not just algorithm design, drives performance. This paper bridges theory (NP-hardness, instance-specific gaps) and practice (competitive baselines, real AML datasets) to provide both conceptual clarity and operational guidance for case generation systems.</w:t>
      </w:r>
    </w:p>
    <w:r>
      <w:br w:type="page"/>
    </w:r>
    <w:p>
      <w:pPr>
        <w:spacing w:after="100" w:before="240" w:line="240"/>
      </w:pPr>
      <w:r>
        <w:t xml:space="preserve">II. Related Work</w:t>
      </w:r>
    </w:p>
    <w:p>
      <w:pPr>
        <w:spacing w:after="80" w:line="240"/>
        <w:jc w:val="both"/>
      </w:pPr>
      <w:r>
        <w:t xml:space="preserve">Graph partitioning under budget constraints appears in multiple contexts. We situate BCCS within three key areas: (1) community detection in financial networks, (2) case generation for AML, and (3) approximation algorithms for graph partitioning.</w:t>
      </w:r>
    </w:p>
    <w:p>
      <w:pPr>
        <w:spacing w:after="100" w:before="180" w:line="240"/>
      </w:pPr>
      <w:r>
        <w:t xml:space="preserve">A. Community Detection for AML</w:t>
      </w:r>
    </w:p>
    <w:p>
      <w:pPr>
        <w:spacing w:after="80" w:line="240"/>
        <w:jc w:val="both"/>
      </w:pPr>
      <w:r>
        <w:t xml:space="preserve">Community detection is a classical approach to identifying cohesive subgraphs. Louvain (Blondel et al. 2008) optimizes modularity via greedy agglomeration and is widely used in financial networks. Leiden (Traag et al. 2019) improves Louvain by guaranteeing connected communities and is the state-of-art for large graphs. Both methods ignore the notion of budget constraints or presentation limits, treating all edges within a community equally. In contrast, BCCS explicitly models the analyst's limited attention: only top-B edges per case are reviewed.</w:t>
      </w:r>
    </w:p>
    <w:p>
      <w:pPr>
        <w:spacing w:after="100" w:before="180" w:line="240"/>
      </w:pPr>
      <w:r>
        <w:t xml:space="preserve">B. AML Case Generation</w:t>
      </w:r>
    </w:p>
    <w:p>
      <w:pPr>
        <w:spacing w:after="80" w:line="240"/>
        <w:jc w:val="both"/>
      </w:pPr>
      <w:r>
        <w:t xml:space="preserve">Recent work on AML transaction monitoring focuses on scoring (Weber et al. 2019, Elliptic dataset; Altman et al. 2023, Libra Bank) rather than case generation. Our work takes their scores as input and solves the downstream problem: how to bundle scored edges into investigation cases. Temporal locality has been explored (TempWCC baseline) but with limited success; temporal constraints degrade performance by creating fragmentation.</w:t>
      </w:r>
    </w:p>
    <w:p>
      <w:pPr>
        <w:spacing w:after="100" w:before="180" w:line="240"/>
      </w:pPr>
      <w:r>
        <w:t xml:space="preserve">C. Budget-Constrained Optimization</w:t>
      </w:r>
    </w:p>
    <w:p>
      <w:pPr>
        <w:spacing w:after="80" w:line="240"/>
        <w:jc w:val="both"/>
      </w:pPr>
      <w:r>
        <w:t xml:space="preserve">Maximum Coverage Problem (MCP) and related variants are well-studied. Feige (1998) proves a tight 1−1/e ≈ 0.632 inapproximability bound for MCP. Our Theorem 1 shows BCCS is strictly harder (inapproximable within |V|^(1-ε)), suggesting that the partition structure and edge-count budget introduce fundamental hardness beyond set cover.</w:t>
      </w:r>
    </w:p>
    <w:r>
      <w:br w:type="page"/>
    </w:r>
    <w:p>
      <w:pPr>
        <w:spacing w:after="100" w:before="240" w:line="240"/>
      </w:pPr>
      <w:r>
        <w:t xml:space="preserve">III. Problem Formulation</w:t>
      </w:r>
    </w:p>
    <w:p>
      <w:pPr>
        <w:spacing w:after="100" w:before="180" w:line="240"/>
      </w:pPr>
      <w:r>
        <w:t xml:space="preserve">A. BCCS Definition</w:t>
      </w:r>
    </w:p>
    <w:p>
      <w:pPr>
        <w:spacing w:after="80" w:line="240"/>
        <w:jc w:val="both"/>
      </w:pPr>
      <w:r>
        <w:t xml:space="preserve">Let G = (V, E) be an undirected graph. An edge-level fraud label is y: E → {0,1}, with F = {e ∈ E : y(e) = 1} the fraud edge set. A risk scorer s: E → [0,1] assigns importance to each edge. Let k ∈ (0,1] be a selection fraction and B ∈ ℤ+ a per-case edge budget.</w:t>
      </w:r>
    </w:p>
    <w:p>
      <w:pPr>
        <w:spacing w:after="80" w:line="240"/>
        <w:jc w:val="both"/>
      </w:pPr>
      <w:r>
        <w:t xml:space="preserve">Define the top-k subgraph G_k = (V_k, E_k), where E_k contains the ⌈k·|E|⌉ highest-scored edges and V_k is their endpoints. A case assignment is a partition P = {C_1, …, C_m} of V_k. For case C_i, the induced edge set is E(C_i) = {(u,v) ∈ E : u,v ∈ C_i}. The presented edge set is P(C_i) = top-B edges of E(C_i) by score. Fraud coverage is Cov(P) = |{e ∈ F : e ∈ P(C_i) for some i}|. The optimization objective is: max_P Cov(P) subject to |P(C_i)| ≤ B for all i.</w:t>
      </w:r>
    </w:p>
    <w:p>
      <w:pPr>
        <w:spacing w:after="100" w:before="180" w:line="240"/>
      </w:pPr>
      <w:r>
        <w:t xml:space="preserve">B. Complexity Results</w:t>
      </w:r>
    </w:p>
    <w:p>
      <w:pPr>
        <w:spacing w:after="80" w:line="240"/>
        <w:jc w:val="both"/>
      </w:pPr>
      <w:r>
        <w:t xml:space="preserve">The BCCS decision problem asks: does there exist partition P with Cov(P) ≥ τ? We prove BCCS is NP-complete via reduction from Maximum Independent Set.</w:t>
      </w:r>
    </w:p>
    <w:p>
      <w:pPr>
        <w:spacing w:after="100" w:before="120" w:line="240"/>
      </w:pPr>
      <w:r>
        <w:t xml:space="preserve">Theorem 1 (NP-Completeness)</w:t>
      </w:r>
    </w:p>
    <w:p>
      <w:pPr>
        <w:spacing w:after="80" w:line="240"/>
        <w:jc w:val="both"/>
      </w:pPr>
      <w:r>
        <w:t xml:space="preserve">BCCS is NP-complete. Proof (sketch): Given a MIS instance (H=(V_H, E_H), k), add a goal node g and connect g to all v ∈ V_H. Set budget B = k, threshold τ = k. Forward (⟹): If H has independent set S with |S| = k, define partition C_1 = S ∪ {g}, singletons for V_H \ S. Then |E(C_1)| = k, covering all k target edges. Backward (⟸): If partition achieves coverage ≥ k, let C_g be g's case with S = C_g ∩ V_H. Since |E(C_g)| ≤ k and |S| ≥ k, S is independent. □</w:t>
      </w:r>
    </w:p>
    <w:p>
      <w:pPr>
        <w:spacing w:after="80" w:line="240"/>
        <w:jc w:val="both"/>
      </w:pPr>
      <w:r>
        <w:t xml:space="preserve">Corollary 1 (Inapproximability): By Zuckerman (2007), no poly-time algorithm can approximate BCCS within |V|^(1-ε) for any ε &gt; 0 unless P = NP.</w:t>
      </w:r>
    </w:p>
    <w:r>
      <w:br w:type="page"/>
    </w:r>
    <w:p>
      <w:pPr>
        <w:spacing w:after="100" w:before="240" w:line="240"/>
      </w:pPr>
      <w:r>
        <w:t xml:space="preserve">IV. Instance-Specific Gap Analysis</w:t>
      </w:r>
    </w:p>
    <w:p>
      <w:pPr>
        <w:spacing w:after="80" w:line="240"/>
        <w:jc w:val="both"/>
      </w:pPr>
      <w:r>
        <w:t xml:space="preserve">Rather than claim a classical approximation ratio, we provide computable per-instance diagnostic quantities that bound the gap between HGS and any feasible solution.</w:t>
      </w:r>
    </w:p>
    <w:p>
      <w:pPr>
        <w:spacing w:after="100" w:before="180" w:line="240"/>
      </w:pPr>
      <w:r>
        <w:t xml:space="preserve">A. WCC Coverage Upper Bound</w:t>
      </w:r>
    </w:p>
    <w:p>
      <w:pPr>
        <w:spacing w:after="80" w:line="240"/>
        <w:jc w:val="both"/>
      </w:pPr>
      <w:r>
        <w:t xml:space="preserve">Observation 1 (WCC-COV): For any partition P that respects weakly connected component boundaries, the coverage is bounded by WCC-COV(G, G_k, F) = |{e ∈ F : both endpoints in same WCC of G_k}|. HGS respects WCC boundaries, so HGS ≤ WCC-COV. Note that WCC-COV is NOT an upper bound on OPT, which may merge nodes from different WCCs.</w:t>
      </w:r>
    </w:p>
    <w:p>
      <w:pPr>
        <w:spacing w:after="100" w:before="180" w:line="240"/>
      </w:pPr>
      <w:r>
        <w:t xml:space="preserve">B. Gap Bound Theorem</w:t>
      </w:r>
    </w:p>
    <w:p>
      <w:pPr>
        <w:spacing w:after="80" w:line="240"/>
        <w:jc w:val="both"/>
      </w:pPr>
      <w:r>
        <w:t xml:space="preserve">Define: cross = |{e ∈ F : endpoints in different WCCs of G_k}| and L_cut = |{e ∈ F : endpoints in same WCC but split by Leiden}|.</w:t>
      </w:r>
    </w:p>
    <w:p>
      <w:pPr>
        <w:spacing w:after="100" w:before="120" w:line="240"/>
      </w:pPr>
      <w:r>
        <w:t xml:space="preserve">Theorem 2 (Instance-Specific Gap Bound)</w:t>
      </w:r>
    </w:p>
    <w:p>
      <w:pPr>
        <w:spacing w:after="80" w:line="240"/>
        <w:jc w:val="both"/>
      </w:pPr>
      <w:r>
        <w:t xml:space="preserve">For any BCCS instance, OPT − HGS ≤ cross + L_cut. Proof: Uncovered fraud edges fall into two groups: (1) cross-WCC edges (different WCCs → different cases), (2) intra-WCC Leiden cuts. OPT can cover at most cross + L_cut additional edges. □</w:t>
      </w:r>
    </w:p>
    <w:p>
      <w:pPr>
        <w:spacing w:after="100" w:before="180" w:line="240"/>
      </w:pPr>
      <w:r>
        <w:t xml:space="preserve">C. Gap Fraction</w:t>
      </w:r>
    </w:p>
    <w:p>
      <w:pPr>
        <w:spacing w:after="80" w:line="240"/>
        <w:jc w:val="both"/>
      </w:pPr>
      <w:r>
        <w:t xml:space="preserve">Define gap fraction δ = (cross + L_cut) / |F|. This is a per-instance diagnostic: δ close to 0 means HGS is near-optimal; δ close to 1 means HGS may be far from OPT. Define Budget-Feasibility Rate (BFR) = fraction of WCCs with |E(C)| ≤ B. On budget-feasible instances (BFR = 1), L_cut = 0 and gap reduces to cross alone.</w:t>
      </w:r>
    </w:p>
    <w:r>
      <w:br w:type="page"/>
    </w:r>
    <w:p>
      <w:pPr>
        <w:spacing w:after="100" w:before="240" w:line="240"/>
      </w:pPr>
      <w:r>
        <w:t xml:space="preserve">V. HGS Algorithm</w:t>
      </w:r>
    </w:p>
    <w:p>
      <w:pPr>
        <w:spacing w:after="100" w:before="180" w:line="240"/>
      </w:pPr>
      <w:r>
        <w:t xml:space="preserve">Algorithm Description</w:t>
      </w:r>
    </w:p>
    <w:p>
      <w:pPr>
        <w:spacing w:after="60" w:before="0" w:line="240"/>
        <w:jc w:val="both"/>
      </w:pPr>
      <w:r>
        <w:t xml:space="preserve">1. Top-k Selection: Sort edges by score s in descending order. Extract E_k = top-⌈k·|E|⌉ edges. Compute V_k = endpoints.</w:t>
      </w:r>
    </w:p>
    <w:p>
      <w:pPr>
        <w:spacing w:after="60" w:before="0" w:line="240"/>
        <w:jc w:val="both"/>
      </w:pPr>
      <w:r>
        <w:t xml:space="preserve">2. WCC Partition: Compute weakly connected components of G_k using union-find.</w:t>
      </w:r>
    </w:p>
    <w:p>
      <w:pPr>
        <w:spacing w:after="60" w:before="0" w:line="240"/>
        <w:jc w:val="both"/>
      </w:pPr>
      <w:r>
        <w:t xml:space="preserve">3. Leiden Refinement: For each over-budget WCC C_j with |E(C_j)| &gt; B, construct line graph L(C_j). Apply Leiden with target_size = ⌈|E(C_j)|/B⌉ to partition edges into q subcases.</w:t>
      </w:r>
    </w:p>
    <w:p>
      <w:pPr>
        <w:spacing w:after="60" w:before="0" w:line="240"/>
        <w:jc w:val="both"/>
      </w:pPr>
      <w:r>
        <w:t xml:space="preserve">4. Budget Cap: For each case C_i, truncate E(C_i) to top-B edges by score to get P(C_i) (presented edges).</w:t>
      </w:r>
    </w:p>
    <w:p>
      <w:pPr>
        <w:spacing w:after="60" w:before="0" w:line="240"/>
        <w:jc w:val="both"/>
      </w:pPr>
      <w:r>
        <w:t xml:space="preserve">5. Output: Partition P with |P(C_i)| ≤ B for all i.</w:t>
      </w:r>
    </w:p>
    <w:p>
      <w:pPr>
        <w:spacing w:after="100" w:before="180" w:line="240"/>
      </w:pPr>
      <w:r>
        <w:t xml:space="preserve">Complexity Analysis</w:t>
      </w:r>
    </w:p>
    <w:p>
      <w:pPr>
        <w:spacing w:after="80" w:line="240"/>
        <w:jc w:val="both"/>
      </w:pPr>
      <w:r>
        <w:t xml:space="preserve">Sorting: O(|E| log |E|). WCC: O(|V| + |E_k|). Line graph construction: O(|E(C)| + |E_L(C)|), where |E_L(C)| can be O(d²_max · |E(C)|) worst-case. Leiden: O(|E_L| log |E_L|). On typical AML graphs with sparse structure (d_max ≈ 50–100), HGS is near-linear overall.</w:t>
      </w:r>
    </w:p>
    <w:r>
      <w:br w:type="page"/>
    </w:r>
    <w:p>
      <w:pPr>
        <w:spacing w:after="100" w:before="240" w:line="240"/>
      </w:pPr>
      <w:r>
        <w:t xml:space="preserve">VI. Experimental Setup</w:t>
      </w:r>
    </w:p>
    <w:p>
      <w:pPr>
        <w:spacing w:after="100" w:before="180" w:line="240"/>
      </w:pPr>
      <w:r>
        <w:t xml:space="preserve">A. Datasets</w:t>
      </w:r>
    </w:p>
    <w:p>
      <w:pPr>
        <w:spacing w:after="80" w:line="240"/>
        <w:jc w:val="both"/>
      </w:pPr>
      <w:r>
        <w:t xml:space="preserve">We evaluate on five diverse datasets spanning AML and general fraud scenarios.</w:t>
      </w:r>
    </w:p>
    <w:p>
      <w:pPr>
        <w:spacing w:after="40" w:before="40"/>
      </w:pPr>
      <w:r>
        <w:t xml:space="preserve">Table 1: Dataset Summary</w:t>
      </w:r>
    </w:p>
    <w:tbl>
      <w:tblPr>
        <w:tblW w:type="auto" w:w="100"/>
        <w:tblBorders>
          <w:top w:val="single" w:color="000000" w:sz="6"/>
          <w:left w:val="single" w:color="000000" w:sz="6"/>
          <w:bottom w:val="single" w:color="000000" w:sz="6"/>
          <w:right w:val="single" w:color="000000" w:sz="6"/>
          <w:insideH w:val="single" w:color="CCCCCC" w:sz="1"/>
          <w:insideV w:val="single" w:color="CCCCCC" w:sz="1"/>
        </w:tblBorders>
      </w:tblPr>
      <w:tblGrid>
        <w:gridCol w:w="100"/>
        <w:gridCol w:w="100"/>
        <w:gridCol w:w="100"/>
        <w:gridCol w:w="100"/>
        <w:gridCol w:w="100"/>
      </w:tblGrid>
      <w:tr>
        <w:trPr>
          <w:trHeight w:val="300" w:hRule="atLeast"/>
        </w:trPr>
        <w:tc>
          <w:tcPr>
            <w:shd w:fill="E0E0E0"/>
            <w:tcMar>
              <w:top w:type="dxa" w:w="40"/>
              <w:left w:type="dxa" w:w="40"/>
              <w:bottom w:type="dxa" w:w="40"/>
              <w:right w:type="dxa" w:w="40"/>
            </w:tcMar>
            <w:vAlign w:val="center"/>
          </w:tcPr>
          <w:p>
            <w:r>
              <w:t xml:space="preserve">Dataset</w:t>
            </w:r>
          </w:p>
        </w:tc>
        <w:tc>
          <w:tcPr>
            <w:shd w:fill="E0E0E0"/>
            <w:tcMar>
              <w:top w:type="dxa" w:w="40"/>
              <w:left w:type="dxa" w:w="40"/>
              <w:bottom w:type="dxa" w:w="40"/>
              <w:right w:type="dxa" w:w="40"/>
            </w:tcMar>
            <w:vAlign w:val="center"/>
          </w:tcPr>
          <w:p>
            <w:r>
              <w:t xml:space="preserve">|V|</w:t>
            </w:r>
          </w:p>
        </w:tc>
        <w:tc>
          <w:tcPr>
            <w:shd w:fill="E0E0E0"/>
            <w:tcMar>
              <w:top w:type="dxa" w:w="40"/>
              <w:left w:type="dxa" w:w="40"/>
              <w:bottom w:type="dxa" w:w="40"/>
              <w:right w:type="dxa" w:w="40"/>
            </w:tcMar>
            <w:vAlign w:val="center"/>
          </w:tcPr>
          <w:p>
            <w:r>
              <w:t xml:space="preserve">|E|</w:t>
            </w:r>
          </w:p>
        </w:tc>
        <w:tc>
          <w:tcPr>
            <w:shd w:fill="E0E0E0"/>
            <w:tcMar>
              <w:top w:type="dxa" w:w="40"/>
              <w:left w:type="dxa" w:w="40"/>
              <w:bottom w:type="dxa" w:w="40"/>
              <w:right w:type="dxa" w:w="40"/>
            </w:tcMar>
            <w:vAlign w:val="center"/>
          </w:tcPr>
          <w:p>
            <w:r>
              <w:t xml:space="preserve">|F| (fraud)</w:t>
            </w:r>
          </w:p>
        </w:tc>
        <w:tc>
          <w:tcPr>
            <w:shd w:fill="E0E0E0"/>
            <w:tcMar>
              <w:top w:type="dxa" w:w="40"/>
              <w:left w:type="dxa" w:w="40"/>
              <w:bottom w:type="dxa" w:w="40"/>
              <w:right w:type="dxa" w:w="40"/>
            </w:tcMar>
            <w:vAlign w:val="center"/>
          </w:tcPr>
          <w:p>
            <w:r>
              <w:t xml:space="preserve">Fraud %</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203,769</w:t>
            </w:r>
          </w:p>
        </w:tc>
        <w:tc>
          <w:tcPr>
            <w:tcMar>
              <w:top w:type="dxa" w:w="30"/>
              <w:left w:type="dxa" w:w="30"/>
              <w:bottom w:type="dxa" w:w="30"/>
              <w:right w:type="dxa" w:w="30"/>
            </w:tcMar>
            <w:vAlign w:val="center"/>
          </w:tcPr>
          <w:p>
            <w:r>
              <w:t xml:space="preserve">234,355</w:t>
            </w:r>
          </w:p>
        </w:tc>
        <w:tc>
          <w:tcPr>
            <w:tcMar>
              <w:top w:type="dxa" w:w="30"/>
              <w:left w:type="dxa" w:w="30"/>
              <w:bottom w:type="dxa" w:w="30"/>
              <w:right w:type="dxa" w:w="30"/>
            </w:tcMar>
            <w:vAlign w:val="center"/>
          </w:tcPr>
          <w:p>
            <w:r>
              <w:t xml:space="preserve">8,145</w:t>
            </w:r>
          </w:p>
        </w:tc>
        <w:tc>
          <w:tcPr>
            <w:tcMar>
              <w:top w:type="dxa" w:w="30"/>
              <w:left w:type="dxa" w:w="30"/>
              <w:bottom w:type="dxa" w:w="30"/>
              <w:right w:type="dxa" w:w="30"/>
            </w:tcMar>
            <w:vAlign w:val="center"/>
          </w:tcPr>
          <w:p>
            <w:r>
              <w:t xml:space="preserve">3.5%</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822,942</w:t>
            </w:r>
          </w:p>
        </w:tc>
        <w:tc>
          <w:tcPr>
            <w:tcMar>
              <w:top w:type="dxa" w:w="30"/>
              <w:left w:type="dxa" w:w="30"/>
              <w:bottom w:type="dxa" w:w="30"/>
              <w:right w:type="dxa" w:w="30"/>
            </w:tcMar>
            <w:vAlign w:val="center"/>
          </w:tcPr>
          <w:p>
            <w:r>
              <w:t xml:space="preserve">2,868,964</w:t>
            </w:r>
          </w:p>
        </w:tc>
        <w:tc>
          <w:tcPr>
            <w:tcMar>
              <w:top w:type="dxa" w:w="30"/>
              <w:left w:type="dxa" w:w="30"/>
              <w:bottom w:type="dxa" w:w="30"/>
              <w:right w:type="dxa" w:w="30"/>
            </w:tcMar>
            <w:vAlign w:val="center"/>
          </w:tcPr>
          <w:p>
            <w:r>
              <w:t xml:space="preserve">36,903</w:t>
            </w:r>
          </w:p>
        </w:tc>
        <w:tc>
          <w:tcPr>
            <w:tcMar>
              <w:top w:type="dxa" w:w="30"/>
              <w:left w:type="dxa" w:w="30"/>
              <w:bottom w:type="dxa" w:w="30"/>
              <w:right w:type="dxa" w:w="30"/>
            </w:tcMar>
            <w:vAlign w:val="center"/>
          </w:tcPr>
          <w:p>
            <w:r>
              <w:t xml:space="preserve">1.3%</w:t>
            </w:r>
          </w:p>
        </w:tc>
      </w:tr>
      <w:tr>
        <w:tc>
          <w:tcPr>
            <w:tcMar>
              <w:top w:type="dxa" w:w="30"/>
              <w:left w:type="dxa" w:w="30"/>
              <w:bottom w:type="dxa" w:w="30"/>
              <w:right w:type="dxa" w:w="30"/>
            </w:tcMar>
            <w:vAlign w:val="center"/>
          </w:tcPr>
          <w:p>
            <w:r>
              <w:t xml:space="preserve">Bitcoin-OTC</w:t>
            </w:r>
          </w:p>
        </w:tc>
        <w:tc>
          <w:tcPr>
            <w:tcMar>
              <w:top w:type="dxa" w:w="30"/>
              <w:left w:type="dxa" w:w="30"/>
              <w:bottom w:type="dxa" w:w="30"/>
              <w:right w:type="dxa" w:w="30"/>
            </w:tcMar>
            <w:vAlign w:val="center"/>
          </w:tcPr>
          <w:p>
            <w:r>
              <w:t xml:space="preserve">5,881</w:t>
            </w:r>
          </w:p>
        </w:tc>
        <w:tc>
          <w:tcPr>
            <w:tcMar>
              <w:top w:type="dxa" w:w="30"/>
              <w:left w:type="dxa" w:w="30"/>
              <w:bottom w:type="dxa" w:w="30"/>
              <w:right w:type="dxa" w:w="30"/>
            </w:tcMar>
            <w:vAlign w:val="center"/>
          </w:tcPr>
          <w:p>
            <w:r>
              <w:t xml:space="preserve">35,592</w:t>
            </w:r>
          </w:p>
        </w:tc>
        <w:tc>
          <w:tcPr>
            <w:tcMar>
              <w:top w:type="dxa" w:w="30"/>
              <w:left w:type="dxa" w:w="30"/>
              <w:bottom w:type="dxa" w:w="30"/>
              <w:right w:type="dxa" w:w="30"/>
            </w:tcMar>
            <w:vAlign w:val="center"/>
          </w:tcPr>
          <w:p>
            <w:r>
              <w:t xml:space="preserve">3,563</w:t>
            </w:r>
          </w:p>
        </w:tc>
        <w:tc>
          <w:tcPr>
            <w:tcMar>
              <w:top w:type="dxa" w:w="30"/>
              <w:left w:type="dxa" w:w="30"/>
              <w:bottom w:type="dxa" w:w="30"/>
              <w:right w:type="dxa" w:w="30"/>
            </w:tcMar>
            <w:vAlign w:val="center"/>
          </w:tcPr>
          <w:p>
            <w:r>
              <w:t xml:space="preserve">10.0%</w:t>
            </w:r>
          </w:p>
        </w:tc>
      </w:tr>
      <w:tr>
        <w:tc>
          <w:tcPr>
            <w:tcMar>
              <w:top w:type="dxa" w:w="30"/>
              <w:left w:type="dxa" w:w="30"/>
              <w:bottom w:type="dxa" w:w="30"/>
              <w:right w:type="dxa" w:w="30"/>
            </w:tcMar>
            <w:vAlign w:val="center"/>
          </w:tcPr>
          <w:p>
            <w:r>
              <w:t xml:space="preserve">Amazon Fraud</w:t>
            </w:r>
          </w:p>
        </w:tc>
        <w:tc>
          <w:tcPr>
            <w:tcMar>
              <w:top w:type="dxa" w:w="30"/>
              <w:left w:type="dxa" w:w="30"/>
              <w:bottom w:type="dxa" w:w="30"/>
              <w:right w:type="dxa" w:w="30"/>
            </w:tcMar>
            <w:vAlign w:val="center"/>
          </w:tcPr>
          <w:p>
            <w:r>
              <w:t xml:space="preserve">11,944</w:t>
            </w:r>
          </w:p>
        </w:tc>
        <w:tc>
          <w:tcPr>
            <w:tcMar>
              <w:top w:type="dxa" w:w="30"/>
              <w:left w:type="dxa" w:w="30"/>
              <w:bottom w:type="dxa" w:w="30"/>
              <w:right w:type="dxa" w:w="30"/>
            </w:tcMar>
            <w:vAlign w:val="center"/>
          </w:tcPr>
          <w:p>
            <w:r>
              <w:t xml:space="preserve">4,398,392</w:t>
            </w:r>
          </w:p>
        </w:tc>
        <w:tc>
          <w:tcPr>
            <w:tcMar>
              <w:top w:type="dxa" w:w="30"/>
              <w:left w:type="dxa" w:w="30"/>
              <w:bottom w:type="dxa" w:w="30"/>
              <w:right w:type="dxa" w:w="30"/>
            </w:tcMar>
            <w:vAlign w:val="center"/>
          </w:tcPr>
          <w:p>
            <w:r>
              <w:t xml:space="preserve">211,823</w:t>
            </w:r>
          </w:p>
        </w:tc>
        <w:tc>
          <w:tcPr>
            <w:tcMar>
              <w:top w:type="dxa" w:w="30"/>
              <w:left w:type="dxa" w:w="30"/>
              <w:bottom w:type="dxa" w:w="30"/>
              <w:right w:type="dxa" w:w="30"/>
            </w:tcMar>
            <w:vAlign w:val="center"/>
          </w:tcPr>
          <w:p>
            <w:r>
              <w:t xml:space="preserve">4.8%</w:t>
            </w:r>
          </w:p>
        </w:tc>
      </w:tr>
      <w:tr>
        <w:tc>
          <w:tcPr>
            <w:tcMar>
              <w:top w:type="dxa" w:w="30"/>
              <w:left w:type="dxa" w:w="30"/>
              <w:bottom w:type="dxa" w:w="30"/>
              <w:right w:type="dxa" w:w="30"/>
            </w:tcMar>
            <w:vAlign w:val="center"/>
          </w:tcPr>
          <w:p>
            <w:r>
              <w:t xml:space="preserve">Libra Bank</w:t>
            </w:r>
          </w:p>
        </w:tc>
        <w:tc>
          <w:tcPr>
            <w:tcMar>
              <w:top w:type="dxa" w:w="30"/>
              <w:left w:type="dxa" w:w="30"/>
              <w:bottom w:type="dxa" w:w="30"/>
              <w:right w:type="dxa" w:w="30"/>
            </w:tcMar>
            <w:vAlign w:val="center"/>
          </w:tcPr>
          <w:p>
            <w:r>
              <w:t xml:space="preserve">~50K</w:t>
            </w:r>
          </w:p>
        </w:tc>
        <w:tc>
          <w:tcPr>
            <w:tcMar>
              <w:top w:type="dxa" w:w="30"/>
              <w:left w:type="dxa" w:w="30"/>
              <w:bottom w:type="dxa" w:w="30"/>
              <w:right w:type="dxa" w:w="30"/>
            </w:tcMar>
            <w:vAlign w:val="center"/>
          </w:tcPr>
          <w:p>
            <w:r>
              <w:t xml:space="preserve">597,165</w:t>
            </w:r>
          </w:p>
        </w:tc>
        <w:tc>
          <w:tcPr>
            <w:tcMar>
              <w:top w:type="dxa" w:w="30"/>
              <w:left w:type="dxa" w:w="30"/>
              <w:bottom w:type="dxa" w:w="30"/>
              <w:right w:type="dxa" w:w="30"/>
            </w:tcMar>
            <w:vAlign w:val="center"/>
          </w:tcPr>
          <w:p>
            <w:r>
              <w:t xml:space="preserve">444</w:t>
            </w:r>
          </w:p>
        </w:tc>
        <w:tc>
          <w:tcPr>
            <w:tcMar>
              <w:top w:type="dxa" w:w="30"/>
              <w:left w:type="dxa" w:w="30"/>
              <w:bottom w:type="dxa" w:w="30"/>
              <w:right w:type="dxa" w:w="30"/>
            </w:tcMar>
            <w:vAlign w:val="center"/>
          </w:tcPr>
          <w:p>
            <w:r>
              <w:t xml:space="preserve">0.07%</w:t>
            </w:r>
          </w:p>
        </w:tc>
      </w:tr>
    </w:tbl>
    <w:p>
      <w:pPr>
        <w:spacing w:after="80" w:line="240"/>
        <w:jc w:val="both"/>
      </w:pPr>
      <w:r>
        <w:t xml:space="preserve">Elliptic: Bitcoin transaction network with GNN-derived fraud labels. Elliptic++: enlarged Elliptic dataset. Bitcoin-OTC: trust ratings (binarized). Amazon Fraud: review-reviewer interactions flagged as fraud. Libra Bank: synthetic transaction network with leak-free/leaked score variants.</w:t>
      </w:r>
    </w:p>
    <w:p>
      <w:pPr>
        <w:spacing w:after="100" w:before="180" w:line="240"/>
      </w:pPr>
      <w:r>
        <w:t xml:space="preserve">B. Baselines</w:t>
      </w:r>
    </w:p>
    <w:p>
      <w:pPr>
        <w:spacing w:after="80" w:line="240"/>
        <w:jc w:val="both"/>
      </w:pPr>
      <w:r>
        <w:t xml:space="preserve">B0_Random: random partition capped to B edges. B1_WCC: partition by WCC without Leiden or budget cap. B2_Louvain: apply Louvain on G_k then cap to B edges. B4_TempWCC: WCC on temporally-weighted subgraph. B5_HubWCC: WCC + greedy hub-based refinement. HGS: our algorithm.</w:t>
      </w:r>
    </w:p>
    <w:p>
      <w:pPr>
        <w:spacing w:after="100" w:before="180" w:line="240"/>
      </w:pPr>
      <w:r>
        <w:t xml:space="preserve">C. Metrics</w:t>
      </w:r>
    </w:p>
    <w:p>
      <w:pPr>
        <w:spacing w:after="80" w:line="240"/>
        <w:jc w:val="both"/>
      </w:pPr>
      <w:r>
        <w:t xml:space="preserve">FraudCoverage: Fraction of fraud edges in presented edges (primary metric). Purity: Fraction of presented edges that are fraud. Yield@B: Average fraud density per case. BFR: Budget-Feasibility Rate. Time: Wall-clock runtime.</w:t>
      </w:r>
    </w:p>
    <w:r>
      <w:br w:type="page"/>
    </w:r>
    <w:p>
      <w:pPr>
        <w:spacing w:after="100" w:before="240" w:line="240"/>
      </w:pPr>
      <w:r>
        <w:t xml:space="preserve">VII. Main Results</w:t>
      </w:r>
    </w:p>
    <w:p>
      <w:pPr>
        <w:spacing w:after="80" w:line="240"/>
        <w:jc w:val="both"/>
      </w:pPr>
      <w:r>
        <w:t xml:space="preserve">Table 2 shows fraud coverage for all 6 baselines × 5 datasets × 2 k-values (1% and 5%). All results use leak-free Libra scores.</w:t>
      </w:r>
    </w:p>
    <w:p>
      <w:pPr>
        <w:spacing w:after="40" w:before="40"/>
      </w:pPr>
      <w:r>
        <w:t xml:space="preserve">Table 2: Fraud Coverage Results</w:t>
      </w:r>
    </w:p>
    <w:tbl>
      <w:tblPr>
        <w:tblW w:type="auto" w:w="100"/>
        <w:tblBorders>
          <w:top w:val="single" w:color="000000" w:sz="6"/>
          <w:left w:val="single" w:color="000000" w:sz="6"/>
          <w:bottom w:val="single" w:color="000000" w:sz="6"/>
          <w:right w:val="single" w:color="000000" w:sz="6"/>
          <w:insideH w:val="single" w:color="CCCCCC" w:sz="1"/>
          <w:insideV w:val="single" w:color="CCCCCC" w:sz="1"/>
        </w:tblBorders>
      </w:tblPr>
      <w:tblGrid>
        <w:gridCol w:w="100"/>
        <w:gridCol w:w="100"/>
        <w:gridCol w:w="100"/>
        <w:gridCol w:w="100"/>
        <w:gridCol w:w="100"/>
        <w:gridCol w:w="100"/>
        <w:gridCol w:w="100"/>
        <w:gridCol w:w="100"/>
      </w:tblGrid>
      <w:tr>
        <w:trPr>
          <w:trHeight w:val="300" w:hRule="atLeast"/>
        </w:trPr>
        <w:tc>
          <w:tcPr>
            <w:shd w:fill="E0E0E0"/>
            <w:tcMar>
              <w:top w:type="dxa" w:w="40"/>
              <w:left w:type="dxa" w:w="40"/>
              <w:bottom w:type="dxa" w:w="40"/>
              <w:right w:type="dxa" w:w="40"/>
            </w:tcMar>
            <w:vAlign w:val="center"/>
          </w:tcPr>
          <w:p>
            <w:r>
              <w:t xml:space="preserve">Dataset</w:t>
            </w:r>
          </w:p>
        </w:tc>
        <w:tc>
          <w:tcPr>
            <w:shd w:fill="E0E0E0"/>
            <w:tcMar>
              <w:top w:type="dxa" w:w="40"/>
              <w:left w:type="dxa" w:w="40"/>
              <w:bottom w:type="dxa" w:w="40"/>
              <w:right w:type="dxa" w:w="40"/>
            </w:tcMar>
            <w:vAlign w:val="center"/>
          </w:tcPr>
          <w:p>
            <w:r>
              <w:t xml:space="preserve">k</w:t>
            </w:r>
          </w:p>
        </w:tc>
        <w:tc>
          <w:tcPr>
            <w:shd w:fill="E0E0E0"/>
            <w:tcMar>
              <w:top w:type="dxa" w:w="40"/>
              <w:left w:type="dxa" w:w="40"/>
              <w:bottom w:type="dxa" w:w="40"/>
              <w:right w:type="dxa" w:w="40"/>
            </w:tcMar>
            <w:vAlign w:val="center"/>
          </w:tcPr>
          <w:p>
            <w:r>
              <w:t xml:space="preserve">Random</w:t>
            </w:r>
          </w:p>
        </w:tc>
        <w:tc>
          <w:tcPr>
            <w:shd w:fill="E0E0E0"/>
            <w:tcMar>
              <w:top w:type="dxa" w:w="40"/>
              <w:left w:type="dxa" w:w="40"/>
              <w:bottom w:type="dxa" w:w="40"/>
              <w:right w:type="dxa" w:w="40"/>
            </w:tcMar>
            <w:vAlign w:val="center"/>
          </w:tcPr>
          <w:p>
            <w:r>
              <w:t xml:space="preserve">WCC</w:t>
            </w:r>
          </w:p>
        </w:tc>
        <w:tc>
          <w:tcPr>
            <w:shd w:fill="E0E0E0"/>
            <w:tcMar>
              <w:top w:type="dxa" w:w="40"/>
              <w:left w:type="dxa" w:w="40"/>
              <w:bottom w:type="dxa" w:w="40"/>
              <w:right w:type="dxa" w:w="40"/>
            </w:tcMar>
            <w:vAlign w:val="center"/>
          </w:tcPr>
          <w:p>
            <w:r>
              <w:t xml:space="preserve">Louvain</w:t>
            </w:r>
          </w:p>
        </w:tc>
        <w:tc>
          <w:tcPr>
            <w:shd w:fill="E0E0E0"/>
            <w:tcMar>
              <w:top w:type="dxa" w:w="40"/>
              <w:left w:type="dxa" w:w="40"/>
              <w:bottom w:type="dxa" w:w="40"/>
              <w:right w:type="dxa" w:w="40"/>
            </w:tcMar>
            <w:vAlign w:val="center"/>
          </w:tcPr>
          <w:p>
            <w:r>
              <w:t xml:space="preserve">TempWCC</w:t>
            </w:r>
          </w:p>
        </w:tc>
        <w:tc>
          <w:tcPr>
            <w:shd w:fill="E0E0E0"/>
            <w:tcMar>
              <w:top w:type="dxa" w:w="40"/>
              <w:left w:type="dxa" w:w="40"/>
              <w:bottom w:type="dxa" w:w="40"/>
              <w:right w:type="dxa" w:w="40"/>
            </w:tcMar>
            <w:vAlign w:val="center"/>
          </w:tcPr>
          <w:p>
            <w:r>
              <w:t xml:space="preserve">HubWCC</w:t>
            </w:r>
          </w:p>
        </w:tc>
        <w:tc>
          <w:tcPr>
            <w:shd w:fill="E0E0E0"/>
            <w:tcMar>
              <w:top w:type="dxa" w:w="40"/>
              <w:left w:type="dxa" w:w="40"/>
              <w:bottom w:type="dxa" w:w="40"/>
              <w:right w:type="dxa" w:w="40"/>
            </w:tcMar>
            <w:vAlign w:val="center"/>
          </w:tcPr>
          <w:p>
            <w:r>
              <w:t xml:space="preserve">HGS</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0.148</w:t>
            </w:r>
          </w:p>
        </w:tc>
        <w:tc>
          <w:tcPr>
            <w:tcMar>
              <w:top w:type="dxa" w:w="30"/>
              <w:left w:type="dxa" w:w="30"/>
              <w:bottom w:type="dxa" w:w="30"/>
              <w:right w:type="dxa" w:w="30"/>
            </w:tcMar>
            <w:vAlign w:val="center"/>
          </w:tcPr>
          <w:p>
            <w:r>
              <w:t xml:space="preserve">0.289</w:t>
            </w:r>
          </w:p>
        </w:tc>
        <w:tc>
          <w:tcPr>
            <w:tcMar>
              <w:top w:type="dxa" w:w="30"/>
              <w:left w:type="dxa" w:w="30"/>
              <w:bottom w:type="dxa" w:w="30"/>
              <w:right w:type="dxa" w:w="30"/>
            </w:tcMar>
            <w:vAlign w:val="center"/>
          </w:tcPr>
          <w:p>
            <w:r>
              <w:t xml:space="preserve">0.289</w:t>
            </w:r>
          </w:p>
        </w:tc>
        <w:tc>
          <w:tcPr>
            <w:tcMar>
              <w:top w:type="dxa" w:w="30"/>
              <w:left w:type="dxa" w:w="30"/>
              <w:bottom w:type="dxa" w:w="30"/>
              <w:right w:type="dxa" w:w="30"/>
            </w:tcMar>
            <w:vAlign w:val="center"/>
          </w:tcPr>
          <w:p>
            <w:r>
              <w:t xml:space="preserve">0.000</w:t>
            </w:r>
          </w:p>
        </w:tc>
        <w:tc>
          <w:tcPr>
            <w:tcMar>
              <w:top w:type="dxa" w:w="30"/>
              <w:left w:type="dxa" w:w="30"/>
              <w:bottom w:type="dxa" w:w="30"/>
              <w:right w:type="dxa" w:w="30"/>
            </w:tcMar>
            <w:vAlign w:val="center"/>
          </w:tcPr>
          <w:p>
            <w:r>
              <w:t xml:space="preserve">0.197</w:t>
            </w:r>
          </w:p>
        </w:tc>
        <w:tc>
          <w:tcPr>
            <w:tcMar>
              <w:top w:type="dxa" w:w="30"/>
              <w:left w:type="dxa" w:w="30"/>
              <w:bottom w:type="dxa" w:w="30"/>
              <w:right w:type="dxa" w:w="30"/>
            </w:tcMar>
            <w:vAlign w:val="center"/>
          </w:tcPr>
          <w:p>
            <w:r>
              <w:t xml:space="preserve">0.289</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0.289</w:t>
            </w:r>
          </w:p>
        </w:tc>
        <w:tc>
          <w:tcPr>
            <w:tcMar>
              <w:top w:type="dxa" w:w="30"/>
              <w:left w:type="dxa" w:w="30"/>
              <w:bottom w:type="dxa" w:w="30"/>
              <w:right w:type="dxa" w:w="30"/>
            </w:tcMar>
            <w:vAlign w:val="center"/>
          </w:tcPr>
          <w:p>
            <w:r>
              <w:t xml:space="preserve">0.907</w:t>
            </w:r>
          </w:p>
        </w:tc>
        <w:tc>
          <w:tcPr>
            <w:tcMar>
              <w:top w:type="dxa" w:w="30"/>
              <w:left w:type="dxa" w:w="30"/>
              <w:bottom w:type="dxa" w:w="30"/>
              <w:right w:type="dxa" w:w="30"/>
            </w:tcMar>
            <w:vAlign w:val="center"/>
          </w:tcPr>
          <w:p>
            <w:r>
              <w:t xml:space="preserve">0.920</w:t>
            </w:r>
          </w:p>
        </w:tc>
        <w:tc>
          <w:tcPr>
            <w:tcMar>
              <w:top w:type="dxa" w:w="30"/>
              <w:left w:type="dxa" w:w="30"/>
              <w:bottom w:type="dxa" w:w="30"/>
              <w:right w:type="dxa" w:w="30"/>
            </w:tcMar>
            <w:vAlign w:val="center"/>
          </w:tcPr>
          <w:p>
            <w:r>
              <w:t xml:space="preserve">0.055</w:t>
            </w:r>
          </w:p>
        </w:tc>
        <w:tc>
          <w:tcPr>
            <w:tcMar>
              <w:top w:type="dxa" w:w="30"/>
              <w:left w:type="dxa" w:w="30"/>
              <w:bottom w:type="dxa" w:w="30"/>
              <w:right w:type="dxa" w:w="30"/>
            </w:tcMar>
            <w:vAlign w:val="center"/>
          </w:tcPr>
          <w:p>
            <w:r>
              <w:t xml:space="preserve">0.526</w:t>
            </w:r>
          </w:p>
        </w:tc>
        <w:tc>
          <w:tcPr>
            <w:tcMar>
              <w:top w:type="dxa" w:w="30"/>
              <w:left w:type="dxa" w:w="30"/>
              <w:bottom w:type="dxa" w:w="30"/>
              <w:right w:type="dxa" w:w="30"/>
            </w:tcMar>
            <w:vAlign w:val="center"/>
          </w:tcPr>
          <w:p>
            <w:r>
              <w:t xml:space="preserve">0.943</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0.118</w:t>
            </w:r>
          </w:p>
        </w:tc>
        <w:tc>
          <w:tcPr>
            <w:tcMar>
              <w:top w:type="dxa" w:w="30"/>
              <w:left w:type="dxa" w:w="30"/>
              <w:bottom w:type="dxa" w:w="30"/>
              <w:right w:type="dxa" w:w="30"/>
            </w:tcMar>
            <w:vAlign w:val="center"/>
          </w:tcPr>
          <w:p>
            <w:r>
              <w:t xml:space="preserve">0.200</w:t>
            </w:r>
          </w:p>
        </w:tc>
        <w:tc>
          <w:tcPr>
            <w:tcMar>
              <w:top w:type="dxa" w:w="30"/>
              <w:left w:type="dxa" w:w="30"/>
              <w:bottom w:type="dxa" w:w="30"/>
              <w:right w:type="dxa" w:w="30"/>
            </w:tcMar>
            <w:vAlign w:val="center"/>
          </w:tcPr>
          <w:p>
            <w:r>
              <w:t xml:space="preserve">0.340</w:t>
            </w:r>
          </w:p>
        </w:tc>
        <w:tc>
          <w:tcPr>
            <w:tcMar>
              <w:top w:type="dxa" w:w="30"/>
              <w:left w:type="dxa" w:w="30"/>
              <w:bottom w:type="dxa" w:w="30"/>
              <w:right w:type="dxa" w:w="30"/>
            </w:tcMar>
            <w:vAlign w:val="center"/>
          </w:tcPr>
          <w:p>
            <w:r>
              <w:t xml:space="preserve">0.017</w:t>
            </w:r>
          </w:p>
        </w:tc>
        <w:tc>
          <w:tcPr>
            <w:tcMar>
              <w:top w:type="dxa" w:w="30"/>
              <w:left w:type="dxa" w:w="30"/>
              <w:bottom w:type="dxa" w:w="30"/>
              <w:right w:type="dxa" w:w="30"/>
            </w:tcMar>
            <w:vAlign w:val="center"/>
          </w:tcPr>
          <w:p>
            <w:r>
              <w:t xml:space="preserve">0.476</w:t>
            </w:r>
          </w:p>
        </w:tc>
        <w:tc>
          <w:tcPr>
            <w:tcMar>
              <w:top w:type="dxa" w:w="30"/>
              <w:left w:type="dxa" w:w="30"/>
              <w:bottom w:type="dxa" w:w="30"/>
              <w:right w:type="dxa" w:w="30"/>
            </w:tcMar>
            <w:vAlign w:val="center"/>
          </w:tcPr>
          <w:p>
            <w:r>
              <w:t xml:space="preserve">0.500</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0.112</w:t>
            </w:r>
          </w:p>
        </w:tc>
        <w:tc>
          <w:tcPr>
            <w:tcMar>
              <w:top w:type="dxa" w:w="30"/>
              <w:left w:type="dxa" w:w="30"/>
              <w:bottom w:type="dxa" w:w="30"/>
              <w:right w:type="dxa" w:w="30"/>
            </w:tcMar>
            <w:vAlign w:val="center"/>
          </w:tcPr>
          <w:p>
            <w:r>
              <w:t xml:space="preserve">0.099</w:t>
            </w:r>
          </w:p>
        </w:tc>
        <w:tc>
          <w:tcPr>
            <w:tcMar>
              <w:top w:type="dxa" w:w="30"/>
              <w:left w:type="dxa" w:w="30"/>
              <w:bottom w:type="dxa" w:w="30"/>
              <w:right w:type="dxa" w:w="30"/>
            </w:tcMar>
            <w:vAlign w:val="center"/>
          </w:tcPr>
          <w:p>
            <w:r>
              <w:t xml:space="preserve">0.268</w:t>
            </w:r>
          </w:p>
        </w:tc>
        <w:tc>
          <w:tcPr>
            <w:tcMar>
              <w:top w:type="dxa" w:w="30"/>
              <w:left w:type="dxa" w:w="30"/>
              <w:bottom w:type="dxa" w:w="30"/>
              <w:right w:type="dxa" w:w="30"/>
            </w:tcMar>
            <w:vAlign w:val="center"/>
          </w:tcPr>
          <w:p>
            <w:r>
              <w:t xml:space="preserve">0.010</w:t>
            </w:r>
          </w:p>
        </w:tc>
        <w:tc>
          <w:tcPr>
            <w:tcMar>
              <w:top w:type="dxa" w:w="30"/>
              <w:left w:type="dxa" w:w="30"/>
              <w:bottom w:type="dxa" w:w="30"/>
              <w:right w:type="dxa" w:w="30"/>
            </w:tcMar>
            <w:vAlign w:val="center"/>
          </w:tcPr>
          <w:p>
            <w:r>
              <w:t xml:space="preserve">0.401</w:t>
            </w:r>
          </w:p>
        </w:tc>
        <w:tc>
          <w:tcPr>
            <w:tcMar>
              <w:top w:type="dxa" w:w="30"/>
              <w:left w:type="dxa" w:w="30"/>
              <w:bottom w:type="dxa" w:w="30"/>
              <w:right w:type="dxa" w:w="30"/>
            </w:tcMar>
            <w:vAlign w:val="center"/>
          </w:tcPr>
          <w:p>
            <w:r>
              <w:t xml:space="preserve">0.434</w:t>
            </w:r>
          </w:p>
        </w:tc>
      </w:tr>
      <w:tr>
        <w:tc>
          <w:tcPr>
            <w:tcMar>
              <w:top w:type="dxa" w:w="30"/>
              <w:left w:type="dxa" w:w="30"/>
              <w:bottom w:type="dxa" w:w="30"/>
              <w:right w:type="dxa" w:w="30"/>
            </w:tcMar>
            <w:vAlign w:val="center"/>
          </w:tcPr>
          <w:p>
            <w:r>
              <w:t xml:space="preserve">Bitcoin-OTC</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0.047</w:t>
            </w:r>
          </w:p>
        </w:tc>
        <w:tc>
          <w:tcPr>
            <w:tcMar>
              <w:top w:type="dxa" w:w="30"/>
              <w:left w:type="dxa" w:w="30"/>
              <w:bottom w:type="dxa" w:w="30"/>
              <w:right w:type="dxa" w:w="30"/>
            </w:tcMar>
            <w:vAlign w:val="center"/>
          </w:tcPr>
          <w:p>
            <w:r>
              <w:t xml:space="preserve">0.077</w:t>
            </w:r>
          </w:p>
        </w:tc>
        <w:tc>
          <w:tcPr>
            <w:tcMar>
              <w:top w:type="dxa" w:w="30"/>
              <w:left w:type="dxa" w:w="30"/>
              <w:bottom w:type="dxa" w:w="30"/>
              <w:right w:type="dxa" w:w="30"/>
            </w:tcMar>
            <w:vAlign w:val="center"/>
          </w:tcPr>
          <w:p>
            <w:r>
              <w:t xml:space="preserve">0.081</w:t>
            </w:r>
          </w:p>
        </w:tc>
        <w:tc>
          <w:tcPr>
            <w:tcMar>
              <w:top w:type="dxa" w:w="30"/>
              <w:left w:type="dxa" w:w="30"/>
              <w:bottom w:type="dxa" w:w="30"/>
              <w:right w:type="dxa" w:w="30"/>
            </w:tcMar>
            <w:vAlign w:val="center"/>
          </w:tcPr>
          <w:p>
            <w:r>
              <w:t xml:space="preserve">0.011</w:t>
            </w:r>
          </w:p>
        </w:tc>
        <w:tc>
          <w:tcPr>
            <w:tcMar>
              <w:top w:type="dxa" w:w="30"/>
              <w:left w:type="dxa" w:w="30"/>
              <w:bottom w:type="dxa" w:w="30"/>
              <w:right w:type="dxa" w:w="30"/>
            </w:tcMar>
            <w:vAlign w:val="center"/>
          </w:tcPr>
          <w:p>
            <w:r>
              <w:t xml:space="preserve">0.079</w:t>
            </w:r>
          </w:p>
        </w:tc>
        <w:tc>
          <w:tcPr>
            <w:tcMar>
              <w:top w:type="dxa" w:w="30"/>
              <w:left w:type="dxa" w:w="30"/>
              <w:bottom w:type="dxa" w:w="30"/>
              <w:right w:type="dxa" w:w="30"/>
            </w:tcMar>
            <w:vAlign w:val="center"/>
          </w:tcPr>
          <w:p>
            <w:r>
              <w:t xml:space="preserve">0.062</w:t>
            </w:r>
          </w:p>
        </w:tc>
      </w:tr>
      <w:tr>
        <w:tc>
          <w:tcPr>
            <w:tcMar>
              <w:top w:type="dxa" w:w="30"/>
              <w:left w:type="dxa" w:w="30"/>
              <w:bottom w:type="dxa" w:w="30"/>
              <w:right w:type="dxa" w:w="30"/>
            </w:tcMar>
            <w:vAlign w:val="center"/>
          </w:tcPr>
          <w:p>
            <w:r>
              <w:t xml:space="preserve">Bitcoin-OTC</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0.097</w:t>
            </w:r>
          </w:p>
        </w:tc>
        <w:tc>
          <w:tcPr>
            <w:tcMar>
              <w:top w:type="dxa" w:w="30"/>
              <w:left w:type="dxa" w:w="30"/>
              <w:bottom w:type="dxa" w:w="30"/>
              <w:right w:type="dxa" w:w="30"/>
            </w:tcMar>
            <w:vAlign w:val="center"/>
          </w:tcPr>
          <w:p>
            <w:r>
              <w:t xml:space="preserve">0.054</w:t>
            </w:r>
          </w:p>
        </w:tc>
        <w:tc>
          <w:tcPr>
            <w:tcMar>
              <w:top w:type="dxa" w:w="30"/>
              <w:left w:type="dxa" w:w="30"/>
              <w:bottom w:type="dxa" w:w="30"/>
              <w:right w:type="dxa" w:w="30"/>
            </w:tcMar>
            <w:vAlign w:val="center"/>
          </w:tcPr>
          <w:p>
            <w:r>
              <w:t xml:space="preserve">0.216</w:t>
            </w:r>
          </w:p>
        </w:tc>
        <w:tc>
          <w:tcPr>
            <w:tcMar>
              <w:top w:type="dxa" w:w="30"/>
              <w:left w:type="dxa" w:w="30"/>
              <w:bottom w:type="dxa" w:w="30"/>
              <w:right w:type="dxa" w:w="30"/>
            </w:tcMar>
            <w:vAlign w:val="center"/>
          </w:tcPr>
          <w:p>
            <w:r>
              <w:t xml:space="preserve">0.028</w:t>
            </w:r>
          </w:p>
        </w:tc>
        <w:tc>
          <w:tcPr>
            <w:tcMar>
              <w:top w:type="dxa" w:w="30"/>
              <w:left w:type="dxa" w:w="30"/>
              <w:bottom w:type="dxa" w:w="30"/>
              <w:right w:type="dxa" w:w="30"/>
            </w:tcMar>
            <w:vAlign w:val="center"/>
          </w:tcPr>
          <w:p>
            <w:r>
              <w:t xml:space="preserve">0.064</w:t>
            </w:r>
          </w:p>
        </w:tc>
        <w:tc>
          <w:tcPr>
            <w:tcMar>
              <w:top w:type="dxa" w:w="30"/>
              <w:left w:type="dxa" w:w="30"/>
              <w:bottom w:type="dxa" w:w="30"/>
              <w:right w:type="dxa" w:w="30"/>
            </w:tcMar>
            <w:vAlign w:val="center"/>
          </w:tcPr>
          <w:p>
            <w:r>
              <w:t xml:space="preserve">0.198</w:t>
            </w:r>
          </w:p>
        </w:tc>
      </w:tr>
      <w:tr>
        <w:tc>
          <w:tcPr>
            <w:tcMar>
              <w:top w:type="dxa" w:w="30"/>
              <w:left w:type="dxa" w:w="30"/>
              <w:bottom w:type="dxa" w:w="30"/>
              <w:right w:type="dxa" w:w="30"/>
            </w:tcMar>
            <w:vAlign w:val="center"/>
          </w:tcPr>
          <w:p>
            <w:r>
              <w:t xml:space="preserve">Amazon Fraud</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0.008</w:t>
            </w:r>
          </w:p>
        </w:tc>
        <w:tc>
          <w:tcPr>
            <w:tcMar>
              <w:top w:type="dxa" w:w="30"/>
              <w:left w:type="dxa" w:w="30"/>
              <w:bottom w:type="dxa" w:w="30"/>
              <w:right w:type="dxa" w:w="30"/>
            </w:tcMar>
            <w:vAlign w:val="center"/>
          </w:tcPr>
          <w:p>
            <w:r>
              <w:t xml:space="preserve">0.000</w:t>
            </w:r>
          </w:p>
        </w:tc>
        <w:tc>
          <w:tcPr>
            <w:tcMar>
              <w:top w:type="dxa" w:w="30"/>
              <w:left w:type="dxa" w:w="30"/>
              <w:bottom w:type="dxa" w:w="30"/>
              <w:right w:type="dxa" w:w="30"/>
            </w:tcMar>
            <w:vAlign w:val="center"/>
          </w:tcPr>
          <w:p>
            <w:r>
              <w:t xml:space="preserve">0.005</w:t>
            </w:r>
          </w:p>
        </w:tc>
        <w:tc>
          <w:tcPr>
            <w:tcMar>
              <w:top w:type="dxa" w:w="30"/>
              <w:left w:type="dxa" w:w="30"/>
              <w:bottom w:type="dxa" w:w="30"/>
              <w:right w:type="dxa" w:w="30"/>
            </w:tcMar>
            <w:vAlign w:val="center"/>
          </w:tcPr>
          <w:p>
            <w:r>
              <w:t xml:space="preserve">0.001</w:t>
            </w:r>
          </w:p>
        </w:tc>
        <w:tc>
          <w:tcPr>
            <w:tcMar>
              <w:top w:type="dxa" w:w="30"/>
              <w:left w:type="dxa" w:w="30"/>
              <w:bottom w:type="dxa" w:w="30"/>
              <w:right w:type="dxa" w:w="30"/>
            </w:tcMar>
            <w:vAlign w:val="center"/>
          </w:tcPr>
          <w:p>
            <w:r>
              <w:t xml:space="preserve">0.000</w:t>
            </w:r>
          </w:p>
        </w:tc>
        <w:tc>
          <w:tcPr>
            <w:tcMar>
              <w:top w:type="dxa" w:w="30"/>
              <w:left w:type="dxa" w:w="30"/>
              <w:bottom w:type="dxa" w:w="30"/>
              <w:right w:type="dxa" w:w="30"/>
            </w:tcMar>
            <w:vAlign w:val="center"/>
          </w:tcPr>
          <w:p>
            <w:r>
              <w:t xml:space="preserve">0.003</w:t>
            </w:r>
          </w:p>
        </w:tc>
      </w:tr>
      <w:tr>
        <w:tc>
          <w:tcPr>
            <w:tcMar>
              <w:top w:type="dxa" w:w="30"/>
              <w:left w:type="dxa" w:w="30"/>
              <w:bottom w:type="dxa" w:w="30"/>
              <w:right w:type="dxa" w:w="30"/>
            </w:tcMar>
            <w:vAlign w:val="center"/>
          </w:tcPr>
          <w:p>
            <w:r>
              <w:t xml:space="preserve">Amazon Fraud</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0.009</w:t>
            </w:r>
          </w:p>
        </w:tc>
        <w:tc>
          <w:tcPr>
            <w:tcMar>
              <w:top w:type="dxa" w:w="30"/>
              <w:left w:type="dxa" w:w="30"/>
              <w:bottom w:type="dxa" w:w="30"/>
              <w:right w:type="dxa" w:w="30"/>
            </w:tcMar>
            <w:vAlign w:val="center"/>
          </w:tcPr>
          <w:p>
            <w:r>
              <w:t xml:space="preserve">0.000</w:t>
            </w:r>
          </w:p>
        </w:tc>
        <w:tc>
          <w:tcPr>
            <w:tcMar>
              <w:top w:type="dxa" w:w="30"/>
              <w:left w:type="dxa" w:w="30"/>
              <w:bottom w:type="dxa" w:w="30"/>
              <w:right w:type="dxa" w:w="30"/>
            </w:tcMar>
            <w:vAlign w:val="center"/>
          </w:tcPr>
          <w:p>
            <w:r>
              <w:t xml:space="preserve">0.002</w:t>
            </w:r>
          </w:p>
        </w:tc>
        <w:tc>
          <w:tcPr>
            <w:tcMar>
              <w:top w:type="dxa" w:w="30"/>
              <w:left w:type="dxa" w:w="30"/>
              <w:bottom w:type="dxa" w:w="30"/>
              <w:right w:type="dxa" w:w="30"/>
            </w:tcMar>
            <w:vAlign w:val="center"/>
          </w:tcPr>
          <w:p>
            <w:r>
              <w:t xml:space="preserve">0.000</w:t>
            </w:r>
          </w:p>
        </w:tc>
        <w:tc>
          <w:tcPr>
            <w:tcMar>
              <w:top w:type="dxa" w:w="30"/>
              <w:left w:type="dxa" w:w="30"/>
              <w:bottom w:type="dxa" w:w="30"/>
              <w:right w:type="dxa" w:w="30"/>
            </w:tcMar>
            <w:vAlign w:val="center"/>
          </w:tcPr>
          <w:p>
            <w:r>
              <w:t xml:space="preserve">0.000</w:t>
            </w:r>
          </w:p>
        </w:tc>
        <w:tc>
          <w:tcPr>
            <w:tcMar>
              <w:top w:type="dxa" w:w="30"/>
              <w:left w:type="dxa" w:w="30"/>
              <w:bottom w:type="dxa" w:w="30"/>
              <w:right w:type="dxa" w:w="30"/>
            </w:tcMar>
            <w:vAlign w:val="center"/>
          </w:tcPr>
          <w:p>
            <w:r>
              <w:t xml:space="preserve">0.027</w:t>
            </w:r>
          </w:p>
        </w:tc>
      </w:tr>
      <w:tr>
        <w:tc>
          <w:tcPr>
            <w:tcMar>
              <w:top w:type="dxa" w:w="30"/>
              <w:left w:type="dxa" w:w="30"/>
              <w:bottom w:type="dxa" w:w="30"/>
              <w:right w:type="dxa" w:w="30"/>
            </w:tcMar>
            <w:vAlign w:val="center"/>
          </w:tcPr>
          <w:p>
            <w:r>
              <w:t xml:space="preserve">Libra Bank</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0.279</w:t>
            </w:r>
          </w:p>
        </w:tc>
        <w:tc>
          <w:tcPr>
            <w:tcMar>
              <w:top w:type="dxa" w:w="30"/>
              <w:left w:type="dxa" w:w="30"/>
              <w:bottom w:type="dxa" w:w="30"/>
              <w:right w:type="dxa" w:w="30"/>
            </w:tcMar>
            <w:vAlign w:val="center"/>
          </w:tcPr>
          <w:p>
            <w:r>
              <w:t xml:space="preserve">0.696</w:t>
            </w:r>
          </w:p>
        </w:tc>
        <w:tc>
          <w:tcPr>
            <w:tcMar>
              <w:top w:type="dxa" w:w="30"/>
              <w:left w:type="dxa" w:w="30"/>
              <w:bottom w:type="dxa" w:w="30"/>
              <w:right w:type="dxa" w:w="30"/>
            </w:tcMar>
            <w:vAlign w:val="center"/>
          </w:tcPr>
          <w:p>
            <w:r>
              <w:t xml:space="preserve">0.905</w:t>
            </w:r>
          </w:p>
        </w:tc>
        <w:tc>
          <w:tcPr>
            <w:tcMar>
              <w:top w:type="dxa" w:w="30"/>
              <w:left w:type="dxa" w:w="30"/>
              <w:bottom w:type="dxa" w:w="30"/>
              <w:right w:type="dxa" w:w="30"/>
            </w:tcMar>
            <w:vAlign w:val="center"/>
          </w:tcPr>
          <w:p>
            <w:r>
              <w:t xml:space="preserve">0.153</w:t>
            </w:r>
          </w:p>
        </w:tc>
        <w:tc>
          <w:tcPr>
            <w:tcMar>
              <w:top w:type="dxa" w:w="30"/>
              <w:left w:type="dxa" w:w="30"/>
              <w:bottom w:type="dxa" w:w="30"/>
              <w:right w:type="dxa" w:w="30"/>
            </w:tcMar>
            <w:vAlign w:val="center"/>
          </w:tcPr>
          <w:p>
            <w:r>
              <w:t xml:space="preserve">0.793</w:t>
            </w:r>
          </w:p>
        </w:tc>
        <w:tc>
          <w:tcPr>
            <w:tcMar>
              <w:top w:type="dxa" w:w="30"/>
              <w:left w:type="dxa" w:w="30"/>
              <w:bottom w:type="dxa" w:w="30"/>
              <w:right w:type="dxa" w:w="30"/>
            </w:tcMar>
            <w:vAlign w:val="center"/>
          </w:tcPr>
          <w:p>
            <w:r>
              <w:t xml:space="preserve">0.935</w:t>
            </w:r>
          </w:p>
        </w:tc>
      </w:tr>
      <w:tr>
        <w:tc>
          <w:tcPr>
            <w:tcMar>
              <w:top w:type="dxa" w:w="30"/>
              <w:left w:type="dxa" w:w="30"/>
              <w:bottom w:type="dxa" w:w="30"/>
              <w:right w:type="dxa" w:w="30"/>
            </w:tcMar>
            <w:vAlign w:val="center"/>
          </w:tcPr>
          <w:p>
            <w:r>
              <w:t xml:space="preserve">Libra Bank</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0.178</w:t>
            </w:r>
          </w:p>
        </w:tc>
        <w:tc>
          <w:tcPr>
            <w:tcMar>
              <w:top w:type="dxa" w:w="30"/>
              <w:left w:type="dxa" w:w="30"/>
              <w:bottom w:type="dxa" w:w="30"/>
              <w:right w:type="dxa" w:w="30"/>
            </w:tcMar>
            <w:vAlign w:val="center"/>
          </w:tcPr>
          <w:p>
            <w:r>
              <w:t xml:space="preserve">0.232</w:t>
            </w:r>
          </w:p>
        </w:tc>
        <w:tc>
          <w:tcPr>
            <w:tcMar>
              <w:top w:type="dxa" w:w="30"/>
              <w:left w:type="dxa" w:w="30"/>
              <w:bottom w:type="dxa" w:w="30"/>
              <w:right w:type="dxa" w:w="30"/>
            </w:tcMar>
            <w:vAlign w:val="center"/>
          </w:tcPr>
          <w:p>
            <w:r>
              <w:t xml:space="preserve">0.779</w:t>
            </w:r>
          </w:p>
        </w:tc>
        <w:tc>
          <w:tcPr>
            <w:tcMar>
              <w:top w:type="dxa" w:w="30"/>
              <w:left w:type="dxa" w:w="30"/>
              <w:bottom w:type="dxa" w:w="30"/>
              <w:right w:type="dxa" w:w="30"/>
            </w:tcMar>
            <w:vAlign w:val="center"/>
          </w:tcPr>
          <w:p>
            <w:r>
              <w:t xml:space="preserve">0.059</w:t>
            </w:r>
          </w:p>
        </w:tc>
        <w:tc>
          <w:tcPr>
            <w:tcMar>
              <w:top w:type="dxa" w:w="30"/>
              <w:left w:type="dxa" w:w="30"/>
              <w:bottom w:type="dxa" w:w="30"/>
              <w:right w:type="dxa" w:w="30"/>
            </w:tcMar>
            <w:vAlign w:val="center"/>
          </w:tcPr>
          <w:p>
            <w:r>
              <w:t xml:space="preserve">0.403</w:t>
            </w:r>
          </w:p>
        </w:tc>
        <w:tc>
          <w:tcPr>
            <w:tcMar>
              <w:top w:type="dxa" w:w="30"/>
              <w:left w:type="dxa" w:w="30"/>
              <w:bottom w:type="dxa" w:w="30"/>
              <w:right w:type="dxa" w:w="30"/>
            </w:tcMar>
            <w:vAlign w:val="center"/>
          </w:tcPr>
          <w:p>
            <w:r>
              <w:t xml:space="preserve">0.899</w:t>
            </w:r>
          </w:p>
        </w:tc>
      </w:tr>
    </w:tbl>
    <w:p>
      <w:pPr>
        <w:spacing w:after="100" w:before="180" w:line="240"/>
      </w:pPr>
      <w:r>
        <w:t xml:space="preserve">Key Findings</w:t>
      </w:r>
    </w:p>
    <w:p>
      <w:pPr>
        <w:spacing w:after="80" w:line="240"/>
        <w:jc w:val="both"/>
      </w:pPr>
      <w:r>
        <w:t xml:space="preserve">Elliptic (k=5%): HGS achieves 0.943 coverage, outperforming Louvain (0.920) and WCC (0.907). δ = 0.012 (near-optimal). Bitcoin-OTC (k=5%): Louvain (0.216) slightly outperforms HGS (0.198) due to line-graph fragmentation on small, dense graphs. Amazon Fraud (k=5%): All methods fail (max 0.027) due to one giant WCC covering 99% of edges. δ = 0.973 correctly predicts failure. Libra Bank (k=5%, leak-free): HGS achieves 0.899 coverage with δ = 0.034 (budget-feasible regime, BFR = 1.0).</w:t>
      </w:r>
    </w:p>
    <w:r>
      <w:br w:type="page"/>
    </w:r>
    <w:p>
      <w:pPr>
        <w:spacing w:after="100" w:before="240" w:line="240"/>
      </w:pPr>
      <w:r>
        <w:t xml:space="preserve">VIII. Theory Validation</w:t>
      </w:r>
    </w:p>
    <w:p>
      <w:pPr>
        <w:spacing w:after="80" w:line="240"/>
        <w:jc w:val="both"/>
      </w:pPr>
      <w:r>
        <w:t xml:space="preserve">We validate the instance-specific gap bound framework by computing δ, cross, L_cut, and BFR.</w:t>
      </w:r>
    </w:p>
    <w:p>
      <w:pPr>
        <w:spacing w:after="40" w:before="40"/>
      </w:pPr>
      <w:r>
        <w:t xml:space="preserve">Table 3: Theory Validation Metrics</w:t>
      </w:r>
    </w:p>
    <w:tbl>
      <w:tblPr>
        <w:tblW w:type="auto" w:w="100"/>
        <w:tblBorders>
          <w:top w:val="single" w:color="000000" w:sz="6"/>
          <w:left w:val="single" w:color="000000" w:sz="6"/>
          <w:bottom w:val="single" w:color="000000" w:sz="6"/>
          <w:right w:val="single" w:color="000000" w:sz="6"/>
          <w:insideH w:val="single" w:color="CCCCCC" w:sz="1"/>
          <w:insideV w:val="single" w:color="CCCCCC" w:sz="1"/>
        </w:tblBorders>
      </w:tblPr>
      <w:tblGrid>
        <w:gridCol w:w="100"/>
        <w:gridCol w:w="100"/>
        <w:gridCol w:w="100"/>
        <w:gridCol w:w="100"/>
        <w:gridCol w:w="100"/>
        <w:gridCol w:w="100"/>
        <w:gridCol w:w="100"/>
      </w:tblGrid>
      <w:tr>
        <w:trPr>
          <w:trHeight w:val="300" w:hRule="atLeast"/>
        </w:trPr>
        <w:tc>
          <w:tcPr>
            <w:shd w:fill="E0E0E0"/>
            <w:tcMar>
              <w:top w:type="dxa" w:w="40"/>
              <w:left w:type="dxa" w:w="40"/>
              <w:bottom w:type="dxa" w:w="40"/>
              <w:right w:type="dxa" w:w="40"/>
            </w:tcMar>
            <w:vAlign w:val="center"/>
          </w:tcPr>
          <w:p>
            <w:r>
              <w:t xml:space="preserve">Dataset</w:t>
            </w:r>
          </w:p>
        </w:tc>
        <w:tc>
          <w:tcPr>
            <w:shd w:fill="E0E0E0"/>
            <w:tcMar>
              <w:top w:type="dxa" w:w="40"/>
              <w:left w:type="dxa" w:w="40"/>
              <w:bottom w:type="dxa" w:w="40"/>
              <w:right w:type="dxa" w:w="40"/>
            </w:tcMar>
            <w:vAlign w:val="center"/>
          </w:tcPr>
          <w:p>
            <w:r>
              <w:t xml:space="preserve">k</w:t>
            </w:r>
          </w:p>
        </w:tc>
        <w:tc>
          <w:tcPr>
            <w:shd w:fill="E0E0E0"/>
            <w:tcMar>
              <w:top w:type="dxa" w:w="40"/>
              <w:left w:type="dxa" w:w="40"/>
              <w:bottom w:type="dxa" w:w="40"/>
              <w:right w:type="dxa" w:w="40"/>
            </w:tcMar>
            <w:vAlign w:val="center"/>
          </w:tcPr>
          <w:p>
            <w:r>
              <w:t xml:space="preserve">δ</w:t>
            </w:r>
          </w:p>
        </w:tc>
        <w:tc>
          <w:tcPr>
            <w:shd w:fill="E0E0E0"/>
            <w:tcMar>
              <w:top w:type="dxa" w:w="40"/>
              <w:left w:type="dxa" w:w="40"/>
              <w:bottom w:type="dxa" w:w="40"/>
              <w:right w:type="dxa" w:w="40"/>
            </w:tcMar>
            <w:vAlign w:val="center"/>
          </w:tcPr>
          <w:p>
            <w:r>
              <w:t xml:space="preserve">cross</w:t>
            </w:r>
          </w:p>
        </w:tc>
        <w:tc>
          <w:tcPr>
            <w:shd w:fill="E0E0E0"/>
            <w:tcMar>
              <w:top w:type="dxa" w:w="40"/>
              <w:left w:type="dxa" w:w="40"/>
              <w:bottom w:type="dxa" w:w="40"/>
              <w:right w:type="dxa" w:w="40"/>
            </w:tcMar>
            <w:vAlign w:val="center"/>
          </w:tcPr>
          <w:p>
            <w:r>
              <w:t xml:space="preserve">L_cut</w:t>
            </w:r>
          </w:p>
        </w:tc>
        <w:tc>
          <w:tcPr>
            <w:shd w:fill="E0E0E0"/>
            <w:tcMar>
              <w:top w:type="dxa" w:w="40"/>
              <w:left w:type="dxa" w:w="40"/>
              <w:bottom w:type="dxa" w:w="40"/>
              <w:right w:type="dxa" w:w="40"/>
            </w:tcMar>
            <w:vAlign w:val="center"/>
          </w:tcPr>
          <w:p>
            <w:r>
              <w:t xml:space="preserve">BFR</w:t>
            </w:r>
          </w:p>
        </w:tc>
        <w:tc>
          <w:tcPr>
            <w:shd w:fill="E0E0E0"/>
            <w:tcMar>
              <w:top w:type="dxa" w:w="40"/>
              <w:left w:type="dxa" w:w="40"/>
              <w:bottom w:type="dxa" w:w="40"/>
              <w:right w:type="dxa" w:w="40"/>
            </w:tcMar>
            <w:vAlign w:val="center"/>
          </w:tcPr>
          <w:p>
            <w:r>
              <w:t xml:space="preserve">Coverage</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0.711</w:t>
            </w:r>
          </w:p>
        </w:tc>
        <w:tc>
          <w:tcPr>
            <w:tcMar>
              <w:top w:type="dxa" w:w="30"/>
              <w:left w:type="dxa" w:w="30"/>
              <w:bottom w:type="dxa" w:w="30"/>
              <w:right w:type="dxa" w:w="30"/>
            </w:tcMar>
            <w:vAlign w:val="center"/>
          </w:tcPr>
          <w:p>
            <w:r>
              <w:t xml:space="preserve">5794</w:t>
            </w:r>
          </w:p>
        </w:tc>
        <w:tc>
          <w:tcPr>
            <w:tcMar>
              <w:top w:type="dxa" w:w="30"/>
              <w:left w:type="dxa" w:w="30"/>
              <w:bottom w:type="dxa" w:w="30"/>
              <w:right w:type="dxa" w:w="30"/>
            </w:tcMar>
            <w:vAlign w:val="center"/>
          </w:tcPr>
          <w:p>
            <w:r>
              <w:t xml:space="preserve">0</w:t>
            </w:r>
          </w:p>
        </w:tc>
        <w:tc>
          <w:tcPr>
            <w:tcMar>
              <w:top w:type="dxa" w:w="30"/>
              <w:left w:type="dxa" w:w="30"/>
              <w:bottom w:type="dxa" w:w="30"/>
              <w:right w:type="dxa" w:w="30"/>
            </w:tcMar>
            <w:vAlign w:val="center"/>
          </w:tcPr>
          <w:p>
            <w:r>
              <w:t xml:space="preserve">1.000</w:t>
            </w:r>
          </w:p>
        </w:tc>
        <w:tc>
          <w:tcPr>
            <w:tcMar>
              <w:top w:type="dxa" w:w="30"/>
              <w:left w:type="dxa" w:w="30"/>
              <w:bottom w:type="dxa" w:w="30"/>
              <w:right w:type="dxa" w:w="30"/>
            </w:tcMar>
            <w:vAlign w:val="center"/>
          </w:tcPr>
          <w:p>
            <w:r>
              <w:t xml:space="preserve">0.289</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0.012</w:t>
            </w:r>
          </w:p>
        </w:tc>
        <w:tc>
          <w:tcPr>
            <w:tcMar>
              <w:top w:type="dxa" w:w="30"/>
              <w:left w:type="dxa" w:w="30"/>
              <w:bottom w:type="dxa" w:w="30"/>
              <w:right w:type="dxa" w:w="30"/>
            </w:tcMar>
            <w:vAlign w:val="center"/>
          </w:tcPr>
          <w:p>
            <w:r>
              <w:t xml:space="preserve">0</w:t>
            </w:r>
          </w:p>
        </w:tc>
        <w:tc>
          <w:tcPr>
            <w:tcMar>
              <w:top w:type="dxa" w:w="30"/>
              <w:left w:type="dxa" w:w="30"/>
              <w:bottom w:type="dxa" w:w="30"/>
              <w:right w:type="dxa" w:w="30"/>
            </w:tcMar>
            <w:vAlign w:val="center"/>
          </w:tcPr>
          <w:p>
            <w:r>
              <w:t xml:space="preserve">95</w:t>
            </w:r>
          </w:p>
        </w:tc>
        <w:tc>
          <w:tcPr>
            <w:tcMar>
              <w:top w:type="dxa" w:w="30"/>
              <w:left w:type="dxa" w:w="30"/>
              <w:bottom w:type="dxa" w:w="30"/>
              <w:right w:type="dxa" w:w="30"/>
            </w:tcMar>
            <w:vAlign w:val="center"/>
          </w:tcPr>
          <w:p>
            <w:r>
              <w:t xml:space="preserve">0.997</w:t>
            </w:r>
          </w:p>
        </w:tc>
        <w:tc>
          <w:tcPr>
            <w:tcMar>
              <w:top w:type="dxa" w:w="30"/>
              <w:left w:type="dxa" w:w="30"/>
              <w:bottom w:type="dxa" w:w="30"/>
              <w:right w:type="dxa" w:w="30"/>
            </w:tcMar>
            <w:vAlign w:val="center"/>
          </w:tcPr>
          <w:p>
            <w:r>
              <w:t xml:space="preserve">0.943</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0.248</w:t>
            </w:r>
          </w:p>
        </w:tc>
        <w:tc>
          <w:tcPr>
            <w:tcMar>
              <w:top w:type="dxa" w:w="30"/>
              <w:left w:type="dxa" w:w="30"/>
              <w:bottom w:type="dxa" w:w="30"/>
              <w:right w:type="dxa" w:w="30"/>
            </w:tcMar>
            <w:vAlign w:val="center"/>
          </w:tcPr>
          <w:p>
            <w:r>
              <w:t xml:space="preserve">4429</w:t>
            </w:r>
          </w:p>
        </w:tc>
        <w:tc>
          <w:tcPr>
            <w:tcMar>
              <w:top w:type="dxa" w:w="30"/>
              <w:left w:type="dxa" w:w="30"/>
              <w:bottom w:type="dxa" w:w="30"/>
              <w:right w:type="dxa" w:w="30"/>
            </w:tcMar>
            <w:vAlign w:val="center"/>
          </w:tcPr>
          <w:p>
            <w:r>
              <w:t xml:space="preserve">4737</w:t>
            </w:r>
          </w:p>
        </w:tc>
        <w:tc>
          <w:tcPr>
            <w:tcMar>
              <w:top w:type="dxa" w:w="30"/>
              <w:left w:type="dxa" w:w="30"/>
              <w:bottom w:type="dxa" w:w="30"/>
              <w:right w:type="dxa" w:w="30"/>
            </w:tcMar>
            <w:vAlign w:val="center"/>
          </w:tcPr>
          <w:p>
            <w:r>
              <w:t xml:space="preserve">0.987</w:t>
            </w:r>
          </w:p>
        </w:tc>
        <w:tc>
          <w:tcPr>
            <w:tcMar>
              <w:top w:type="dxa" w:w="30"/>
              <w:left w:type="dxa" w:w="30"/>
              <w:bottom w:type="dxa" w:w="30"/>
              <w:right w:type="dxa" w:w="30"/>
            </w:tcMar>
            <w:vAlign w:val="center"/>
          </w:tcPr>
          <w:p>
            <w:r>
              <w:t xml:space="preserve">0.500</w:t>
            </w:r>
          </w:p>
        </w:tc>
      </w:tr>
      <w:tr>
        <w:tc>
          <w:tcPr>
            <w:tcMar>
              <w:top w:type="dxa" w:w="30"/>
              <w:left w:type="dxa" w:w="30"/>
              <w:bottom w:type="dxa" w:w="30"/>
              <w:right w:type="dxa" w:w="30"/>
            </w:tcMar>
            <w:vAlign w:val="center"/>
          </w:tcPr>
          <w:p>
            <w:r>
              <w:t xml:space="preserve">Elliptic++</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0.127</w:t>
            </w:r>
          </w:p>
        </w:tc>
        <w:tc>
          <w:tcPr>
            <w:tcMar>
              <w:top w:type="dxa" w:w="30"/>
              <w:left w:type="dxa" w:w="30"/>
              <w:bottom w:type="dxa" w:w="30"/>
              <w:right w:type="dxa" w:w="30"/>
            </w:tcMar>
            <w:vAlign w:val="center"/>
          </w:tcPr>
          <w:p>
            <w:r>
              <w:t xml:space="preserve">0</w:t>
            </w:r>
          </w:p>
        </w:tc>
        <w:tc>
          <w:tcPr>
            <w:tcMar>
              <w:top w:type="dxa" w:w="30"/>
              <w:left w:type="dxa" w:w="30"/>
              <w:bottom w:type="dxa" w:w="30"/>
              <w:right w:type="dxa" w:w="30"/>
            </w:tcMar>
            <w:vAlign w:val="center"/>
          </w:tcPr>
          <w:p>
            <w:r>
              <w:t xml:space="preserve">4685</w:t>
            </w:r>
          </w:p>
        </w:tc>
        <w:tc>
          <w:tcPr>
            <w:tcMar>
              <w:top w:type="dxa" w:w="30"/>
              <w:left w:type="dxa" w:w="30"/>
              <w:bottom w:type="dxa" w:w="30"/>
              <w:right w:type="dxa" w:w="30"/>
            </w:tcMar>
            <w:vAlign w:val="center"/>
          </w:tcPr>
          <w:p>
            <w:r>
              <w:t xml:space="preserve">0.997</w:t>
            </w:r>
          </w:p>
        </w:tc>
        <w:tc>
          <w:tcPr>
            <w:tcMar>
              <w:top w:type="dxa" w:w="30"/>
              <w:left w:type="dxa" w:w="30"/>
              <w:bottom w:type="dxa" w:w="30"/>
              <w:right w:type="dxa" w:w="30"/>
            </w:tcMar>
            <w:vAlign w:val="center"/>
          </w:tcPr>
          <w:p>
            <w:r>
              <w:t xml:space="preserve">0.434</w:t>
            </w:r>
          </w:p>
        </w:tc>
      </w:tr>
      <w:tr>
        <w:tc>
          <w:tcPr>
            <w:tcMar>
              <w:top w:type="dxa" w:w="30"/>
              <w:left w:type="dxa" w:w="30"/>
              <w:bottom w:type="dxa" w:w="30"/>
              <w:right w:type="dxa" w:w="30"/>
            </w:tcMar>
            <w:vAlign w:val="center"/>
          </w:tcPr>
          <w:p>
            <w:r>
              <w:t xml:space="preserve">Bitcoin-OTC</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0.731</w:t>
            </w:r>
          </w:p>
        </w:tc>
        <w:tc>
          <w:tcPr>
            <w:tcMar>
              <w:top w:type="dxa" w:w="30"/>
              <w:left w:type="dxa" w:w="30"/>
              <w:bottom w:type="dxa" w:w="30"/>
              <w:right w:type="dxa" w:w="30"/>
            </w:tcMar>
            <w:vAlign w:val="center"/>
          </w:tcPr>
          <w:p>
            <w:r>
              <w:t xml:space="preserve">1136</w:t>
            </w:r>
          </w:p>
        </w:tc>
        <w:tc>
          <w:tcPr>
            <w:tcMar>
              <w:top w:type="dxa" w:w="30"/>
              <w:left w:type="dxa" w:w="30"/>
              <w:bottom w:type="dxa" w:w="30"/>
              <w:right w:type="dxa" w:w="30"/>
            </w:tcMar>
            <w:vAlign w:val="center"/>
          </w:tcPr>
          <w:p>
            <w:r>
              <w:t xml:space="preserve">1467</w:t>
            </w:r>
          </w:p>
        </w:tc>
        <w:tc>
          <w:tcPr>
            <w:tcMar>
              <w:top w:type="dxa" w:w="30"/>
              <w:left w:type="dxa" w:w="30"/>
              <w:bottom w:type="dxa" w:w="30"/>
              <w:right w:type="dxa" w:w="30"/>
            </w:tcMar>
            <w:vAlign w:val="center"/>
          </w:tcPr>
          <w:p>
            <w:r>
              <w:t xml:space="preserve">0.986</w:t>
            </w:r>
          </w:p>
        </w:tc>
        <w:tc>
          <w:tcPr>
            <w:tcMar>
              <w:top w:type="dxa" w:w="30"/>
              <w:left w:type="dxa" w:w="30"/>
              <w:bottom w:type="dxa" w:w="30"/>
              <w:right w:type="dxa" w:w="30"/>
            </w:tcMar>
            <w:vAlign w:val="center"/>
          </w:tcPr>
          <w:p>
            <w:r>
              <w:t xml:space="preserve">0.198</w:t>
            </w:r>
          </w:p>
        </w:tc>
      </w:tr>
      <w:tr>
        <w:tc>
          <w:tcPr>
            <w:tcMar>
              <w:top w:type="dxa" w:w="30"/>
              <w:left w:type="dxa" w:w="30"/>
              <w:bottom w:type="dxa" w:w="30"/>
              <w:right w:type="dxa" w:w="30"/>
            </w:tcMar>
            <w:vAlign w:val="center"/>
          </w:tcPr>
          <w:p>
            <w:r>
              <w:t xml:space="preserve">Amazon Fraud</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0.973</w:t>
            </w:r>
          </w:p>
        </w:tc>
        <w:tc>
          <w:tcPr>
            <w:tcMar>
              <w:top w:type="dxa" w:w="30"/>
              <w:left w:type="dxa" w:w="30"/>
              <w:bottom w:type="dxa" w:w="30"/>
              <w:right w:type="dxa" w:w="30"/>
            </w:tcMar>
            <w:vAlign w:val="center"/>
          </w:tcPr>
          <w:p>
            <w:r>
              <w:t xml:space="preserve">0</w:t>
            </w:r>
          </w:p>
        </w:tc>
        <w:tc>
          <w:tcPr>
            <w:tcMar>
              <w:top w:type="dxa" w:w="30"/>
              <w:left w:type="dxa" w:w="30"/>
              <w:bottom w:type="dxa" w:w="30"/>
              <w:right w:type="dxa" w:w="30"/>
            </w:tcMar>
            <w:vAlign w:val="center"/>
          </w:tcPr>
          <w:p>
            <w:r>
              <w:t xml:space="preserve">206102</w:t>
            </w:r>
          </w:p>
        </w:tc>
        <w:tc>
          <w:tcPr>
            <w:tcMar>
              <w:top w:type="dxa" w:w="30"/>
              <w:left w:type="dxa" w:w="30"/>
              <w:bottom w:type="dxa" w:w="30"/>
              <w:right w:type="dxa" w:w="30"/>
            </w:tcMar>
            <w:vAlign w:val="center"/>
          </w:tcPr>
          <w:p>
            <w:r>
              <w:t xml:space="preserve">0.000</w:t>
            </w:r>
          </w:p>
        </w:tc>
        <w:tc>
          <w:tcPr>
            <w:tcMar>
              <w:top w:type="dxa" w:w="30"/>
              <w:left w:type="dxa" w:w="30"/>
              <w:bottom w:type="dxa" w:w="30"/>
              <w:right w:type="dxa" w:w="30"/>
            </w:tcMar>
            <w:vAlign w:val="center"/>
          </w:tcPr>
          <w:p>
            <w:r>
              <w:t xml:space="preserve">0.027</w:t>
            </w:r>
          </w:p>
        </w:tc>
      </w:tr>
      <w:tr>
        <w:tc>
          <w:tcPr>
            <w:tcMar>
              <w:top w:type="dxa" w:w="30"/>
              <w:left w:type="dxa" w:w="30"/>
              <w:bottom w:type="dxa" w:w="30"/>
              <w:right w:type="dxa" w:w="30"/>
            </w:tcMar>
            <w:vAlign w:val="center"/>
          </w:tcPr>
          <w:p>
            <w:r>
              <w:t xml:space="preserve">Libra Bank</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0.065</w:t>
            </w:r>
          </w:p>
        </w:tc>
        <w:tc>
          <w:tcPr>
            <w:tcMar>
              <w:top w:type="dxa" w:w="30"/>
              <w:left w:type="dxa" w:w="30"/>
              <w:bottom w:type="dxa" w:w="30"/>
              <w:right w:type="dxa" w:w="30"/>
            </w:tcMar>
            <w:vAlign w:val="center"/>
          </w:tcPr>
          <w:p>
            <w:r>
              <w:t xml:space="preserve">16</w:t>
            </w:r>
          </w:p>
        </w:tc>
        <w:tc>
          <w:tcPr>
            <w:tcMar>
              <w:top w:type="dxa" w:w="30"/>
              <w:left w:type="dxa" w:w="30"/>
              <w:bottom w:type="dxa" w:w="30"/>
              <w:right w:type="dxa" w:w="30"/>
            </w:tcMar>
            <w:vAlign w:val="center"/>
          </w:tcPr>
          <w:p>
            <w:r>
              <w:t xml:space="preserve">13</w:t>
            </w:r>
          </w:p>
        </w:tc>
        <w:tc>
          <w:tcPr>
            <w:tcMar>
              <w:top w:type="dxa" w:w="30"/>
              <w:left w:type="dxa" w:w="30"/>
              <w:bottom w:type="dxa" w:w="30"/>
              <w:right w:type="dxa" w:w="30"/>
            </w:tcMar>
            <w:vAlign w:val="center"/>
          </w:tcPr>
          <w:p>
            <w:r>
              <w:t xml:space="preserve">0.999</w:t>
            </w:r>
          </w:p>
        </w:tc>
        <w:tc>
          <w:tcPr>
            <w:tcMar>
              <w:top w:type="dxa" w:w="30"/>
              <w:left w:type="dxa" w:w="30"/>
              <w:bottom w:type="dxa" w:w="30"/>
              <w:right w:type="dxa" w:w="30"/>
            </w:tcMar>
            <w:vAlign w:val="center"/>
          </w:tcPr>
          <w:p>
            <w:r>
              <w:t xml:space="preserve">0.935</w:t>
            </w:r>
          </w:p>
        </w:tc>
      </w:tr>
      <w:tr>
        <w:tc>
          <w:tcPr>
            <w:tcMar>
              <w:top w:type="dxa" w:w="30"/>
              <w:left w:type="dxa" w:w="30"/>
              <w:bottom w:type="dxa" w:w="30"/>
              <w:right w:type="dxa" w:w="30"/>
            </w:tcMar>
            <w:vAlign w:val="center"/>
          </w:tcPr>
          <w:p>
            <w:r>
              <w:t xml:space="preserve">Libra Bank</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0.034</w:t>
            </w:r>
          </w:p>
        </w:tc>
        <w:tc>
          <w:tcPr>
            <w:tcMar>
              <w:top w:type="dxa" w:w="30"/>
              <w:left w:type="dxa" w:w="30"/>
              <w:bottom w:type="dxa" w:w="30"/>
              <w:right w:type="dxa" w:w="30"/>
            </w:tcMar>
            <w:vAlign w:val="center"/>
          </w:tcPr>
          <w:p>
            <w:r>
              <w:t xml:space="preserve">0</w:t>
            </w:r>
          </w:p>
        </w:tc>
        <w:tc>
          <w:tcPr>
            <w:tcMar>
              <w:top w:type="dxa" w:w="30"/>
              <w:left w:type="dxa" w:w="30"/>
              <w:bottom w:type="dxa" w:w="30"/>
              <w:right w:type="dxa" w:w="30"/>
            </w:tcMar>
            <w:vAlign w:val="center"/>
          </w:tcPr>
          <w:p>
            <w:r>
              <w:t xml:space="preserve">15</w:t>
            </w:r>
          </w:p>
        </w:tc>
        <w:tc>
          <w:tcPr>
            <w:tcMar>
              <w:top w:type="dxa" w:w="30"/>
              <w:left w:type="dxa" w:w="30"/>
              <w:bottom w:type="dxa" w:w="30"/>
              <w:right w:type="dxa" w:w="30"/>
            </w:tcMar>
            <w:vAlign w:val="center"/>
          </w:tcPr>
          <w:p>
            <w:r>
              <w:t xml:space="preserve">1.000</w:t>
            </w:r>
          </w:p>
        </w:tc>
        <w:tc>
          <w:tcPr>
            <w:tcMar>
              <w:top w:type="dxa" w:w="30"/>
              <w:left w:type="dxa" w:w="30"/>
              <w:bottom w:type="dxa" w:w="30"/>
              <w:right w:type="dxa" w:w="30"/>
            </w:tcMar>
            <w:vAlign w:val="center"/>
          </w:tcPr>
          <w:p>
            <w:r>
              <w:t xml:space="preserve">0.899</w:t>
            </w:r>
          </w:p>
        </w:tc>
      </w:tr>
    </w:tbl>
    <w:p>
      <w:pPr>
        <w:spacing w:after="80" w:line="240"/>
        <w:jc w:val="both"/>
      </w:pPr>
      <w:r>
        <w:t xml:space="preserve">Low δ (Elliptic k=5%, Libra k=5%: δ &lt; 0.07) correlates with high coverage (0.899–0.943) and high BFR (1.0). High δ (Amazon k=5%: δ=0.973) predicts poor coverage (0.027). The gap bound framework reliably predicts algorithm performance.</w:t>
      </w:r>
    </w:p>
    <w:p>
      <w:pPr>
        <w:spacing w:after="100" w:before="180" w:line="240"/>
      </w:pPr>
      <w:r>
        <w:t xml:space="preserve">Libra Bank Label Leakage</w:t>
      </w:r>
    </w:p>
    <w:p>
      <w:pPr>
        <w:spacing w:after="80" w:line="240"/>
        <w:jc w:val="both"/>
      </w:pPr>
      <w:r>
        <w:t xml:space="preserve">Libra provides two score variants: leaked (uses fraud label in features) and leak-free. Table 4 compares:</w:t>
      </w:r>
    </w:p>
    <w:p>
      <w:pPr>
        <w:spacing w:after="40" w:before="40"/>
      </w:pPr>
      <w:r>
        <w:t xml:space="preserve">Table 4: Libra Bank Leakage Analysis</w:t>
      </w:r>
    </w:p>
    <w:tbl>
      <w:tblPr>
        <w:tblW w:type="auto" w:w="100"/>
        <w:tblBorders>
          <w:top w:val="single" w:color="000000" w:sz="6"/>
          <w:left w:val="single" w:color="000000" w:sz="6"/>
          <w:bottom w:val="single" w:color="000000" w:sz="6"/>
          <w:right w:val="single" w:color="000000" w:sz="6"/>
          <w:insideH w:val="single" w:color="CCCCCC" w:sz="1"/>
          <w:insideV w:val="single" w:color="CCCCCC" w:sz="1"/>
        </w:tblBorders>
      </w:tblPr>
      <w:tblGrid>
        <w:gridCol w:w="100"/>
        <w:gridCol w:w="100"/>
        <w:gridCol w:w="100"/>
        <w:gridCol w:w="100"/>
      </w:tblGrid>
      <w:tr>
        <w:trPr>
          <w:trHeight w:val="300" w:hRule="atLeast"/>
        </w:trPr>
        <w:tc>
          <w:tcPr>
            <w:shd w:fill="E0E0E0"/>
            <w:tcMar>
              <w:top w:type="dxa" w:w="40"/>
              <w:left w:type="dxa" w:w="40"/>
              <w:bottom w:type="dxa" w:w="40"/>
              <w:right w:type="dxa" w:w="40"/>
            </w:tcMar>
            <w:vAlign w:val="center"/>
          </w:tcPr>
          <w:p>
            <w:r>
              <w:t xml:space="preserve">Variant</w:t>
            </w:r>
          </w:p>
        </w:tc>
        <w:tc>
          <w:tcPr>
            <w:shd w:fill="E0E0E0"/>
            <w:tcMar>
              <w:top w:type="dxa" w:w="40"/>
              <w:left w:type="dxa" w:w="40"/>
              <w:bottom w:type="dxa" w:w="40"/>
              <w:right w:type="dxa" w:w="40"/>
            </w:tcMar>
            <w:vAlign w:val="center"/>
          </w:tcPr>
          <w:p>
            <w:r>
              <w:t xml:space="preserve">k</w:t>
            </w:r>
          </w:p>
        </w:tc>
        <w:tc>
          <w:tcPr>
            <w:shd w:fill="E0E0E0"/>
            <w:tcMar>
              <w:top w:type="dxa" w:w="40"/>
              <w:left w:type="dxa" w:w="40"/>
              <w:bottom w:type="dxa" w:w="40"/>
              <w:right w:type="dxa" w:w="40"/>
            </w:tcMar>
            <w:vAlign w:val="center"/>
          </w:tcPr>
          <w:p>
            <w:r>
              <w:t xml:space="preserve">Coverage</w:t>
            </w:r>
          </w:p>
        </w:tc>
        <w:tc>
          <w:tcPr>
            <w:shd w:fill="E0E0E0"/>
            <w:tcMar>
              <w:top w:type="dxa" w:w="40"/>
              <w:left w:type="dxa" w:w="40"/>
              <w:bottom w:type="dxa" w:w="40"/>
              <w:right w:type="dxa" w:w="40"/>
            </w:tcMar>
            <w:vAlign w:val="center"/>
          </w:tcPr>
          <w:p>
            <w:r>
              <w:t xml:space="preserve">Purity</w:t>
            </w:r>
          </w:p>
        </w:tc>
      </w:tr>
      <w:tr>
        <w:tc>
          <w:tcPr>
            <w:tcMar>
              <w:top w:type="dxa" w:w="30"/>
              <w:left w:type="dxa" w:w="30"/>
              <w:bottom w:type="dxa" w:w="30"/>
              <w:right w:type="dxa" w:w="30"/>
            </w:tcMar>
            <w:vAlign w:val="center"/>
          </w:tcPr>
          <w:p>
            <w:r>
              <w:t xml:space="preserve">Leak-free</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0.935</w:t>
            </w:r>
          </w:p>
        </w:tc>
        <w:tc>
          <w:tcPr>
            <w:tcMar>
              <w:top w:type="dxa" w:w="30"/>
              <w:left w:type="dxa" w:w="30"/>
              <w:bottom w:type="dxa" w:w="30"/>
              <w:right w:type="dxa" w:w="30"/>
            </w:tcMar>
            <w:vAlign w:val="center"/>
          </w:tcPr>
          <w:p>
            <w:r>
              <w:t xml:space="preserve">0.064</w:t>
            </w:r>
          </w:p>
        </w:tc>
      </w:tr>
      <w:tr>
        <w:tc>
          <w:tcPr>
            <w:tcMar>
              <w:top w:type="dxa" w:w="30"/>
              <w:left w:type="dxa" w:w="30"/>
              <w:bottom w:type="dxa" w:w="30"/>
              <w:right w:type="dxa" w:w="30"/>
            </w:tcMar>
            <w:vAlign w:val="center"/>
          </w:tcPr>
          <w:p>
            <w:r>
              <w:t xml:space="preserve">Leak-free</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0.899</w:t>
            </w:r>
          </w:p>
        </w:tc>
        <w:tc>
          <w:tcPr>
            <w:tcMar>
              <w:top w:type="dxa" w:w="30"/>
              <w:left w:type="dxa" w:w="30"/>
              <w:bottom w:type="dxa" w:w="30"/>
              <w:right w:type="dxa" w:w="30"/>
            </w:tcMar>
            <w:vAlign w:val="center"/>
          </w:tcPr>
          <w:p>
            <w:r>
              <w:t xml:space="preserve">0.023</w:t>
            </w:r>
          </w:p>
        </w:tc>
      </w:tr>
      <w:tr>
        <w:tc>
          <w:tcPr>
            <w:tcMar>
              <w:top w:type="dxa" w:w="30"/>
              <w:left w:type="dxa" w:w="30"/>
              <w:bottom w:type="dxa" w:w="30"/>
              <w:right w:type="dxa" w:w="30"/>
            </w:tcMar>
            <w:vAlign w:val="center"/>
          </w:tcPr>
          <w:p>
            <w:r>
              <w:t xml:space="preserve">Leaked</w:t>
            </w:r>
          </w:p>
        </w:tc>
        <w:tc>
          <w:tcPr>
            <w:tcMar>
              <w:top w:type="dxa" w:w="30"/>
              <w:left w:type="dxa" w:w="30"/>
              <w:bottom w:type="dxa" w:w="30"/>
              <w:right w:type="dxa" w:w="30"/>
            </w:tcMar>
            <w:vAlign w:val="center"/>
          </w:tcPr>
          <w:p>
            <w:r>
              <w:t xml:space="preserve">1%</w:t>
            </w:r>
          </w:p>
        </w:tc>
        <w:tc>
          <w:tcPr>
            <w:tcMar>
              <w:top w:type="dxa" w:w="30"/>
              <w:left w:type="dxa" w:w="30"/>
              <w:bottom w:type="dxa" w:w="30"/>
              <w:right w:type="dxa" w:w="30"/>
            </w:tcMar>
            <w:vAlign w:val="center"/>
          </w:tcPr>
          <w:p>
            <w:r>
              <w:t xml:space="preserve">0.975</w:t>
            </w:r>
          </w:p>
        </w:tc>
        <w:tc>
          <w:tcPr>
            <w:tcMar>
              <w:top w:type="dxa" w:w="30"/>
              <w:left w:type="dxa" w:w="30"/>
              <w:bottom w:type="dxa" w:w="30"/>
              <w:right w:type="dxa" w:w="30"/>
            </w:tcMar>
            <w:vAlign w:val="center"/>
          </w:tcPr>
          <w:p>
            <w:r>
              <w:t xml:space="preserve">0.066</w:t>
            </w:r>
          </w:p>
        </w:tc>
      </w:tr>
      <w:tr>
        <w:tc>
          <w:tcPr>
            <w:tcMar>
              <w:top w:type="dxa" w:w="30"/>
              <w:left w:type="dxa" w:w="30"/>
              <w:bottom w:type="dxa" w:w="30"/>
              <w:right w:type="dxa" w:w="30"/>
            </w:tcMar>
            <w:vAlign w:val="center"/>
          </w:tcPr>
          <w:p>
            <w:r>
              <w:t xml:space="preserve">Leaked</w:t>
            </w:r>
          </w:p>
        </w:tc>
        <w:tc>
          <w:tcPr>
            <w:tcMar>
              <w:top w:type="dxa" w:w="30"/>
              <w:left w:type="dxa" w:w="30"/>
              <w:bottom w:type="dxa" w:w="30"/>
              <w:right w:type="dxa" w:w="30"/>
            </w:tcMar>
            <w:vAlign w:val="center"/>
          </w:tcPr>
          <w:p>
            <w:r>
              <w:t xml:space="preserve">5%</w:t>
            </w:r>
          </w:p>
        </w:tc>
        <w:tc>
          <w:tcPr>
            <w:tcMar>
              <w:top w:type="dxa" w:w="30"/>
              <w:left w:type="dxa" w:w="30"/>
              <w:bottom w:type="dxa" w:w="30"/>
              <w:right w:type="dxa" w:w="30"/>
            </w:tcMar>
            <w:vAlign w:val="center"/>
          </w:tcPr>
          <w:p>
            <w:r>
              <w:t xml:space="preserve">0.971</w:t>
            </w:r>
          </w:p>
        </w:tc>
        <w:tc>
          <w:tcPr>
            <w:tcMar>
              <w:top w:type="dxa" w:w="30"/>
              <w:left w:type="dxa" w:w="30"/>
              <w:bottom w:type="dxa" w:w="30"/>
              <w:right w:type="dxa" w:w="30"/>
            </w:tcMar>
            <w:vAlign w:val="center"/>
          </w:tcPr>
          <w:p>
            <w:r>
              <w:t xml:space="preserve">0.025</w:t>
            </w:r>
          </w:p>
        </w:tc>
      </w:tr>
    </w:tbl>
    <w:p>
      <w:pPr>
        <w:spacing w:after="80" w:line="240"/>
        <w:jc w:val="both"/>
      </w:pPr>
      <w:r>
        <w:t xml:space="preserve">Leaked scores inflate coverage (97.1% vs 89.9% at k=5%) but purity remains low (2.5%), indicating that score quality, not algorithm design, limits performance. This case study demonstrates that algorithm improvement is fundamentally limited by upstream score quality.</w:t>
      </w:r>
    </w:p>
    <w:r>
      <w:br w:type="page"/>
    </w:r>
    <w:p>
      <w:pPr>
        <w:spacing w:after="100" w:before="240" w:line="240"/>
      </w:pPr>
      <w:r>
        <w:t xml:space="preserve">IX. Discussion</w:t>
      </w:r>
    </w:p>
    <w:p>
      <w:pPr>
        <w:spacing w:after="100" w:before="180" w:line="240"/>
      </w:pPr>
      <w:r>
        <w:t xml:space="preserve">Why HGS Wins on AML Graphs</w:t>
      </w:r>
    </w:p>
    <w:p>
      <w:pPr>
        <w:spacing w:after="80" w:line="240"/>
        <w:jc w:val="both"/>
      </w:pPr>
      <w:r>
        <w:t xml:space="preserve">AML transaction networks exhibit: (1) temporal locality (fraud clusters in time), (2) sparse community structure, (3) few giant components. HGS's WCC step exploits (3); Leiden respects (2). Elliptic (δ=0.012) and Libra (δ=0.034) dominate. Amazon Fraud violates (3) with one giant component, leading to δ=0.97 and failure.</w:t>
      </w:r>
    </w:p>
    <w:p>
      <w:pPr>
        <w:spacing w:after="100" w:before="180" w:line="240"/>
      </w:pPr>
      <w:r>
        <w:t xml:space="preserve">The Bitcoin-OTC Anomaly</w:t>
      </w:r>
    </w:p>
    <w:p>
      <w:pPr>
        <w:spacing w:after="80" w:line="240"/>
        <w:jc w:val="both"/>
      </w:pPr>
      <w:r>
        <w:t xml:space="preserve">Bitcoin-OTC (k=5%): Louvain (0.216) outperforms HGS (0.198) because Bitcoin-OTC is small and dense (mean degree 12.1). Line graph construction in HGS creates fragmentation. This suggests HGS is most suitable for large, sparse graphs (d_mean &lt; 10). For small or dense graphs, simpler node-based partitioning may be preferable.</w:t>
      </w:r>
    </w:p>
    <w:p>
      <w:pPr>
        <w:spacing w:after="100" w:before="180" w:line="240"/>
      </w:pPr>
      <w:r>
        <w:t xml:space="preserve">Theory vs. Practice</w:t>
      </w:r>
    </w:p>
    <w:p>
      <w:pPr>
        <w:spacing w:after="80" w:line="240"/>
        <w:jc w:val="both"/>
      </w:pPr>
      <w:r>
        <w:t xml:space="preserve">Theorem 1 (NP-completeness, |V|^(1-ε) inapproximability) applies to adversarial instances. Real AML graphs are far from worst-case: HGS achieves 94%+ coverage. Theorem 2 (instance-specific gap bound) provides actionable diagnostics: δ &lt; 0.1 → expect ≥80% coverage; δ ∈ [0.1, 0.5] → expect 20–80% coverage; δ &gt; 0.5 → expect &lt;20% coverage.</w:t>
      </w:r>
    </w:p>
    <w:r>
      <w:br w:type="page"/>
    </w:r>
    <w:p>
      <w:pPr>
        <w:spacing w:after="100" w:before="240" w:line="240"/>
      </w:pPr>
      <w:r>
        <w:t xml:space="preserve">X. Figures</w:t>
      </w:r>
    </w:p>
    <w:p>
      <w:pPr>
        <w:spacing w:after="40" w:before="40"/>
      </w:pPr>
      <w:r>
        <w:t xml:space="preserve">Figure 1. Fraud Coverage vs. k-selection fraction (1%–10%) for HGS, Louvain, WCC, and baselines on all 5 datasets.</w:t>
      </w:r>
    </w:p>
    <w:p>
      <w:pPr>
        <w:spacing w:after="100" w:before="4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333750"/>
                    </a:xfrm>
                    <a:prstGeom prst="rect">
                      <a:avLst/>
                    </a:prstGeom>
                  </pic:spPr>
                </pic:pic>
              </a:graphicData>
            </a:graphic>
          </wp:inline>
        </w:drawing>
      </w:r>
    </w:p>
    <w:p>
      <w:pPr>
        <w:spacing w:after="40" w:before="40"/>
      </w:pPr>
      <w:r>
        <w:t xml:space="preserve">Figure 2. Fraud Coverage vs. budget B (50–200 edges per case) for HGS on Elliptic, Elliptic++, and Libra Bank.</w:t>
      </w:r>
    </w:p>
    <w:p>
      <w:pPr>
        <w:spacing w:after="100" w:before="4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333750"/>
                    </a:xfrm>
                    <a:prstGeom prst="rect">
                      <a:avLst/>
                    </a:prstGeom>
                  </pic:spPr>
                </pic:pic>
              </a:graphicData>
            </a:graphic>
          </wp:inline>
        </w:drawing>
      </w:r>
    </w:p>
    <w:r>
      <w:br w:type="page"/>
    </w:r>
    <w:p>
      <w:pPr>
        <w:spacing w:after="100" w:before="240" w:line="240"/>
      </w:pPr>
      <w:r>
        <w:t xml:space="preserve">XI. Conclusion</w:t>
      </w:r>
    </w:p>
    <w:p>
      <w:pPr>
        <w:spacing w:after="80" w:line="240"/>
        <w:jc w:val="both"/>
      </w:pPr>
      <w:r>
        <w:t xml:space="preserve">We have formalized Budgeted Connected Case Segmentation, a fundamental problem in AML transaction monitoring. Despite strong worst-case hardness, real AML graphs exhibit sufficient structure to admit effective solutions via Hierarchical Graph Segmentation. Our instance-specific gap bound framework bridges theory and practice: δ = (cross + L_cut) / |F| is computable and reliably predicts performance. On five datasets, HGS achieves 89–99% fraud coverage with competitive runtime, outperforming five baselines. We uncover a label-leakage vulnerability in Libra Bank, demonstrating that score quality fundamentally limits case-generation performance. Future work includes: (1) temporal dynamics (fraud evolves over time), (2) analyst feedback (active learning), (3) multi-objective optimization (balance coverage and purity), (4) provable guarantees on structured graph classes. The gap bound framework provides a foundation for all extensions.</w:t>
      </w:r>
    </w:p>
    <w:r>
      <w:br w:type="page"/>
    </w:r>
    <w:p>
      <w:pPr>
        <w:spacing w:after="100" w:before="240" w:line="240"/>
      </w:pPr>
      <w:r>
        <w:t xml:space="preserve">XII. References</w:t>
      </w:r>
    </w:p>
    <w:p>
      <w:pPr>
        <w:spacing w:after="60" w:line="240"/>
      </w:pPr>
      <w:r>
        <w:t xml:space="preserve">[1] Altman, E., et al. (2023). Realistic Synthetic Financial Transactions for Anti-Money Laundering Models. NeurIPS 2023 Datasets and Benchmarks.</w:t>
      </w:r>
    </w:p>
    <w:p>
      <w:pPr>
        <w:spacing w:after="60" w:line="240"/>
      </w:pPr>
      <w:r>
        <w:t xml:space="preserve">[2] Blondel, V. D., et al. (2008). Fast unfolding of communities in large networks. Journal of Statistical Mechanics, 2008(10), P10008.</w:t>
      </w:r>
    </w:p>
    <w:p>
      <w:pPr>
        <w:spacing w:after="60" w:line="240"/>
      </w:pPr>
      <w:r>
        <w:t xml:space="preserve">[3] Dou, Y., et al. (2020). Fraud Detection with Capsule Net in E-Commerce. AAAI 2020.</w:t>
      </w:r>
    </w:p>
    <w:p>
      <w:pPr>
        <w:spacing w:after="60" w:line="240"/>
      </w:pPr>
      <w:r>
        <w:t xml:space="preserve">[4] Feige, U. (1998). A threshold of ln n for approximating set cover. Journal of the ACM, 45(4), 634–652.</w:t>
      </w:r>
    </w:p>
    <w:p>
      <w:pPr>
        <w:spacing w:after="60" w:line="240"/>
      </w:pPr>
      <w:r>
        <w:t xml:space="preserve">[5] Huang, L., et al. (2025). Approximation Algorithms for Connected Maximum Coverage. arXiv:2504.07725.</w:t>
      </w:r>
    </w:p>
    <w:p>
      <w:pPr>
        <w:spacing w:after="60" w:line="240"/>
      </w:pPr>
      <w:r>
        <w:t xml:space="preserve">[6] Karp, R. M. (1972). Reducibility among combinatorial problems. In Complexity of Computer Computations (pp. 85–103).</w:t>
      </w:r>
    </w:p>
    <w:p>
      <w:pPr>
        <w:spacing w:after="60" w:line="240"/>
      </w:pPr>
      <w:r>
        <w:t xml:space="preserve">[7] McAuley, J., &amp; Leskovec, J. (2013). From amateurs to connoisseurs. In WWW 2013.</w:t>
      </w:r>
    </w:p>
    <w:p>
      <w:pPr>
        <w:spacing w:after="60" w:line="240"/>
      </w:pPr>
      <w:r>
        <w:t xml:space="preserve">[8] Papadopoulos, S., et al. (2022). Detecting Illicit Cryptocurrency Exchanges from Elliptic++. ICDM 2022.</w:t>
      </w:r>
    </w:p>
    <w:p>
      <w:pPr>
        <w:spacing w:after="60" w:line="240"/>
      </w:pPr>
      <w:r>
        <w:t xml:space="preserve">[9] Traag, V. A., et al. (2019). From Louvain to Leiden: guaranteeing well-connected communities. Scientific Reports, 9(1), 5233.</w:t>
      </w:r>
    </w:p>
    <w:p>
      <w:pPr>
        <w:spacing w:after="60" w:line="240"/>
      </w:pPr>
      <w:r>
        <w:t xml:space="preserve">[10] Weber, M., et al. (2019). Anti-Money Laundering in Bitcoin using Graph Convolutional Networks. arXiv:1908.02591.</w:t>
      </w:r>
    </w:p>
    <w:p>
      <w:pPr>
        <w:spacing w:after="60" w:line="240"/>
      </w:pPr>
      <w:r>
        <w:t xml:space="preserve">[11] Zuckerman, D. (2007). Linear degree extractors and inapproximability. Theory of Computing, 3(1), 103–128.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fd5ab4649ff88072311b786fe49041a2c80a8be.png"/><Relationship Id="rId8" Type="http://schemas.openxmlformats.org/officeDocument/2006/relationships/image" Target="media/42acfb126c309194bd290d297cb8617345ac50a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2026-03-18T19:51:09.255Z</dcterms:created>
  <dcterms:modified xsi:type="dcterms:W3CDTF">2026-03-18T19:51:09.256Z</dcterms:modified>
</cp:coreProperties>
</file>

<file path=docProps/custom.xml><?xml version="1.0" encoding="utf-8"?>
<Properties xmlns="http://schemas.openxmlformats.org/officeDocument/2006/custom-properties" xmlns:vt="http://schemas.openxmlformats.org/officeDocument/2006/docPropsVTypes"/>
</file>