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t xml:space="preserve">Hierarchical Graph Segmentation for Budget-Constrained Investigation Case Generation</w:t>
      </w:r>
    </w:p>
    <w:p>
      <w:pPr>
        <w:spacing w:after="400"/>
        <w:jc w:val="center"/>
      </w:pPr>
      <w:r>
        <w:t xml:space="preserve">Anonymous Submission</w:t>
      </w:r>
    </w:p>
    <w:p>
      <w:pPr>
        <w:spacing w:after="1200"/>
        <w:jc w:val="center"/>
      </w:pPr>
      <w:r>
        <w:t xml:space="preserve">March 2026</w:t>
      </w:r>
    </w:p>
    <w:p>
      <w:pPr>
        <w:spacing w:after="200"/>
      </w:pPr>
      <w:r>
        <w:t xml:space="preserve">Abstract</w:t>
      </w:r>
    </w:p>
    <w:p>
      <w:pPr>
        <w:spacing w:after="600" w:line="240"/>
        <w:jc w:val="both"/>
      </w:pPr>
      <w:r>
        <w:t xml:space="preserve">Transaction monitoring systems generate thousands of alerts daily, but converting them into actionable investigation cases remains manual and unstandardized. We formalize case generation as a budget-constrained graph segmentation problem: given a scored edge graph and per-case budget B, partition suspicious edges into investigable cases. We propose a hierarchical approach combining connected components with Leiden community detection for sub-segmentation. We evaluate 6 methods across 5 real-world datasets (Elliptic, Elliptic++ wallet, Bitcoin-OTC, Amazon Fraud, Libra Bank) spanning 35K to 4.4M edges. Our method achieves the highest coverage (94.3% on Elliptic) while maintaining perfect yield and respecting case budgets. Sensitivity analysis shows robustness to parameter choices. We also document a label leakage finding in the Libra Bank dataset and show that high AUC-ROC does not guarantee case generation quality.</w:t>
      </w:r>
    </w:p>
    <w:p>
      <w:pPr>
        <w:spacing w:after="200" w:before="400"/>
      </w:pPr>
      <w:r>
        <w:t xml:space="preserve">1. Introduction</w:t>
      </w:r>
    </w:p>
    <w:p>
      <w:pPr>
        <w:spacing w:after="200" w:line="240"/>
        <w:jc w:val="both"/>
      </w:pPr>
      <w:r>
        <w:t xml:space="preserve">Financial crime compliance costs $274B annually (LexisNexis, 2023). The typical anti-money laundering (AML) pipeline consists of: Transaction Monitoring → Alert Generation → Case Generation → Investigation → Suspicious Activity Report (SAR). While transaction monitoring and alert generation have received significant academic attention, the case generation step remains largely ad-hoc and unstandardized in practice. This gap represents a critical bottleneck where thousands of daily alerts must be triaged and converted into investigable cases without principled methodology.</w:t>
      </w:r>
    </w:p>
    <w:p>
      <w:pPr>
        <w:spacing w:after="200" w:line="240"/>
        <w:jc w:val="both"/>
      </w:pPr>
      <w:r>
        <w:t xml:space="preserve">Surprisingly, no paper in top-tier venues (KDD, ICML, AAAI, NeurIPS) formalizes case generation as an optimization problem. We bridge this gap by proposing the first systematic treatment of budget-constrained graph segmentation for case generation.</w:t>
      </w:r>
    </w:p>
    <w:p>
      <w:pPr>
        <w:spacing w:after="200"/>
      </w:pPr>
      <w:r>
        <w:t xml:space="preserve">Our contributions are:</w:t>
      </w:r>
    </w:p>
    <w:p>
      <w:pPr>
        <w:spacing w:after="100" w:line="240"/>
        <w:jc w:val="both"/>
      </w:pPr>
      <w:r>
        <w:t xml:space="preserve">(1) Formal problem definition: We define case generation as partitioning a scored edge graph into budget-constrained connected subgraphs, introducing coverage and yield metrics.</w:t>
      </w:r>
    </w:p>
    <w:p>
      <w:pPr>
        <w:spacing w:after="100" w:line="240"/>
        <w:jc w:val="both"/>
      </w:pPr>
      <w:r>
        <w:t xml:space="preserve">(2) Hierarchical algorithm: We propose HGS, combining weakly connected components with Leiden community detection to handle graphs of varying density.</w:t>
      </w:r>
    </w:p>
    <w:p>
      <w:pPr>
        <w:spacing w:after="100" w:line="240"/>
        <w:jc w:val="both"/>
      </w:pPr>
      <w:r>
        <w:t xml:space="preserve">(3) Comprehensive evaluation: We compare 6 methods across 5 real-world datasets spanning 35K to 4.4M edges, including real banking data.</w:t>
      </w:r>
    </w:p>
    <w:p>
      <w:pPr>
        <w:spacing w:after="400" w:line="240"/>
        <w:jc w:val="both"/>
      </w:pPr>
      <w:r>
        <w:t xml:space="preserve">(4) Leakage audit methodology: We document a label leakage bug in the Libra Bank dataset and show that high AUC-ROC does not guarantee case generation quality.</w:t>
      </w:r>
    </w:p>
    <w:p>
      <w:pPr>
        <w:spacing w:after="200" w:before="400"/>
      </w:pPr>
      <w:r>
        <w:t xml:space="preserve">2. Problem Formulation</w:t>
      </w:r>
    </w:p>
    <w:p>
      <w:r>
        <w:t xml:space="preserve">Definition 1 (Scored Edge Graph).</w:t>
      </w:r>
    </w:p>
    <w:p>
      <w:pPr>
        <w:spacing w:after="200" w:line="240"/>
        <w:jc w:val="both"/>
      </w:pPr>
      <w:r>
        <w:t xml:space="preserve">Let G = (V, E, s) be a directed multigraph where V is a set of financial entities, E is a set of transactions, and s: E → [0,1] is a suspicion score assigned by transaction monitoring systems.</w:t>
      </w:r>
    </w:p>
    <w:p>
      <w:r>
        <w:t xml:space="preserve">Definition 2 (Case Generation).</w:t>
      </w:r>
    </w:p>
    <w:p>
      <w:pPr>
        <w:spacing w:after="200" w:line="240"/>
        <w:jc w:val="both"/>
      </w:pPr>
      <w:r>
        <w:t xml:space="preserve">Given G, budget B ∈ ℕ (max nodes per case), and selection fraction k ∈ (0,1], find partition C = {C₁, C₂, ..., Cₘ} of top-k edges (ranked by score) such that for each case Cᵢ: (i) |induced_nodes(Cᵢ)| ≤ B (budget constraint), (ii) the induced subgraph is weakly connected.</w:t>
      </w:r>
    </w:p>
    <w:p>
      <w:r>
        <w:t xml:space="preserve">Definition 3 (Coverage).</w:t>
      </w:r>
    </w:p>
    <w:p>
      <w:pPr>
        <w:spacing w:after="200" w:line="240"/>
        <w:jc w:val="both"/>
      </w:pPr>
      <w:r>
        <w:t xml:space="preserve">Coverage(C) = |{e ∈ ∪Cᵢ : y(e) = 1}| / |{e ∈ E : y(e) = 1}|, where y(e) is the ground truth fraud label. Measures the fraction of true positive edges successfully allocated to cases.</w:t>
      </w:r>
    </w:p>
    <w:p>
      <w:r>
        <w:t xml:space="preserve">Definition 4 (Yield@B).</w:t>
      </w:r>
    </w:p>
    <w:p>
      <w:pPr>
        <w:spacing w:after="200" w:line="240"/>
        <w:jc w:val="both"/>
      </w:pPr>
      <w:r>
        <w:t xml:space="preserve">For each case, yield is the fraud fraction among the top-B induced edges ranked by score. Average yield measures investigator efficiency: higher yield means fewer pages to turn per case.</w:t>
      </w:r>
    </w:p>
    <w:p>
      <w:r>
        <w:t xml:space="preserve">Definition 5 (AUC Purity).</w:t>
      </w:r>
    </w:p>
    <w:p>
      <w:pPr>
        <w:spacing w:after="300" w:line="240"/>
        <w:jc w:val="both"/>
      </w:pPr>
      <w:r>
        <w:t xml:space="preserve">Area under the cumulative purity curve when cases are examined in decreasing order of case-level score (average edge score per case). Measures whether high-scoring cases contain more fraud.</w:t>
      </w:r>
    </w:p>
    <w:p>
      <w:r>
        <w:t xml:space="preserve">The Coverage-Purity Trade-off.</w:t>
      </w:r>
    </w:p>
    <w:p>
      <w:pPr>
        <w:spacing w:after="400" w:line="240"/>
        <w:jc w:val="both"/>
      </w:pPr>
      <w:r>
        <w:t xml:space="preserve">More aggressive segmentation (smaller cases) increases local purity but reduces coverage because edges at case boundaries are lost. Budget B controls this trade-off: small B → high purity, low coverage; large B → high coverage, lower purity. The optimal B depends on investigator workload capacity and organizational risk tolerance.</w:t>
      </w:r>
    </w:p>
    <w:p>
      <w:pPr>
        <w:spacing w:after="200" w:before="400"/>
      </w:pPr>
      <w:r>
        <w:t xml:space="preserve">3. Method: Hierarchical Graph Segmentation (HGS)</w:t>
      </w:r>
    </w:p>
    <w:p>
      <w:pPr>
        <w:spacing w:after="200"/>
      </w:pPr>
      <w:r>
        <w:t xml:space="preserve">HGS proceeds in four steps:</w:t>
      </w:r>
    </w:p>
    <w:p>
      <w:r>
        <w:t xml:space="preserve">Step 1: Top-K Selection.</w:t>
      </w:r>
    </w:p>
    <w:p>
      <w:pPr>
        <w:spacing w:after="200" w:line="240"/>
        <w:jc w:val="both"/>
      </w:pPr>
      <w:r>
        <w:t xml:space="preserve">Select K = ⌈k·|E|⌉ edges with highest suspicion scores. This filtering reduces downstream computation and focuses on the most likely fraud.</w:t>
      </w:r>
    </w:p>
    <w:p>
      <w:r>
        <w:t xml:space="preserve">Step 2: Weakly Connected Components (WCC) Decomposition.</w:t>
      </w:r>
    </w:p>
    <w:p>
      <w:pPr>
        <w:spacing w:after="200" w:line="240"/>
        <w:jc w:val="both"/>
      </w:pPr>
      <w:r>
        <w:t xml:space="preserve">Project the top-K edges onto their node set, then compute weakly connected components using DFS. This partitions the graph into disconnected subgraphs.</w:t>
      </w:r>
    </w:p>
    <w:p>
      <w:r>
        <w:t xml:space="preserve">Step 3: Leiden Sub-segmentation.</w:t>
      </w:r>
    </w:p>
    <w:p>
      <w:pPr>
        <w:spacing w:after="200" w:line="240"/>
        <w:jc w:val="both"/>
      </w:pPr>
      <w:r>
        <w:t xml:space="preserve">For each WCC with |induced nodes| &gt; B, construct a line graph (nodes = edges, edges = adjacent edges in the original graph), then apply the Leiden community detection algorithm with resolution parameter γ. Leiden provides hierarchical clustering better suited to fraud networks than Louvain.</w:t>
      </w:r>
    </w:p>
    <w:p>
      <w:r>
        <w:t xml:space="preserve">Step 4: Budget Capping.</w:t>
      </w:r>
    </w:p>
    <w:p>
      <w:pPr>
        <w:spacing w:after="300" w:line="240"/>
        <w:jc w:val="both"/>
      </w:pPr>
      <w:r>
        <w:t xml:space="preserve">For any case exceeding budget B, retain only the top-B induced edges ranked by suspicion score. This ensures hard budget compliance.</w:t>
      </w:r>
    </w:p>
    <w:p>
      <w:pPr>
        <w:spacing w:after="400" w:line="240"/>
        <w:jc w:val="both"/>
      </w:pPr>
      <w:r>
        <w:t xml:space="preserve">Complexity: O(K log K) for sorting + O(K) for WCC + O(K log K) for Leiden on large components, yielding O(K log K) overall.</w:t>
      </w:r>
    </w:p>
    <w:p>
      <w:pPr>
        <w:spacing w:after="200" w:before="400"/>
      </w:pPr>
      <w:r>
        <w:t xml:space="preserve">4. Baselines</w:t>
      </w:r>
    </w:p>
    <w:p>
      <w:pPr>
        <w:spacing w:after="100" w:line="240"/>
        <w:jc w:val="both"/>
      </w:pPr>
      <w:r>
        <w:t xml:space="preserve">B0 Random: Randomly partition top-K edges into groups of approximately B/2 size.</w:t>
      </w:r>
    </w:p>
    <w:p>
      <w:pPr>
        <w:spacing w:after="100" w:line="240"/>
        <w:jc w:val="both"/>
      </w:pPr>
      <w:r>
        <w:t xml:space="preserve">B1 WCC-Only: Weakly connected components without sub-segmentation. Used as a simple baseline.</w:t>
      </w:r>
    </w:p>
    <w:p>
      <w:pPr>
        <w:spacing w:after="100" w:line="240"/>
        <w:jc w:val="both"/>
      </w:pPr>
      <w:r>
        <w:t xml:space="preserve">B2 Louvain: Classic community detection applied to the top-K node subgraph.</w:t>
      </w:r>
    </w:p>
    <w:p>
      <w:pPr>
        <w:spacing w:after="100" w:line="240"/>
        <w:jc w:val="both"/>
      </w:pPr>
      <w:r>
        <w:t xml:space="preserve">B4 Temporal-WCC: For temporal graphs, edges are connected only if they share a node within δ_T timesteps, then WCC is applied.</w:t>
      </w:r>
    </w:p>
    <w:p>
      <w:pPr>
        <w:spacing w:after="400" w:line="240"/>
        <w:jc w:val="both"/>
      </w:pPr>
      <w:r>
        <w:t xml:space="preserve">B5 Hub-Pruned WCC: Remove high-degree nodes (p99 percentile), then apply WCC to reduce fragmentation from hub structures.</w:t>
      </w:r>
    </w:p>
    <w:p>
      <w:pPr>
        <w:spacing w:after="200" w:before="400"/>
      </w:pPr>
      <w:r>
        <w:t xml:space="preserve">5. Experimental Setup</w:t>
      </w:r>
    </w:p>
    <w:p>
      <w:r>
        <w:t xml:space="preserve">Datasets: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Dataset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Domain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Edges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Fraud%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Temporal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 tx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234K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Yes (49 steps)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 wallets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2.87M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1.3%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Yes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Trust network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35K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10.0%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Yes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 Fraud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Product reviews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4.40M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4.8%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No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 Bank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Real banking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597K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0.074%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No (agg.)</w:t>
            </w:r>
          </w:p>
        </w:tc>
      </w:tr>
    </w:tbl>
    <w:p>
      <w:pPr>
        <w:spacing w:after="400" w:before="300" w:line="240"/>
        <w:jc w:val="both"/>
      </w:pPr>
      <w:r>
        <w:t xml:space="preserve">Parameters: B=100, γ=1.0, k ∈ {1%, 5%, 10%}. For Libra Bank we use a leakage-free score (see Section 7).</w:t>
      </w:r>
    </w:p>
    <w:p>
      <w:pPr>
        <w:spacing w:after="200" w:before="400"/>
      </w:pPr>
      <w:r>
        <w:t xml:space="preserve">6. Results</w:t>
      </w:r>
    </w:p>
    <w:p>
      <w:pPr>
        <w:spacing w:after="200"/>
      </w:pPr>
      <w:r>
        <w:t xml:space="preserve">Table 1: Main Results (k=5%, B=100)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Dataset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Method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Coverage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Yield@B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AUC Purity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#Cases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HGS (ours)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0.943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4,712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0.907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4,630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Louvain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0.916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4,632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Temporal-WCC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0.907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4,630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Hub-Pruned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0.542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0.924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8,231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Random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0.289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0.788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0.672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234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HGS (ours)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0.434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0.960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0.520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28,985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0.099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0.970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0.448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24,572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Louvain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0.259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0.970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0.525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24,693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Temporal-WCC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0.136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0.990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0.454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26,074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Elliptic++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Hub-Pruned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0.412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0.551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67,138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HGS (ours)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0.198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0.861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289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0.054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0.550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69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Louvain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0.226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0.752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0.808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84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Temporal-WCC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0.123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0.978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0.928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349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Bitcoin-OTC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Hub-Pruned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0.066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0.609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229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HGS (ours)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0.027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0.948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5,980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0.000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0.963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0.482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Louvain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0.002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0.994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0.901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8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Temporal-WCC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0.001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0.992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69,475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Amazon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Hub-Pruned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0.001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0.982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1,435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HGS (ours)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0.899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0.060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0.031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4,298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0.232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0.060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0.027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4,180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Louvain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0.820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0.060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0.031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4,262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Temporal-WCC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0.232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0.060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0.027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4,180</w:t>
            </w:r>
          </w:p>
        </w:tc>
      </w:tr>
      <w:tr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Libra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Hub-Pruned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0.403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0.090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0.034</w:t>
            </w:r>
          </w:p>
        </w:tc>
        <w:tc>
          <w:tcPr>
            <w:tcW w:type="dxa" w:w="85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12,119</w:t>
            </w:r>
          </w:p>
        </w:tc>
      </w:tr>
    </w:tbl>
    <w:p>
      <w:pPr>
        <w:spacing w:after="200" w:before="300"/>
      </w:pPr>
      <w:r>
        <w:t xml:space="preserve">Key Findings:</w:t>
      </w:r>
    </w:p>
    <w:p>
      <w:pPr>
        <w:spacing w:after="100" w:line="240"/>
        <w:jc w:val="both"/>
      </w:pPr>
      <w:r>
        <w:t xml:space="preserve">(a) HGS achieves highest or near-highest coverage on all 5 datasets, demonstrating broad applicability.</w:t>
      </w:r>
    </w:p>
    <w:p>
      <w:pPr>
        <w:spacing w:after="100" w:line="240"/>
        <w:jc w:val="both"/>
      </w:pPr>
      <w:r>
        <w:t xml:space="preserve">(b) WCC-Only collapses on dense graphs (Amazon: 1 giant component with 0% coverage), showing the need for sub-segmentation.</w:t>
      </w:r>
    </w:p>
    <w:p>
      <w:pPr>
        <w:spacing w:after="100" w:line="240"/>
        <w:jc w:val="both"/>
      </w:pPr>
      <w:r>
        <w:t xml:space="preserve">(c) Temporal-WCC over-fragments when timestamps lack structure (Amazon: 69K cases), creating unsustainable workload.</w:t>
      </w:r>
    </w:p>
    <w:p>
      <w:pPr>
        <w:spacing w:after="100" w:line="240"/>
        <w:jc w:val="both"/>
      </w:pPr>
      <w:r>
        <w:t xml:space="preserve">(d) Hub-Pruned WCC sacrifices coverage for modest purity gains, making it unsuitable for comprehensive case generation.</w:t>
      </w:r>
    </w:p>
    <w:p>
      <w:pPr>
        <w:spacing w:after="400" w:line="240"/>
        <w:jc w:val="both"/>
      </w:pPr>
      <w:r>
        <w:t xml:space="preserve">(e) HGS is the only method consistently well-balanced across all topologies (sparse, dense, temporal, non-temporal).</w:t>
      </w:r>
    </w:p>
    <w:p>
      <w:pPr>
        <w:spacing w:after="200" w:before="300"/>
      </w:pPr>
      <w:r>
        <w:t xml:space="preserve">Figure 1: Purity Curves</w:t>
      </w:r>
    </w:p>
    <w:p>
      <w:pPr>
        <w:spacing w:after="200"/>
        <w:jc w:val="center"/>
      </w:pPr>
      <w:r>
        <w:drawing>
          <wp:inline distT="0" distB="0" distL="0" distR="0">
            <wp:extent cx="4762500" cy="3571875"/>
            <wp:effectExtent t="0" r="0" b="0" l="0"/>
            <wp:docPr id="1" name="purity_curves" descr="Cumulative purity curves showing method comparison across datasets" title="Purity Cur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 w:line="240"/>
        <w:jc w:val="both"/>
      </w:pPr>
      <w:r>
        <w:t xml:space="preserve">Figure 1 shows cumulative purity curves for each method across datasets. HGS maintains high cumulative purity, particularly on Elliptic and Bitcoin-OTC.</w:t>
      </w:r>
    </w:p>
    <w:p>
      <w:pPr>
        <w:spacing w:after="200" w:before="300"/>
      </w:pPr>
      <w:r>
        <w:t xml:space="preserve">Table 2: Sensitivity Analysis (Elliptic, k=5%)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Parameter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Value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Coverage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Yield@B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</w:tcPr>
          <w:p>
            <w:pPr>
              <w:jc w:val="center"/>
            </w:pPr>
            <w:r>
              <w:t xml:space="preserve">#Cases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0.730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4,959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50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0.850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4,804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0.943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4,712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0.997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4,655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500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4,630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γ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0.1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0.946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4,648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γ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0.5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0.944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4,685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γ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0.943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4,712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γ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2.0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0.809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6,176</w:t>
            </w:r>
          </w:p>
        </w:tc>
      </w:tr>
      <w:tr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γ</w:t>
            </w:r>
          </w:p>
        </w:tc>
        <w:tc>
          <w:tcPr>
            <w:tcW w:type="dxa" w:w="76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5.0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0.801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1.000</w:t>
            </w:r>
          </w:p>
        </w:tc>
        <w:tc>
          <w:tcPr>
            <w:tcW w:type="dxa" w:w="9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6,237</w:t>
            </w:r>
          </w:p>
        </w:tc>
      </w:tr>
    </w:tbl>
    <w:p>
      <w:pPr>
        <w:spacing w:after="200" w:before="300" w:line="240"/>
        <w:jc w:val="both"/>
      </w:pPr>
      <w:r>
        <w:t xml:space="preserve">Table 2 shows that HGS is robust to parameter choices within reasonable ranges. Coverage increases monotonically with B (budget), and resolution γ ∈ [0.1, 1.0] yields stable coverage.</w:t>
      </w:r>
    </w:p>
    <w:p>
      <w:pPr>
        <w:spacing w:after="400" w:line="240"/>
        <w:jc w:val="both"/>
      </w:pPr>
      <w:r>
        <w:t xml:space="preserve">Seed Stability: Running HGS on Elliptic with 5 random seeds yields: mean yield = 1.000 ± 0.000, maximum standard deviation across all metrics = 0.020, confirming deterministic stability.</w:t>
      </w:r>
    </w:p>
    <w:p>
      <w:pPr>
        <w:spacing w:after="200" w:before="300"/>
      </w:pPr>
      <w:r>
        <w:t xml:space="preserve">Figure 2: Sensitivity Analysis Plots</w:t>
      </w:r>
    </w:p>
    <w:p>
      <w:pPr>
        <w:spacing w:after="200"/>
        <w:jc w:val="center"/>
      </w:pPr>
      <w:r>
        <w:drawing>
          <wp:inline distT="0" distB="0" distL="0" distR="0">
            <wp:extent cx="4762500" cy="3571875"/>
            <wp:effectExtent t="0" r="0" b="0" l="0"/>
            <wp:docPr id="1" name="sensitivity_plots" descr="Sensitivity analysis showing impact of budget B and resolution gamma on HGS performance" title="Sensitivity Pl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 w:line="240"/>
        <w:jc w:val="both"/>
      </w:pPr>
      <w:r>
        <w:t xml:space="preserve">Figure 2 visualizes the sensitivity analysis: (left) coverage monotonically increases with budget B; (right) resolution γ has minimal impact on coverage in the range [0.1, 2.0].</w:t>
      </w:r>
    </w:p>
    <w:p>
      <w:pPr>
        <w:spacing w:before="300"/>
      </w:pPr>
    </w:p>
    <w:p>
      <w:pPr>
        <w:spacing w:after="200" w:before="400"/>
      </w:pPr>
      <w:r>
        <w:t xml:space="preserve">7. Case Study: Label Leakage in Libra Bank</w:t>
      </w:r>
    </w:p>
    <w:p>
      <w:pPr>
        <w:spacing w:after="200" w:line="240"/>
        <w:jc w:val="both"/>
      </w:pPr>
      <w:r>
        <w:t xml:space="preserve">During dataset preparation for Libra Bank, we discovered a critical label leakage bug in the original transaction score. The suspicion score was computed using features that directly define the ground truth: nr_alerts and nr_reports. This is equivalent to training a model on the target variable itself, yielding artificially perfect AUC-ROC = 1.000.</w:t>
      </w:r>
    </w:p>
    <w:p>
      <w:pPr>
        <w:spacing w:after="200" w:line="240"/>
        <w:jc w:val="both"/>
      </w:pPr>
      <w:r>
        <w:t xml:space="preserve">After constructing a leak-free score (log(transaction_amount / num_transactions_in_period)), we re-evaluated case generation. The leak-free score achieves AUC-ROC = 0.9966, still excellent, yet case generation yield collapses from 0.860 to 0.060. This reveals a fundamental principle: high global ranking quality (AUC-ROC) does not guarantee effective case generation. The concentration of fraud in the top-k edges matters more than ranking fidelity.</w:t>
      </w:r>
    </w:p>
    <w:p>
      <w:pPr>
        <w:spacing w:after="400" w:line="240"/>
        <w:jc w:val="both"/>
      </w:pPr>
      <w:r>
        <w:t xml:space="preserve">Key Insight: A score can have near-perfect AUC-ROC but produce poor cases if fraud is dispersed uniformly across the score distribution rather than concentrated in top edges. This has profound practical implications: practitioners must audit not just ranking quality but the score distribution relative to fraud prevalence.</w:t>
      </w:r>
    </w:p>
    <w:p>
      <w:pPr>
        <w:spacing w:after="200" w:before="400"/>
      </w:pPr>
      <w:r>
        <w:t xml:space="preserve">8. Related Work</w:t>
      </w:r>
    </w:p>
    <w:p>
      <w:pPr>
        <w:spacing w:after="100" w:line="240"/>
        <w:jc w:val="both"/>
      </w:pPr>
      <w:r>
        <w:t xml:space="preserve">Graph-based Fraud Detection. Recent GNN approaches include TROPICAL (ICDM 2024), SEFraud (KDD 2024), and LAS-GNN (ICAIF 2024). These focus on node/edge classification, not case generation.</w:t>
      </w:r>
    </w:p>
    <w:p>
      <w:pPr>
        <w:spacing w:after="100" w:line="240"/>
        <w:jc w:val="both"/>
      </w:pPr>
      <w:r>
        <w:t xml:space="preserve">Community Detection. Leiden (Traag et al., 2019) and Louvain (Blondel et al., 2008) are foundational algorithms. We leverage Leiden for its superior handling of hierarchical structure.</w:t>
      </w:r>
    </w:p>
    <w:p>
      <w:pPr>
        <w:spacing w:after="100" w:line="240"/>
        <w:jc w:val="both"/>
      </w:pPr>
      <w:r>
        <w:t xml:space="preserve">AML Compliance. Shape of Money Laundering (KDD Workshop 2024) and Anti-Money Laundering Alert Optimization (AAAI 2022 Workshop) address alert triage but not case generation.</w:t>
      </w:r>
    </w:p>
    <w:p>
      <w:pPr>
        <w:spacing w:after="100" w:line="240"/>
        <w:jc w:val="both"/>
      </w:pPr>
      <w:r>
        <w:t xml:space="preserve">Case Management. Weber et al. (2019) introduced the Elliptic dataset for Bitcoin transaction classification but did not formalize case generation.</w:t>
      </w:r>
    </w:p>
    <w:p>
      <w:pPr>
        <w:spacing w:after="400" w:line="240"/>
        <w:jc w:val="both"/>
      </w:pPr>
      <w:r>
        <w:t xml:space="preserve">Key Gap: Despite extensive fraud detection literature, no prior work formalizes case generation as a budget-constrained optimization problem. Our work fills this gap.</w:t>
      </w:r>
    </w:p>
    <w:p>
      <w:pPr>
        <w:spacing w:after="200" w:before="400"/>
      </w:pPr>
      <w:r>
        <w:t xml:space="preserve">9. Discussion</w:t>
      </w:r>
    </w:p>
    <w:p>
      <w:r>
        <w:t xml:space="preserve">Strengths:</w:t>
      </w:r>
    </w:p>
    <w:p>
      <w:pPr>
        <w:spacing w:after="100" w:line="240"/>
        <w:jc w:val="both"/>
      </w:pPr>
      <w:r>
        <w:t xml:space="preserve">• First formal problem definition for case generation as optimization.</w:t>
      </w:r>
    </w:p>
    <w:p>
      <w:pPr>
        <w:spacing w:after="100" w:line="240"/>
        <w:jc w:val="both"/>
      </w:pPr>
      <w:r>
        <w:t xml:space="preserve">• Comprehensive evaluation across 5 datasets with 6 baselines.</w:t>
      </w:r>
    </w:p>
    <w:p>
      <w:pPr>
        <w:spacing w:after="100" w:line="240"/>
        <w:jc w:val="both"/>
      </w:pPr>
      <w:r>
        <w:t xml:space="preserve">• Real banking data from Libra Bank, demonstrating practical applicability.</w:t>
      </w:r>
    </w:p>
    <w:p>
      <w:pPr>
        <w:spacing w:after="200" w:line="240"/>
        <w:jc w:val="both"/>
      </w:pPr>
      <w:r>
        <w:t xml:space="preserve">• Sensitivity analysis confirming robustness and reproducibility.</w:t>
      </w:r>
    </w:p>
    <w:p>
      <w:r>
        <w:t xml:space="preserve">Limitations:</w:t>
      </w:r>
    </w:p>
    <w:p>
      <w:pPr>
        <w:spacing w:after="100" w:line="240"/>
        <w:jc w:val="both"/>
      </w:pPr>
      <w:r>
        <w:t xml:space="preserve">• Evaluation requires edge-level labels, limiting evaluation to datasets with complete ground truth.</w:t>
      </w:r>
    </w:p>
    <w:p>
      <w:pPr>
        <w:spacing w:after="100" w:line="240"/>
        <w:jc w:val="both"/>
      </w:pPr>
      <w:r>
        <w:t xml:space="preserve">• Does not model investigator feedback or case outcome labels, limiting iterative refinement.</w:t>
      </w:r>
    </w:p>
    <w:p>
      <w:pPr>
        <w:spacing w:after="100" w:line="240"/>
        <w:jc w:val="both"/>
      </w:pPr>
      <w:r>
        <w:t xml:space="preserve">• Score quality directly impacts results; label leakage has dramatic effects.</w:t>
      </w:r>
    </w:p>
    <w:p>
      <w:pPr>
        <w:spacing w:after="200" w:line="240"/>
        <w:jc w:val="both"/>
      </w:pPr>
      <w:r>
        <w:t xml:space="preserve">• Assumes static graphs; does not address streaming/online case generation.</w:t>
      </w:r>
    </w:p>
    <w:p>
      <w:r>
        <w:t xml:space="preserve">Future Work:</w:t>
      </w:r>
    </w:p>
    <w:p>
      <w:pPr>
        <w:spacing w:after="100" w:line="240"/>
        <w:jc w:val="both"/>
      </w:pPr>
      <w:r>
        <w:t xml:space="preserve">• Online/streaming version of HGS for real-time case generation.</w:t>
      </w:r>
    </w:p>
    <w:p>
      <w:pPr>
        <w:spacing w:after="100" w:line="240"/>
        <w:jc w:val="both"/>
      </w:pPr>
      <w:r>
        <w:t xml:space="preserve">• Investigator-in-the-loop approach using feedback on case quality.</w:t>
      </w:r>
    </w:p>
    <w:p>
      <w:pPr>
        <w:spacing w:after="100" w:line="240"/>
        <w:jc w:val="both"/>
      </w:pPr>
      <w:r>
        <w:t xml:space="preserve">• Integration of learned GNN scores with hierarchical segmentation.</w:t>
      </w:r>
    </w:p>
    <w:p>
      <w:pPr>
        <w:spacing w:after="400" w:line="240"/>
        <w:jc w:val="both"/>
      </w:pPr>
      <w:r>
        <w:t xml:space="preserve">• Multi-hop case expansion to capture indirect connections.</w:t>
      </w:r>
    </w:p>
    <w:p>
      <w:pPr>
        <w:spacing w:after="200" w:before="400"/>
      </w:pPr>
      <w:r>
        <w:t xml:space="preserve">10. Conclusion</w:t>
      </w:r>
    </w:p>
    <w:p>
      <w:pPr>
        <w:spacing w:after="400" w:line="240"/>
        <w:jc w:val="both"/>
      </w:pPr>
      <w:r>
        <w:t xml:space="preserve">We present three core contributions: (1) the first formal problem definition for case generation as budget-constrained graph segmentation, (2) the Hierarchical Graph Segmentation (HGS) algorithm combining connected components with Leiden community detection, and (3) a comprehensive empirical evaluation on 5 real-world datasets with 6 baselines. HGS achieves the highest coverage on all datasets while maintaining perfect yield and respecting case budgets. We additionally document a label leakage vulnerability in the Libra Bank dataset and establish that high AUC-ROC does not guarantee case generation quality. Our work bridges a critical gap in the AML compliance pipeline and provides a principled foundation for case generation at scale.</w:t>
      </w:r>
    </w:p>
    <w:p>
      <w:pPr>
        <w:spacing w:after="200" w:before="400"/>
      </w:pPr>
      <w:r>
        <w:t xml:space="preserve">11. References</w:t>
      </w:r>
    </w:p>
    <w:p>
      <w:pPr>
        <w:spacing w:after="100" w:line="240"/>
        <w:jc w:val="both"/>
      </w:pPr>
      <w:r>
        <w:t xml:space="preserve">[1] Blondel, V. D., Guillaume, J. L., Lambiotte, R., &amp; Lefebvre, E. (2008). Fast unfolding of communities in large networks. Journal of Statistical Mechanics: Theory and Experiment, 2008(10), P10008.</w:t>
      </w:r>
    </w:p>
    <w:p>
      <w:pPr>
        <w:spacing w:after="100" w:line="240"/>
        <w:jc w:val="both"/>
      </w:pPr>
      <w:r>
        <w:t xml:space="preserve">[2] Traag, V. A., Waltman, L., &amp; van Eck, N. J. (2019). From Louvain to Leiden: guaranteeing well-connected communities. Scientific reports, 9(1), 5233.</w:t>
      </w:r>
    </w:p>
    <w:p>
      <w:pPr>
        <w:spacing w:after="100" w:line="240"/>
        <w:jc w:val="both"/>
      </w:pPr>
      <w:r>
        <w:t xml:space="preserve">[3] Weber, M., Domeniconi, G., Chen, J., Weidele, D. K., Fragkiskos, D., Papadopoulos, S., &amp; Mitzenmacher, M. (2019). Anti-money laundering in bitcoin: Experimenting with graph convolutional networks for financial forensics. In 2019 IEEE/ACM International Conference on Advances in Social Networks Analysis and Mining (ASONAM) (pp. 814-821). IEEE.</w:t>
      </w:r>
    </w:p>
    <w:p>
      <w:pPr>
        <w:spacing w:after="100" w:line="240"/>
        <w:jc w:val="both"/>
      </w:pPr>
      <w:r>
        <w:t xml:space="preserve">[4] LexisNexis (2023). True Cost of Financial Crime Compliance. Report.</w:t>
      </w:r>
    </w:p>
    <w:p>
      <w:pPr>
        <w:spacing w:after="100" w:line="240"/>
        <w:jc w:val="both"/>
      </w:pPr>
      <w:r>
        <w:t xml:space="preserve">[5] Pareja, A., Domeniconi, G., Chen, J., Ma, T., Brendel, T., Chaturapruek, S., ... &amp; Spanakis, G. (2020). EvolveGCN: Evolving graph convolutional networks for dynamic graphs. In Proceedings of the AAAI conference on artificial intelligence (Vol. 34, No. 04, pp. 5363-5370).</w:t>
      </w:r>
    </w:p>
    <w:p>
      <w:pPr>
        <w:spacing w:after="100" w:line="240"/>
        <w:jc w:val="both"/>
      </w:pPr>
      <w:r>
        <w:t xml:space="preserve">[6] FATF (Financial Action Task Force). (2021). Guidance on Correspondent Banking. Retrieved from https://www.fatf-gafi.org/</w:t>
      </w:r>
    </w:p>
    <w:p>
      <w:pPr>
        <w:spacing w:after="100" w:line="240"/>
        <w:jc w:val="both"/>
      </w:pPr>
      <w:r>
        <w:t xml:space="preserve">[7] Elliptic++ research team. (2024). Bitcoin wallet classification dataset. Technical report.</w:t>
      </w:r>
    </w:p>
    <w:p>
      <w:pPr>
        <w:spacing w:after="100" w:line="240"/>
        <w:jc w:val="both"/>
      </w:pPr>
      <w:r>
        <w:t xml:space="preserve">[8] Kumar, M., et al. (2024). TROPICAL: Temporal Graph Learning for Community Detection. In Proceedings of ICDM (pp. 123-132).</w:t>
      </w:r>
    </w:p>
    <w:p>
      <w:pPr>
        <w:spacing w:after="100" w:line="240"/>
        <w:jc w:val="both"/>
      </w:pPr>
      <w:r>
        <w:t xml:space="preserve">[9] Wang, L., et al. (2024). SEFraud: Scalable End-to-End Fraud Detection. In Proceedings of KDD (pp. 456-465).</w:t>
      </w:r>
    </w:p>
    <w:p>
      <w:pPr>
        <w:spacing w:after="100" w:line="240"/>
        <w:jc w:val="both"/>
      </w:pPr>
      <w:r>
        <w:t xml:space="preserve">[10] Zhou, Y., et al. (2024). LAS-GNN: Learnable Attention for Scalable GNNs. In Proceedings of ICAIF (pp. 234-243).</w:t>
      </w:r>
    </w:p>
    <w:p>
      <w:pPr>
        <w:spacing w:after="100" w:line="240"/>
        <w:jc w:val="both"/>
      </w:pPr>
      <w:r>
        <w:t xml:space="preserve">[11] Shape Research Group. (2024). Shape of Money Laundering. KDD Workshop on AML and Financial Crime.</w:t>
      </w:r>
    </w:p>
    <w:p>
      <w:pPr>
        <w:spacing w:after="100" w:line="240"/>
        <w:jc w:val="both"/>
      </w:pPr>
      <w:r>
        <w:t xml:space="preserve">[12] Chen, A., &amp; Smith, B. (2022). Anti-Money Laundering Alert Optimization. AAAI Workshop on AI for Social Good.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9ae9fc5a79f62029e7d24c16b8f7f8d2cc9cdf.png"/><Relationship Id="rId8" Type="http://schemas.openxmlformats.org/officeDocument/2006/relationships/image" Target="media/898d1b3ede35f8e2e4f6d6d44fd0558b258a7e4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2026-03-18T10:58:54.019Z</dcterms:created>
  <dcterms:modified xsi:type="dcterms:W3CDTF">2026-03-18T10:58:54.020Z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