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rPr>
          <w:rFonts w:ascii="Arial" w:cs="Arial" w:eastAsia="Arial" w:hAnsi="Arial"/>
          <w:color w:val="1A252F"/>
          <w:sz w:val="36"/>
          <w:szCs w:val="36"/>
        </w:rPr>
      </w:pPr>
      <w:r>
        <w:rPr>
          <w:b/>
          <w:bCs/>
        </w:rPr>
        <w:t xml:space="preserve">BTCS: Hierarchical Graph Segmentation for Anti-Money Laundering Case Generation</w:t>
      </w:r>
    </w:p>
    <w:p>
      <w:pPr>
        <w:spacing w:after="40"/>
        <w:jc w:val="center"/>
      </w:pPr>
      <w:r>
        <w:rPr>
          <w:i/>
          <w:iCs/>
          <w:color w:val="34495E"/>
          <w:sz w:val="22"/>
          <w:szCs w:val="22"/>
        </w:rPr>
        <w:t xml:space="preserve">Andre da Costa Silva</w:t>
      </w:r>
    </w:p>
    <w:p>
      <w:pPr>
        <w:spacing w:after="40"/>
        <w:jc w:val="center"/>
      </w:pPr>
      <w:r>
        <w:rPr>
          <w:color w:val="555555"/>
          <w:sz w:val="20"/>
          <w:szCs w:val="20"/>
        </w:rPr>
        <w:t xml:space="preserve">Instituto Tecnológico de Aeronáutica (ITA) / Lend Technology</w:t>
      </w:r>
    </w:p>
    <w:p>
      <w:pPr>
        <w:spacing w:after="360"/>
        <w:jc w:val="center"/>
      </w:pPr>
      <w:r>
        <w:rPr>
          <w:color w:val="2980B9"/>
          <w:sz w:val="20"/>
          <w:szCs w:val="20"/>
        </w:rPr>
        <w:t xml:space="preserve">andre.silva@lend.tech</w:t>
      </w:r>
    </w:p>
    <w:p>
      <w:pPr>
        <w:spacing w:after="0"/>
        <w:rPr>
          <w:sz w:val="20"/>
          <w:szCs w:val="20"/>
        </w:rPr>
      </w:pPr>
      <w:r>
        <w:rPr>
          <w:b/>
          <w:bCs/>
        </w:rPr>
        <w:t xml:space="preserve">Abstract — </w:t>
      </w:r>
    </w:p>
    <w:p>
      <w:pPr>
        <w:pBdr>
          <w:top w:val="single" w:color="2C3E50" w:sz="4" w:space="4"/>
          <w:left w:val="single" w:color="2980B9" w:sz="24" w:space="8"/>
          <w:bottom w:val="single" w:color="2C3E50" w:sz="4" w:space="4"/>
        </w:pBdr>
        <w:spacing w:after="60"/>
        <w:ind w:left="300" w:right="300"/>
        <w:jc w:val="both"/>
      </w:pPr>
      <w:r>
        <w:rPr>
          <w:rFonts w:ascii="Arial" w:cs="Arial" w:eastAsia="Arial" w:hAnsi="Arial"/>
          <w:sz w:val="20"/>
          <w:szCs w:val="20"/>
        </w:rPr>
        <w:t xml:space="preserve">Anti-money laundering (AML) compliance systems generate thousands of alerts per day, overwhelming human analysts who must investigate them. A critical but underexplored challenge is grouping these alerts into coherent investigation cases. We present BTCS (Bitcoin-Transaction Case Segmentation), a hierarchical graph algorithm that combines Weakly Connected Components (WCC) decomposition with the Leiden community detection algorithm inside temporally windowed large components. BTCS operates in O(K log K) time on a top-K suspicious subgraph and enforces analyst-friendly case budgets. We evaluate on 13 benchmark datasets spanning real-world bank transactions, public financial fraud graphs, and synthetic AML graphs. BTCS achieves Yield@100 of 1.000 on 6 of 9 fraud benchmark datasets and 0.864 on the real Libra Bank dataset (597K edges, AUC-ROC score = 1.000), while running 200× faster than greedy expansion (3.8s vs. 716s). An ablation study on four datasets demonstrates that both WCC pre-segmentation and temporal Leiden subdivision are necessary: WCC alone produces analyst-unworkable cases with up to 44,084 edges, while flat Leiden destroys score ordering, reducing Yield@100 from 1.000 to 0.350. Results are stable across five random seeds (σ ≤ 0.020). BTCS enables practical, auditable AML investigation workflows at scale.</w:t>
      </w:r>
    </w:p>
    <w:p>
      <w:pPr>
        <w:spacing w:after="360" w:before="60"/>
        <w:ind w:left="300" w:right="300"/>
      </w:pPr>
      <w:r>
        <w:rPr>
          <w:b/>
          <w:bCs/>
        </w:rPr>
        <w:t xml:space="preserve">Keywords: </w:t>
      </w:r>
      <w:r>
        <w:rPr>
          <w:i/>
          <w:iCs/>
        </w:rPr>
        <w:t xml:space="preserve">anti-money laundering, graph community detection, case segmentation, Leiden algorithm, financial fraud, suspicious activity report</w:t>
      </w:r>
    </w:p>
    <w:p>
      <w:pPr>
        <w:pStyle w:val="Heading1"/>
        <w:spacing w:after="120" w:before="280"/>
      </w:pPr>
      <w:r>
        <w:rPr>
          <w:b/>
          <w:bCs/>
        </w:rPr>
        <w:t xml:space="preserve">I. INTRODUCTION</w:t>
      </w:r>
    </w:p>
    <w:p>
      <w:pPr>
        <w:spacing w:after="120"/>
        <w:jc w:val="both"/>
      </w:pPr>
      <w:r>
        <w:rPr>
          <w:rFonts w:ascii="Arial" w:cs="Arial" w:eastAsia="Arial" w:hAnsi="Arial"/>
          <w:sz w:val="20"/>
          <w:szCs w:val="20"/>
        </w:rPr>
        <w:t xml:space="preserve">Anti-money laundering compliance is one of the most resource-intensive challenges in the financial sector. Banks worldwide spend over $270 billion annually on AML compliance [1], with a large fraction dedicated to manual investigation of automatically generated alerts. Transaction monitoring systems flag millions of transactions per year, yet financial institutions estimate that 90–99% of these alerts are false positives [2]. The result is an overwhelming alert backlog that forces analysts to rapidly triage hundreds of cases per day with minimal context.</w:t>
      </w:r>
    </w:p>
    <w:p>
      <w:pPr>
        <w:spacing w:after="120"/>
        <w:jc w:val="both"/>
      </w:pPr>
      <w:r>
        <w:rPr>
          <w:rFonts w:ascii="Arial" w:cs="Arial" w:eastAsia="Arial" w:hAnsi="Arial"/>
          <w:sz w:val="20"/>
          <w:szCs w:val="20"/>
        </w:rPr>
        <w:t xml:space="preserve">A fundamental but underexplored problem in this pipeline is case generation: the task of grouping individual suspicious transaction alerts into coherent, analyst-workable investigation cases. Poor case grouping forces analysts to either examine isolated transactions without context (missed laundering rings) or face massive cases with thousands of transactions that exceed investigative capacity. The current industry practice relies primarily on simple graph connectivity (Weakly Connected Components, WCC) or rule-based aggregation, both of which produce suboptimal results for different reasons: WCC creates arbitrarily large cases when a single account participates in many transactions, while rule-based approaches fail to capture emergent laundering patterns.</w:t>
      </w:r>
    </w:p>
    <w:p>
      <w:pPr>
        <w:spacing w:after="120"/>
        <w:jc w:val="both"/>
      </w:pPr>
      <w:r>
        <w:rPr>
          <w:rFonts w:ascii="Arial" w:cs="Arial" w:eastAsia="Arial" w:hAnsi="Arial"/>
          <w:sz w:val="20"/>
          <w:szCs w:val="20"/>
        </w:rPr>
        <w:t xml:space="preserve">In this paper, we propose BTCS (Bitcoin-Transaction Case Segmentation), a hierarchical graph segmentation algorithm designed specifically for AML case generation. Given a transaction graph with risk scores, BTCS: (1) builds a subgraph G_K of the top-K highest-scored edges, (2) decomposes it into Weakly Connected Components to isolate structurally separate clusters, and (3) applies the Leiden community detection algorithm [3] within temporally windowed large components to further subdivide them into analyst-workable cases. The result is a set of cases, each with at most B = 100 induced transactions, preserving the score ordering that allows analysts to prioritize the most suspicious cases first.</w:t>
      </w:r>
    </w:p>
    <w:p>
      <w:pPr>
        <w:spacing w:after="120"/>
        <w:jc w:val="both"/>
      </w:pPr>
      <w:r>
        <w:rPr>
          <w:rFonts w:ascii="Arial" w:cs="Arial" w:eastAsia="Arial" w:hAnsi="Arial"/>
          <w:sz w:val="20"/>
          <w:szCs w:val="20"/>
        </w:rPr>
        <w:t xml:space="preserve">Our key contributions are:</w:t>
      </w:r>
    </w:p>
    <w:p>
      <w:pPr>
        <w:pStyle w:val="ListParagraph"/>
        <w:numPr>
          <w:ilvl w:val="0"/>
          <w:numId w:val="2"/>
        </w:numPr>
        <w:spacing w:after="80"/>
      </w:pPr>
      <w:r>
        <w:rPr>
          <w:sz w:val="20"/>
          <w:szCs w:val="20"/>
        </w:rPr>
        <w:t xml:space="preserve">A hierarchical graph segmentation algorithm (BTCS v3) combining WCC decomposition and Leiden community detection with O(K log K) complexity — two orders of magnitude faster than O(K²N) greedy expansion.</w:t>
      </w:r>
    </w:p>
    <w:p>
      <w:pPr>
        <w:pStyle w:val="ListParagraph"/>
        <w:numPr>
          <w:ilvl w:val="0"/>
          <w:numId w:val="2"/>
        </w:numPr>
        <w:spacing w:after="80"/>
      </w:pPr>
      <w:r>
        <w:rPr>
          <w:sz w:val="20"/>
          <w:szCs w:val="20"/>
        </w:rPr>
        <w:t xml:space="preserve">A new operational metric, Yield@100, measuring the fraction of fraud among the first 100 edges an analyst opens — directly aligned with investigator workflows and AUC Purity for ranking quality assessment.</w:t>
      </w:r>
    </w:p>
    <w:p>
      <w:pPr>
        <w:pStyle w:val="ListParagraph"/>
        <w:numPr>
          <w:ilvl w:val="0"/>
          <w:numId w:val="2"/>
        </w:numPr>
        <w:spacing w:after="80"/>
      </w:pPr>
      <w:r>
        <w:rPr>
          <w:sz w:val="20"/>
          <w:szCs w:val="20"/>
        </w:rPr>
        <w:t xml:space="preserve">Evaluation on 13 benchmark datasets including a real anonymized bank dataset (Libra Bank, 597K edges, 0.074% fraud prevalence) and two abstraction levels of the Bitcoin Elliptic++ dataset (transaction and wallet graphs).</w:t>
      </w:r>
    </w:p>
    <w:p>
      <w:pPr>
        <w:pStyle w:val="ListParagraph"/>
        <w:numPr>
          <w:ilvl w:val="0"/>
          <w:numId w:val="2"/>
        </w:numPr>
        <w:spacing w:after="240"/>
      </w:pPr>
      <w:r>
        <w:rPr>
          <w:sz w:val="20"/>
          <w:szCs w:val="20"/>
        </w:rPr>
        <w:t xml:space="preserve">A formal ablation study on four datasets confirming the necessity of both WCC pre-segmentation and Leiden subdivision, plus a five-seed stability analysis demonstrating near-deterministic results (σ ≤ 0.020).</w:t>
      </w:r>
    </w:p>
    <w:p>
      <w:pPr>
        <w:pStyle w:val="Heading1"/>
        <w:spacing w:after="120" w:before="280"/>
      </w:pPr>
      <w:r>
        <w:rPr>
          <w:b/>
          <w:bCs/>
        </w:rPr>
        <w:t xml:space="preserve">II. RELATED WORK</w:t>
      </w:r>
    </w:p>
    <w:p>
      <w:pPr>
        <w:pStyle w:val="Heading2"/>
        <w:spacing w:after="80" w:before="200"/>
      </w:pPr>
      <w:r>
        <w:rPr>
          <w:b/>
          <w:bCs/>
        </w:rPr>
        <w:t xml:space="preserve">II-A A. Graph-Based Fraud Detection</w:t>
      </w:r>
    </w:p>
    <w:p>
      <w:pPr>
        <w:spacing w:after="120"/>
        <w:jc w:val="both"/>
      </w:pPr>
      <w:r>
        <w:rPr>
          <w:rFonts w:ascii="Arial" w:cs="Arial" w:eastAsia="Arial" w:hAnsi="Arial"/>
          <w:sz w:val="20"/>
          <w:szCs w:val="20"/>
        </w:rPr>
        <w:t xml:space="preserve">Graph neural networks (GNNs) have achieved state-of-the-art performance on transaction fraud detection benchmarks. FRAUDRE [4] and GraphConsis [5] leverage heterogeneous graph structures, while temporal GNNs [6] model the sequential nature of transactions. However, these methods focus on the scoring problem — assigning a risk probability to each transaction — not on grouping scored transactions into analyst-actionable cases. BTCS is complementary to GNN-based scoring: it operates downstream, consuming any risk score as input.</w:t>
      </w:r>
    </w:p>
    <w:p>
      <w:pPr>
        <w:pStyle w:val="Heading2"/>
        <w:spacing w:after="80" w:before="200"/>
      </w:pPr>
      <w:r>
        <w:rPr>
          <w:b/>
          <w:bCs/>
        </w:rPr>
        <w:t xml:space="preserve">II-B B. Community Detection</w:t>
      </w:r>
    </w:p>
    <w:p>
      <w:pPr>
        <w:spacing w:after="120"/>
        <w:jc w:val="both"/>
      </w:pPr>
      <w:r>
        <w:rPr>
          <w:rFonts w:ascii="Arial" w:cs="Arial" w:eastAsia="Arial" w:hAnsi="Arial"/>
          <w:sz w:val="20"/>
          <w:szCs w:val="20"/>
        </w:rPr>
        <w:t xml:space="preserve">Community detection algorithms partition graph nodes into densely connected groups. The Louvain algorithm [7] optimizes modularity and runs in O(n log n) time but can produce communities of unbounded size. The Leiden algorithm [3] improves on Louvain with guaranteed connectivity within communities and is used as the subdivision step in BTCS. Random walk-based methods (e.g., Walktrap [8]) and spectral methods are generally too slow for the large subgraphs encountered in AML pipelines.</w:t>
      </w:r>
    </w:p>
    <w:p>
      <w:pPr>
        <w:pStyle w:val="Heading2"/>
        <w:spacing w:after="80" w:before="200"/>
      </w:pPr>
      <w:r>
        <w:rPr>
          <w:b/>
          <w:bCs/>
        </w:rPr>
        <w:t xml:space="preserve">II-C C. AML Case Management</w:t>
      </w:r>
    </w:p>
    <w:p>
      <w:pPr>
        <w:spacing w:after="120"/>
        <w:jc w:val="both"/>
      </w:pPr>
      <w:r>
        <w:rPr>
          <w:rFonts w:ascii="Arial" w:cs="Arial" w:eastAsia="Arial" w:hAnsi="Arial"/>
          <w:sz w:val="20"/>
          <w:szCs w:val="20"/>
        </w:rPr>
        <w:t xml:space="preserve">Commercial AML platforms (Actimize, SAS, NICE Actimize) group alerts using rule-based clustering or simple graph connectivity. IBM AMLSim [9] provides a synthetic simulation framework for AML transactions but does not address case generation. The closest academic work is [10], which uses network analytics for suspicious activity report clustering, but operates at the network level without analyst budget constraints. To our knowledge, BTCS is the first algorithm to formalize and solve the AML case generation problem with explicit budget constraints and operational metrics.</w:t>
      </w:r>
    </w:p>
    <w:p>
      <w:pPr>
        <w:pStyle w:val="Heading1"/>
        <w:spacing w:after="120" w:before="280"/>
      </w:pPr>
      <w:r>
        <w:rPr>
          <w:b/>
          <w:bCs/>
        </w:rPr>
        <w:t xml:space="preserve">III. PROBLEM FORMULATION</w:t>
      </w:r>
    </w:p>
    <w:p>
      <w:pPr>
        <w:spacing w:after="120"/>
        <w:jc w:val="both"/>
      </w:pPr>
      <w:r>
        <w:rPr>
          <w:rFonts w:ascii="Arial" w:cs="Arial" w:eastAsia="Arial" w:hAnsi="Arial"/>
          <w:sz w:val="20"/>
          <w:szCs w:val="20"/>
        </w:rPr>
        <w:t xml:space="preserve">Let G = (V, E, w, y, t) be a directed weighted multigraph where V is the set of financial entities (accounts, addresses), E ⊆ V × V is the set of transactions, w: E → ℝ+ is a risk score assigned by an upstream scoring model, y: E → {0,1} is the ground-truth fraud label, and t: E → ℕ is the transaction timestamp.</w:t>
      </w:r>
    </w:p>
    <w:p>
      <w:pPr>
        <w:spacing w:after="120"/>
        <w:jc w:val="both"/>
      </w:pPr>
      <w:r>
        <w:rPr>
          <w:rFonts w:ascii="Arial" w:cs="Arial" w:eastAsia="Arial" w:hAnsi="Arial"/>
          <w:sz w:val="20"/>
          <w:szCs w:val="20"/>
        </w:rPr>
        <w:t xml:space="preserve">Given a budget parameter k ∈ (0,1] and analyst workload budget B ∈ ℕ, we define the suspicious subgraph G_K by taking the top-K = ⌈k·|E|⌉ edges by risk score. A case c = (S_c, I_c) consists of a set of seed edges S_c ⊆ E(G_K) and induced edges I_c = {e ∈ E(G) : both endpoints of e appear in V(S_c)}, subject to |I_c| ≤ B.</w:t>
      </w:r>
    </w:p>
    <w:p>
      <w:pPr>
        <w:spacing w:after="120"/>
        <w:jc w:val="both"/>
      </w:pPr>
      <w:r>
        <w:rPr>
          <w:rFonts w:ascii="Arial" w:cs="Arial" w:eastAsia="Arial" w:hAnsi="Arial"/>
          <w:sz w:val="20"/>
          <w:szCs w:val="20"/>
        </w:rPr>
        <w:t xml:space="preserve">Given a partition C = {c₁, ..., c_m} of G_K into cases, we define:</w:t>
      </w:r>
    </w:p>
    <w:p>
      <w:pPr>
        <w:pStyle w:val="ListParagraph"/>
        <w:numPr>
          <w:ilvl w:val="0"/>
          <w:numId w:val="2"/>
        </w:numPr>
        <w:spacing w:after="80"/>
      </w:pPr>
      <w:r>
        <w:rPr>
          <w:b/>
          <w:bCs/>
        </w:rPr>
        <w:t xml:space="preserve">Coverage: </w:t>
      </w:r>
      <w:r>
        <w:rPr>
          <w:sz w:val="20"/>
          <w:szCs w:val="20"/>
        </w:rPr>
        <w:t xml:space="preserve">Cov(C) = |⋃ᵢ {e ∈ Iᵢ : y(e)=1}| / |{e ∈ E : y(e)=1}|, the fraction of all ground-truth fraud edges that appear in at least one case.</w:t>
      </w:r>
    </w:p>
    <w:p>
      <w:pPr>
        <w:pStyle w:val="ListParagraph"/>
        <w:numPr>
          <w:ilvl w:val="0"/>
          <w:numId w:val="2"/>
        </w:numPr>
        <w:spacing w:after="80"/>
      </w:pPr>
      <w:r>
        <w:rPr>
          <w:b/>
          <w:bCs/>
        </w:rPr>
        <w:t xml:space="preserve">Yield@100 (H1): </w:t>
      </w:r>
      <w:r>
        <w:rPr>
          <w:sz w:val="20"/>
          <w:szCs w:val="20"/>
        </w:rPr>
        <w:t xml:space="preserve">The fraction of fraud edges among the first 100 edges examined by an analyst following cases ranked by descending average seed score. Operationally, this measures how useful the first hour of investigation is.</w:t>
      </w:r>
    </w:p>
    <w:p>
      <w:pPr>
        <w:pStyle w:val="ListParagraph"/>
        <w:numPr>
          <w:ilvl w:val="0"/>
          <w:numId w:val="2"/>
        </w:numPr>
        <w:spacing w:after="240"/>
      </w:pPr>
      <w:r>
        <w:rPr>
          <w:b/>
          <w:bCs/>
        </w:rPr>
        <w:t xml:space="preserve">AUC Purity: </w:t>
      </w:r>
      <w:r>
        <w:rPr>
          <w:sz w:val="20"/>
          <w:szCs w:val="20"/>
        </w:rPr>
        <w:t xml:space="preserve">Area under the cumulative purity curve — the average precision across all cases when opened in score order. Analogous to Average Precision in information retrieval.</w:t>
      </w:r>
    </w:p>
    <w:p>
      <w:pPr>
        <w:spacing w:after="120"/>
        <w:jc w:val="both"/>
      </w:pPr>
      <w:r>
        <w:rPr>
          <w:rFonts w:ascii="Arial" w:cs="Arial" w:eastAsia="Arial" w:hAnsi="Arial"/>
          <w:sz w:val="20"/>
          <w:szCs w:val="20"/>
        </w:rPr>
        <w:t xml:space="preserve">The case generation problem is: given G_K, produce a partition C that maximizes Yield@100 and Coverage while keeping |Iᵢ| ≤ B for all i.</w:t>
      </w:r>
    </w:p>
    <w:p>
      <w:pPr>
        <w:pStyle w:val="Heading1"/>
        <w:spacing w:after="120" w:before="280"/>
      </w:pPr>
      <w:r>
        <w:rPr>
          <w:b/>
          <w:bCs/>
        </w:rPr>
        <w:t xml:space="preserve">IV. BTCS ALGORITHM</w:t>
      </w:r>
    </w:p>
    <w:p>
      <w:pPr>
        <w:pStyle w:val="Heading2"/>
        <w:spacing w:after="80" w:before="200"/>
      </w:pPr>
      <w:r>
        <w:rPr>
          <w:b/>
          <w:bCs/>
        </w:rPr>
        <w:t xml:space="preserve">IV-A A. Overview</w:t>
      </w:r>
    </w:p>
    <w:p>
      <w:pPr>
        <w:spacing w:after="120"/>
        <w:jc w:val="both"/>
      </w:pPr>
      <w:r>
        <w:rPr>
          <w:rFonts w:ascii="Arial" w:cs="Arial" w:eastAsia="Arial" w:hAnsi="Arial"/>
          <w:sz w:val="20"/>
          <w:szCs w:val="20"/>
        </w:rPr>
        <w:t xml:space="preserve">BTCS v3 (Bitcoin-Transaction Case Segmentation, version 3) operates in three phases on the suspicious subgraph G_K. The key insight is that WCC decomposition provides a high-quality macro-partition (separate laundering rings are disconnected), while Leiden provides fine-grained subdivision within large, complex rings where WCC alone would produce unwieldy cases.</w:t>
      </w:r>
    </w:p>
    <w:p>
      <w:pPr>
        <w:pStyle w:val="Heading2"/>
        <w:spacing w:after="80" w:before="200"/>
      </w:pPr>
      <w:r>
        <w:rPr>
          <w:b/>
          <w:bCs/>
        </w:rPr>
        <w:t xml:space="preserve">IV-B B. Phase 1: Top-K Subgraph Construction</w:t>
      </w:r>
    </w:p>
    <w:p>
      <w:pPr>
        <w:spacing w:after="120"/>
        <w:jc w:val="both"/>
      </w:pPr>
      <w:r>
        <w:rPr>
          <w:rFonts w:ascii="Arial" w:cs="Arial" w:eastAsia="Arial" w:hAnsi="Arial"/>
          <w:sz w:val="20"/>
          <w:szCs w:val="20"/>
        </w:rPr>
        <w:t xml:space="preserve">Given risk scores w, we select the K = ⌈k·|E|⌉ highest-scored edges to form G_K. This step is O(|E| log |E|) for the sort, or O(|E|) with a partition-based selection. Crucially, restricting to top-K ensures that only genuinely suspicious transactions enter the segmentation pipeline, preserving score monotonicity: higher-ranked cases contain higher-scored edges.</w:t>
      </w:r>
    </w:p>
    <w:p>
      <w:pPr>
        <w:pStyle w:val="Heading2"/>
        <w:spacing w:after="80" w:before="200"/>
      </w:pPr>
      <w:r>
        <w:rPr>
          <w:b/>
          <w:bCs/>
        </w:rPr>
        <w:t xml:space="preserve">IV-C C. Phase 2: WCC Decomposition</w:t>
      </w:r>
    </w:p>
    <w:p>
      <w:pPr>
        <w:spacing w:after="120"/>
        <w:jc w:val="both"/>
      </w:pPr>
      <w:r>
        <w:rPr>
          <w:rFonts w:ascii="Arial" w:cs="Arial" w:eastAsia="Arial" w:hAnsi="Arial"/>
          <w:sz w:val="20"/>
          <w:szCs w:val="20"/>
        </w:rPr>
        <w:t xml:space="preserve">We compute the Weakly Connected Components of G_K in O(K) time using union-find. Components with |induced_edges| ≤ B are directly output as cases. Components exceeding the budget B are passed to Phase 3.</w:t>
      </w:r>
    </w:p>
    <w:p>
      <w:pPr>
        <w:spacing w:after="120"/>
        <w:jc w:val="both"/>
      </w:pPr>
      <w:r>
        <w:rPr>
          <w:rFonts w:ascii="Arial" w:cs="Arial" w:eastAsia="Arial" w:hAnsi="Arial"/>
          <w:sz w:val="20"/>
          <w:szCs w:val="20"/>
        </w:rPr>
        <w:t xml:space="preserve">This pre-segmentation is critical: structurally separate subgraphs (distinct laundering rings with no shared accounts) are isolated before community detection, preventing Leiden from merging unrelated activity.</w:t>
      </w:r>
    </w:p>
    <w:p>
      <w:pPr>
        <w:pStyle w:val="Heading2"/>
        <w:spacing w:after="80" w:before="200"/>
      </w:pPr>
      <w:r>
        <w:rPr>
          <w:b/>
          <w:bCs/>
        </w:rPr>
        <w:t xml:space="preserve">IV-D D. Phase 3: Temporal Leiden Subdivision</w:t>
      </w:r>
    </w:p>
    <w:p>
      <w:pPr>
        <w:spacing w:after="120"/>
        <w:jc w:val="both"/>
      </w:pPr>
      <w:r>
        <w:rPr>
          <w:rFonts w:ascii="Arial" w:cs="Arial" w:eastAsia="Arial" w:hAnsi="Arial"/>
          <w:sz w:val="20"/>
          <w:szCs w:val="20"/>
        </w:rPr>
        <w:t xml:space="preserve">For each large WCC component with |E_comp| &gt; B, we apply the Leiden algorithm [3] restricted to a temporal window L_k of the most recent transactions within the component. The temporal window prevents splitting contemporary transactions across different cases and is deactivated automatically when timestamps are unavailable (aggregated graphs).</w:t>
      </w:r>
    </w:p>
    <w:p>
      <w:pPr>
        <w:spacing w:after="120"/>
        <w:jc w:val="both"/>
      </w:pPr>
      <w:r>
        <w:rPr>
          <w:rFonts w:ascii="Arial" w:cs="Arial" w:eastAsia="Arial" w:hAnsi="Arial"/>
          <w:sz w:val="20"/>
          <w:szCs w:val="20"/>
        </w:rPr>
        <w:t xml:space="preserve">Leiden optimizes the RBConfiguration quality function with a resolution parameter γ = 1.0. Community detection runs on the component subgraph (not the full G_K), keeping complexity bounded. After subdivision, resulting sub-communities with |induced_edges| &gt; B are hard-capped by budget truncation.</w:t>
      </w:r>
    </w:p>
    <w:p>
      <w:pPr>
        <w:pStyle w:val="Heading2"/>
        <w:spacing w:after="80" w:before="200"/>
      </w:pPr>
      <w:r>
        <w:rPr>
          <w:b/>
          <w:bCs/>
        </w:rPr>
        <w:t xml:space="preserve">IV-E E. Complexity Analysis</w:t>
      </w:r>
    </w:p>
    <w:p>
      <w:pPr>
        <w:spacing w:after="120"/>
        <w:jc w:val="both"/>
      </w:pPr>
      <w:r>
        <w:rPr>
          <w:rFonts w:ascii="Arial" w:cs="Arial" w:eastAsia="Arial" w:hAnsi="Arial"/>
          <w:sz w:val="20"/>
          <w:szCs w:val="20"/>
        </w:rPr>
        <w:t xml:space="preserve">The total time complexity of BTCS is O(K log K) for sorting + O(K·α(K)) for union-find + O(K log K) for Leiden on large components (Leiden is near-linear). This compares favorably to Greedy Expansion (B3), which achieves O(K²·|V|) by iteratively recomputing frontier scores. At K = 30K edges (k=1% of Libra Bank), B3 requires 716 seconds vs. 3.8 seconds for BTCS — a 188× speedup.</w:t>
      </w:r>
    </w:p>
    <w:p>
      <w:pPr>
        <w:pStyle w:val="Heading2"/>
        <w:spacing w:after="80" w:before="200"/>
      </w:pPr>
      <w:r>
        <w:rPr>
          <w:b/>
          <w:bCs/>
        </w:rPr>
        <w:t xml:space="preserve">IV-F F. Algorithm Summary</w:t>
      </w:r>
    </w:p>
    <w:p>
      <w:pPr>
        <w:spacing w:after="120"/>
        <w:jc w:val="both"/>
      </w:pPr>
      <w:r>
        <w:rPr>
          <w:rFonts w:ascii="Arial" w:cs="Arial" w:eastAsia="Arial" w:hAnsi="Arial"/>
          <w:sz w:val="20"/>
          <w:szCs w:val="20"/>
        </w:rPr>
        <w:t xml:space="preserve">Algorithm 1: BTCS(G, w, k, B, γ, L_k, seed)</w:t>
      </w:r>
    </w:p>
    <w:p>
      <w:pPr>
        <w:spacing w:after="40"/>
      </w:pPr>
      <w:r>
        <w:rPr>
          <w:rFonts w:ascii="Courier New" w:cs="Courier New" w:eastAsia="Courier New" w:hAnsi="Courier New"/>
          <w:sz w:val="18"/>
          <w:szCs w:val="18"/>
        </w:rPr>
        <w:t xml:space="preserve">   Input: G=(V,E,w,y,t), budget fraction k, case budget B, resolution γ, temporal window L_k</w:t>
      </w:r>
    </w:p>
    <w:p>
      <w:pPr>
        <w:spacing w:after="40"/>
      </w:pPr>
      <w:r>
        <w:rPr>
          <w:rFonts w:ascii="Courier New" w:cs="Courier New" w:eastAsia="Courier New" w:hAnsi="Courier New"/>
          <w:sz w:val="18"/>
          <w:szCs w:val="18"/>
        </w:rPr>
        <w:t xml:space="preserve">   1. Sort E by w descending; select top K = ⌈k|E|⌉ edges → G_K</w:t>
      </w:r>
    </w:p>
    <w:p>
      <w:pPr>
        <w:spacing w:after="40"/>
      </w:pPr>
      <w:r>
        <w:rPr>
          <w:rFonts w:ascii="Courier New" w:cs="Courier New" w:eastAsia="Courier New" w:hAnsi="Courier New"/>
          <w:sz w:val="18"/>
          <w:szCs w:val="18"/>
        </w:rPr>
        <w:t xml:space="preserve">   2. Compute WCC(G_K) via union-find</w:t>
      </w:r>
    </w:p>
    <w:p>
      <w:pPr>
        <w:spacing w:after="40"/>
      </w:pPr>
      <w:r>
        <w:rPr>
          <w:rFonts w:ascii="Courier New" w:cs="Courier New" w:eastAsia="Courier New" w:hAnsi="Courier New"/>
          <w:sz w:val="18"/>
          <w:szCs w:val="18"/>
        </w:rPr>
        <w:t xml:space="preserve">   3. For each WCC C with |ind(C)| ≤ B: output as case</w:t>
      </w:r>
    </w:p>
    <w:p>
      <w:pPr>
        <w:spacing w:after="40"/>
      </w:pPr>
      <w:r>
        <w:rPr>
          <w:rFonts w:ascii="Courier New" w:cs="Courier New" w:eastAsia="Courier New" w:hAnsi="Courier New"/>
          <w:sz w:val="18"/>
          <w:szCs w:val="18"/>
        </w:rPr>
        <w:t xml:space="preserve">   4. For each WCC C with |ind(C)| &gt; B:</w:t>
      </w:r>
    </w:p>
    <w:p>
      <w:pPr>
        <w:spacing w:after="40"/>
      </w:pPr>
      <w:r>
        <w:rPr>
          <w:rFonts w:ascii="Courier New" w:cs="Courier New" w:eastAsia="Courier New" w:hAnsi="Courier New"/>
          <w:sz w:val="18"/>
          <w:szCs w:val="18"/>
        </w:rPr>
        <w:t xml:space="preserve">      a. Filter to temporal window: C_t = {e ∈ C : t(e) ≥ max_t - L_k}</w:t>
      </w:r>
    </w:p>
    <w:p>
      <w:pPr>
        <w:spacing w:after="40"/>
      </w:pPr>
      <w:r>
        <w:rPr>
          <w:rFonts w:ascii="Courier New" w:cs="Courier New" w:eastAsia="Courier New" w:hAnsi="Courier New"/>
          <w:sz w:val="18"/>
          <w:szCs w:val="18"/>
        </w:rPr>
        <w:t xml:space="preserve">      b. Apply Leiden(C_t, γ, seed) → sub-communities</w:t>
      </w:r>
    </w:p>
    <w:p>
      <w:pPr>
        <w:spacing w:after="40"/>
      </w:pPr>
      <w:r>
        <w:rPr>
          <w:rFonts w:ascii="Courier New" w:cs="Courier New" w:eastAsia="Courier New" w:hAnsi="Courier New"/>
          <w:sz w:val="18"/>
          <w:szCs w:val="18"/>
        </w:rPr>
        <w:t xml:space="preserve">      c. Cap each sub-community at B induced edges</w:t>
      </w:r>
    </w:p>
    <w:p>
      <w:pPr>
        <w:spacing w:after="240"/>
      </w:pPr>
      <w:r>
        <w:rPr>
          <w:rFonts w:ascii="Courier New" w:cs="Courier New" w:eastAsia="Courier New" w:hAnsi="Courier New"/>
          <w:sz w:val="18"/>
          <w:szCs w:val="18"/>
        </w:rPr>
        <w:t xml:space="preserve">   5. Return case set C = {c₁, ..., c_m}</w:t>
      </w:r>
    </w:p>
    <w:p>
      <w:pPr>
        <w:pStyle w:val="Heading1"/>
        <w:spacing w:after="120" w:before="280"/>
      </w:pPr>
      <w:r>
        <w:rPr>
          <w:b/>
          <w:bCs/>
        </w:rPr>
        <w:t xml:space="preserve">V. EXPERIMENTAL EVALUATION</w:t>
      </w:r>
    </w:p>
    <w:p>
      <w:pPr>
        <w:pStyle w:val="Heading2"/>
        <w:spacing w:after="80" w:before="200"/>
      </w:pPr>
      <w:r>
        <w:rPr>
          <w:b/>
          <w:bCs/>
        </w:rPr>
        <w:t xml:space="preserve">V-A A. Datasets</w:t>
      </w:r>
    </w:p>
    <w:p>
      <w:pPr>
        <w:spacing w:after="120"/>
        <w:jc w:val="both"/>
      </w:pPr>
      <w:r>
        <w:rPr>
          <w:rFonts w:ascii="Arial" w:cs="Arial" w:eastAsia="Arial" w:hAnsi="Arial"/>
          <w:sz w:val="20"/>
          <w:szCs w:val="20"/>
        </w:rPr>
        <w:t xml:space="preserve">We evaluate on 13 datasets across three categories. Table I summarizes key statistics.</w:t>
      </w:r>
    </w:p>
    <w:p>
      <w:pPr>
        <w:spacing w:after="120"/>
        <w:jc w:val="both"/>
      </w:pPr>
      <w:r>
        <w:rPr>
          <w:rFonts w:ascii="Arial" w:cs="Arial" w:eastAsia="Arial" w:hAnsi="Arial"/>
          <w:sz w:val="20"/>
          <w:szCs w:val="20"/>
        </w:rPr>
        <w:t xml:space="preserve">(1) Public Financial Fraud Graphs: Elliptic Bitcoin (transaction-level, 234K edges, 3.5% illicit), Elliptic++ Bitcoin (wallet-level, 2.87M edges, 1.3% illicit, same blockchain — a genuinely different graph abstraction), Bitcoin-Alpha (24K edges, 6.6% negative trust), Bitcoin-OTC (36K edges, 5.3% negative), Amazon Review Fraud (4.4M edges, 4.8% fraud), Yelp Review Fraud (3.8M edges, 25.3% fraud), DGraph-Fin (4.3M edges, 1.3% fraud), T-Finance (42M edges sampled to 2M, 4.7% fraud).</w:t>
      </w:r>
    </w:p>
    <w:p>
      <w:pPr>
        <w:spacing w:after="120"/>
        <w:jc w:val="both"/>
      </w:pPr>
      <w:r>
        <w:rPr>
          <w:rFonts w:ascii="Arial" w:cs="Arial" w:eastAsia="Arial" w:hAnsi="Arial"/>
          <w:sz w:val="20"/>
          <w:szCs w:val="20"/>
        </w:rPr>
        <w:t xml:space="preserve">(2) Real Bank Data: Libra Bank (anonymized), 3 months of transactions, 597K edges, 385K accounts, 444 fraud edges (0.074% prevalence). Risk score: (nr_alerts + 5 × nr_reports) / (√nr_transactions + 1), achieving AUC-ROC = 1.000 on ground-truth labels.</w:t>
      </w:r>
    </w:p>
    <w:p>
      <w:pPr>
        <w:spacing w:after="120"/>
        <w:jc w:val="both"/>
      </w:pPr>
      <w:r>
        <w:rPr>
          <w:rFonts w:ascii="Arial" w:cs="Arial" w:eastAsia="Arial" w:hAnsi="Arial"/>
          <w:sz w:val="20"/>
          <w:szCs w:val="20"/>
        </w:rPr>
        <w:t xml:space="preserve">(3) Synthetic AML (IBM AMLSim): IBM-AML-100K (1.3M transactions), IBM-HI-Small (5.1M, 0.10% laundering), IBM-LI-Small (6.9M, 0.05% laundering). Note: heuristic scores cannot distinguish AMLSim structural patterns (fan-in/fan-out/cycles) — these datasets establish the need for GNN scoring (future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400"/>
        <w:gridCol w:w="1400"/>
        <w:gridCol w:w="2080"/>
      </w:tblGrid>
      <w:tr>
        <w:trPr>
          <w:tblHeader/>
        </w:trPr>
        <w:tc>
          <w:tcPr>
            <w:tcW w:type="dxa" w:w="22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Dataset</w:t>
            </w:r>
          </w:p>
        </w:tc>
        <w:tc>
          <w:tcPr>
            <w:tcW w:type="dxa" w:w="15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|E|</w:t>
            </w:r>
          </w:p>
        </w:tc>
        <w:tc>
          <w:tcPr>
            <w:tcW w:type="dxa" w:w="15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|V|</w:t>
            </w:r>
          </w:p>
        </w:tc>
        <w:tc>
          <w:tcPr>
            <w:tcW w:type="dxa" w:w="14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Fraud%</w:t>
            </w:r>
          </w:p>
        </w:tc>
        <w:tc>
          <w:tcPr>
            <w:tcW w:type="dxa" w:w="14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Type</w:t>
            </w:r>
          </w:p>
        </w:tc>
        <w:tc>
          <w:tcPr>
            <w:tcW w:type="dxa" w:w="208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Source</w:t>
            </w:r>
          </w:p>
        </w:tc>
      </w:tr>
      <w:tr>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Elliptic (BTC tx)</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234K</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203K</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3.5%</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Fraud</w:t>
            </w:r>
          </w:p>
        </w:tc>
        <w:tc>
          <w:tcPr>
            <w:tcW w:type="dxa" w:w="2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Weber et al. 2019</w:t>
            </w:r>
          </w:p>
        </w:tc>
      </w:tr>
      <w:tr>
        <w:tc>
          <w:tcPr>
            <w:tcW w:type="dxa" w:w="2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Elliptic++ (wallet)</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2.87M</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823K</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1.3%</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Fraud</w:t>
            </w:r>
          </w:p>
        </w:tc>
        <w:tc>
          <w:tcPr>
            <w:tcW w:type="dxa" w:w="2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Poursafaei et al. 2023</w:t>
            </w:r>
          </w:p>
        </w:tc>
      </w:tr>
      <w:tr>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Bitcoin-OTC</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36K</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5.9K</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5.3%</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Fraud</w:t>
            </w:r>
          </w:p>
        </w:tc>
        <w:tc>
          <w:tcPr>
            <w:tcW w:type="dxa" w:w="2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Kumar et al. 2018</w:t>
            </w:r>
          </w:p>
        </w:tc>
      </w:tr>
      <w:tr>
        <w:tc>
          <w:tcPr>
            <w:tcW w:type="dxa" w:w="2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Amazon Review</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4.4M</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11.9K</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4.8%</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Fraud</w:t>
            </w:r>
          </w:p>
        </w:tc>
        <w:tc>
          <w:tcPr>
            <w:tcW w:type="dxa" w:w="2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McAuley &amp; Leskovec</w:t>
            </w:r>
          </w:p>
        </w:tc>
      </w:tr>
      <w:tr>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Yelp Review</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3.8M</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45.9K</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25.3%</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Fraud</w:t>
            </w:r>
          </w:p>
        </w:tc>
        <w:tc>
          <w:tcPr>
            <w:tcW w:type="dxa" w:w="2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Rayana &amp; Akoglu</w:t>
            </w:r>
          </w:p>
        </w:tc>
      </w:tr>
      <w:tr>
        <w:tc>
          <w:tcPr>
            <w:tcW w:type="dxa" w:w="2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DGraph-Fin</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4.3M</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3.7M</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1.3%</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Fraud</w:t>
            </w:r>
          </w:p>
        </w:tc>
        <w:tc>
          <w:tcPr>
            <w:tcW w:type="dxa" w:w="2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Huang et al. 2022</w:t>
            </w:r>
          </w:p>
        </w:tc>
      </w:tr>
      <w:tr>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T-Finance (2M*)</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2M*</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4.7%</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Fraud</w:t>
            </w:r>
          </w:p>
        </w:tc>
        <w:tc>
          <w:tcPr>
            <w:tcW w:type="dxa" w:w="2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Tang et al. 2022</w:t>
            </w:r>
          </w:p>
        </w:tc>
      </w:tr>
      <w:tr>
        <w:tc>
          <w:tcPr>
            <w:tcW w:type="dxa" w:w="2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Libra Bank (real)</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597K</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385K</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0.07%</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AML</w:t>
            </w:r>
          </w:p>
        </w:tc>
        <w:tc>
          <w:tcPr>
            <w:tcW w:type="dxa" w:w="2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Anonymized</w:t>
            </w:r>
          </w:p>
        </w:tc>
      </w:tr>
      <w:tr>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IBM-AML-100K</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1.3M</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0.11%</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AML</w:t>
            </w:r>
          </w:p>
        </w:tc>
        <w:tc>
          <w:tcPr>
            <w:tcW w:type="dxa" w:w="2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AMLSim/IBM</w:t>
            </w:r>
          </w:p>
        </w:tc>
      </w:tr>
      <w:tr>
        <w:tc>
          <w:tcPr>
            <w:tcW w:type="dxa" w:w="2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IBM-HI-Small</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5.1M</w:t>
            </w:r>
          </w:p>
        </w:tc>
        <w:tc>
          <w:tcPr>
            <w:tcW w:type="dxa" w:w="15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0.10%</w:t>
            </w:r>
          </w:p>
        </w:tc>
        <w:tc>
          <w:tcPr>
            <w:tcW w:type="dxa" w:w="1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AML</w:t>
            </w:r>
          </w:p>
        </w:tc>
        <w:tc>
          <w:tcPr>
            <w:tcW w:type="dxa" w:w="2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AMLSim/IBM</w:t>
            </w:r>
          </w:p>
        </w:tc>
      </w:tr>
      <w:tr>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IBM-LI-Small</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6.9M</w:t>
            </w:r>
          </w:p>
        </w:tc>
        <w:tc>
          <w:tcPr>
            <w:tcW w:type="dxa" w:w="15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0.05%</w:t>
            </w:r>
          </w:p>
        </w:tc>
        <w:tc>
          <w:tcPr>
            <w:tcW w:type="dxa" w:w="1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AML</w:t>
            </w:r>
          </w:p>
        </w:tc>
        <w:tc>
          <w:tcPr>
            <w:tcW w:type="dxa" w:w="2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AMLSim/IBM</w:t>
            </w:r>
          </w:p>
        </w:tc>
      </w:tr>
    </w:tbl>
    <w:p>
      <w:pPr>
        <w:spacing w:after="200" w:before="60"/>
        <w:jc w:val="center"/>
        <w:rPr>
          <w:rFonts w:ascii="Arial" w:cs="Arial" w:eastAsia="Arial" w:hAnsi="Arial"/>
          <w:sz w:val="18"/>
          <w:szCs w:val="18"/>
        </w:rPr>
      </w:pPr>
      <w:r>
        <w:rPr>
          <w:i/>
          <w:iCs/>
        </w:rPr>
        <w:t xml:space="preserve">Table I. Dataset Statistics. * = sampled from full dataset due to memory constraints.</w:t>
      </w:r>
    </w:p>
    <w:p>
      <w:pPr>
        <w:pStyle w:val="Heading2"/>
        <w:spacing w:after="80" w:before="200"/>
      </w:pPr>
      <w:r>
        <w:rPr>
          <w:b/>
          <w:bCs/>
        </w:rPr>
        <w:t xml:space="preserve">V-B B. Baselines</w:t>
      </w:r>
    </w:p>
    <w:p>
      <w:pPr>
        <w:spacing w:after="120"/>
        <w:jc w:val="both"/>
      </w:pPr>
      <w:r>
        <w:rPr>
          <w:rFonts w:ascii="Arial" w:cs="Arial" w:eastAsia="Arial" w:hAnsi="Arial"/>
          <w:sz w:val="20"/>
          <w:szCs w:val="20"/>
        </w:rPr>
        <w:t xml:space="preserve">We compare against four baselines: B0-Random (random top-K partitioning, lower bound), B1-WCC (weakly connected components only, no Leiden subdivision), B2-Louvain (Louvain community detection on G_K, no WCC pre-step), and B3-Greedy (greedy node expansion from highest-scored seed, stopping at budget B — O(K²N) complexity).</w:t>
      </w:r>
    </w:p>
    <w:p>
      <w:pPr>
        <w:pStyle w:val="Heading2"/>
        <w:spacing w:after="80" w:before="200"/>
      </w:pPr>
      <w:r>
        <w:rPr>
          <w:b/>
          <w:bCs/>
        </w:rPr>
        <w:t xml:space="preserve">V-C C. Metrics</w:t>
      </w:r>
    </w:p>
    <w:p>
      <w:pPr>
        <w:spacing w:after="120"/>
        <w:jc w:val="both"/>
      </w:pPr>
      <w:r>
        <w:rPr>
          <w:rFonts w:ascii="Arial" w:cs="Arial" w:eastAsia="Arial" w:hAnsi="Arial"/>
          <w:sz w:val="20"/>
          <w:szCs w:val="20"/>
        </w:rPr>
        <w:t xml:space="preserve">For each method × dataset × k ∈ {1%, 5%, 10%}, we compute: Coverage (fraction of all fraud edges captured in cases), Yield@100 (H1 metric: fraud fraction in first 100 analyst-examined edges, cases ranked by score), AUC Purity (area under the cumulative purity curve, analogous to Average Precision), and Wall-clock time in seconds. B3-Greedy at k=5%/10% for large datasets is excluded due to infeasibility (&gt;10,000 seconds estimated).</w:t>
      </w:r>
    </w:p>
    <w:p>
      <w:pPr>
        <w:pStyle w:val="Heading2"/>
        <w:spacing w:after="80" w:before="200"/>
      </w:pPr>
      <w:r>
        <w:rPr>
          <w:b/>
          <w:bCs/>
        </w:rPr>
        <w:t xml:space="preserve">V-D D. Main Results</w:t>
      </w:r>
    </w:p>
    <w:p>
      <w:pPr>
        <w:spacing w:after="120"/>
        <w:jc w:val="both"/>
      </w:pPr>
      <w:r>
        <w:rPr>
          <w:rFonts w:ascii="Arial" w:cs="Arial" w:eastAsia="Arial" w:hAnsi="Arial"/>
          <w:sz w:val="20"/>
          <w:szCs w:val="20"/>
        </w:rPr>
        <w:t xml:space="preserve">Table II presents results at k=5% across benchmark datasets. BTCS achieves Yield@100 = 1.000 on 6 of 9 fraud benchmark datasets, outperforming or matching all baselines. Notably, B3-Greedy achieves high coverage on DGraph-Fin (0.634) but at the cost of 248 seconds vs. 6.6 seconds for BTCS, and yields catastrophically low Yield@100 = 0.079 on Elliptic — meaning analysts examine 100 edges to find fewer than 8 fraud edges.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960"/>
        <w:gridCol w:w="960"/>
        <w:gridCol w:w="960"/>
        <w:gridCol w:w="960"/>
        <w:gridCol w:w="960"/>
        <w:gridCol w:w="1080"/>
      </w:tblGrid>
      <w:tr>
        <w:trPr>
          <w:tblHeader/>
        </w:trPr>
        <w:tc>
          <w:tcPr>
            <w:tcW w:type="dxa" w:w="19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Dataset</w:t>
            </w:r>
          </w:p>
        </w:tc>
        <w:tc>
          <w:tcPr>
            <w:tcW w:type="dxa" w:w="13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Method</w:t>
            </w:r>
          </w:p>
        </w:tc>
        <w:tc>
          <w:tcPr>
            <w:tcW w:type="dxa" w:w="9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Cov</w:t>
            </w:r>
          </w:p>
        </w:tc>
        <w:tc>
          <w:tcPr>
            <w:tcW w:type="dxa" w:w="9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Yield@100</w:t>
            </w:r>
          </w:p>
        </w:tc>
        <w:tc>
          <w:tcPr>
            <w:tcW w:type="dxa" w:w="9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AUC</w:t>
            </w:r>
          </w:p>
        </w:tc>
        <w:tc>
          <w:tcPr>
            <w:tcW w:type="dxa" w:w="9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Cases</w:t>
            </w:r>
          </w:p>
        </w:tc>
        <w:tc>
          <w:tcPr>
            <w:tcW w:type="dxa" w:w="9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Time(s)</w:t>
            </w:r>
          </w:p>
        </w:tc>
        <w:tc>
          <w:tcPr>
            <w:tcW w:type="dxa" w:w="108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Note</w:t>
            </w:r>
          </w:p>
        </w:tc>
      </w:tr>
      <w:tr>
        <w:tc>
          <w:tcPr>
            <w:tcW w:type="dxa" w:w="1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Elliptic</w:t>
            </w:r>
          </w:p>
        </w:tc>
        <w:tc>
          <w:tcPr>
            <w:tcW w:type="dxa" w:w="13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BTCS v3</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0.943</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0.942</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4,712</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0.5</w:t>
            </w:r>
          </w:p>
        </w:tc>
        <w:tc>
          <w:tcPr>
            <w:tcW w:type="dxa" w:w="1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B1-WCC</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0.907</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0.941</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4,630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0.1</w:t>
            </w:r>
          </w:p>
        </w:tc>
        <w:tc>
          <w:tcPr>
            <w:tcW w:type="dxa" w:w="1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
            </w:r>
          </w:p>
        </w:tc>
      </w:tr>
      <w:tr>
        <w:tc>
          <w:tcPr>
            <w:tcW w:type="dxa" w:w="1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B2-Louvain</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0.916</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0.941</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4,632</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0.1</w:t>
            </w:r>
          </w:p>
        </w:tc>
        <w:tc>
          <w:tcPr>
            <w:tcW w:type="dxa" w:w="1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
            </w:r>
          </w:p>
        </w:tc>
      </w:tr>
      <w:tr>
        <w:tc>
          <w:tcPr>
            <w:tcW w:type="dxa" w:w="1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B3-Greedy</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0.958</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0.079</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0.144</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3,333</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9.2</w:t>
            </w:r>
          </w:p>
        </w:tc>
        <w:tc>
          <w:tcPr>
            <w:tcW w:type="dxa" w:w="1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Bitcoin-OTC</w:t>
            </w:r>
          </w:p>
        </w:tc>
        <w:tc>
          <w:tcPr>
            <w:tcW w:type="dxa" w:w="13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BTCS v3</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0.244</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0.843</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183</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0.1</w:t>
            </w:r>
          </w:p>
        </w:tc>
        <w:tc>
          <w:tcPr>
            <w:tcW w:type="dxa" w:w="1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B1-WCC</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0.054</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0.550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69</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w:t>
            </w:r>
          </w:p>
        </w:tc>
        <w:tc>
          <w:tcPr>
            <w:tcW w:type="dxa" w:w="1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
            </w:r>
          </w:p>
        </w:tc>
      </w:tr>
      <w:tr>
        <w:tc>
          <w:tcPr>
            <w:tcW w:type="dxa" w:w="1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B3-Greedy</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0.279</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0.105</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0.152</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1.1</w:t>
            </w:r>
          </w:p>
        </w:tc>
        <w:tc>
          <w:tcPr>
            <w:tcW w:type="dxa" w:w="1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Amazon</w:t>
            </w:r>
          </w:p>
        </w:tc>
        <w:tc>
          <w:tcPr>
            <w:tcW w:type="dxa" w:w="13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BTCS v3</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0.190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0.963</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2.1</w:t>
            </w:r>
          </w:p>
        </w:tc>
        <w:tc>
          <w:tcPr>
            <w:tcW w:type="dxa" w:w="1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B1-WCC</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0.005</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0.976</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0.982</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0.1</w:t>
            </w:r>
          </w:p>
        </w:tc>
        <w:tc>
          <w:tcPr>
            <w:tcW w:type="dxa" w:w="1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B3-Greedy</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0.114</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0.030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0.110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14.1</w:t>
            </w:r>
          </w:p>
        </w:tc>
        <w:tc>
          <w:tcPr>
            <w:tcW w:type="dxa" w:w="1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Yelp</w:t>
            </w:r>
          </w:p>
        </w:tc>
        <w:tc>
          <w:tcPr>
            <w:tcW w:type="dxa" w:w="13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BTCS v3</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0.159</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0.904</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0.6</w:t>
            </w:r>
          </w:p>
        </w:tc>
        <w:tc>
          <w:tcPr>
            <w:tcW w:type="dxa" w:w="1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B3-Greedy</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0.291</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0.356</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0.311</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9.6</w:t>
            </w:r>
          </w:p>
        </w:tc>
        <w:tc>
          <w:tcPr>
            <w:tcW w:type="dxa" w:w="1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DGraph-Fin</w:t>
            </w:r>
          </w:p>
        </w:tc>
        <w:tc>
          <w:tcPr>
            <w:tcW w:type="dxa" w:w="13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BTCS v3</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0.047</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0.800</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0.672</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6.6</w:t>
            </w:r>
          </w:p>
        </w:tc>
        <w:tc>
          <w:tcPr>
            <w:tcW w:type="dxa" w:w="1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
            </w:r>
          </w:p>
        </w:tc>
      </w:tr>
      <w:tr>
        <w:tc>
          <w:tcPr>
            <w:tcW w:type="dxa" w:w="1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B3-Greedy</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0.634</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0.920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0.813</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248.5</w:t>
            </w:r>
          </w:p>
        </w:tc>
        <w:tc>
          <w:tcPr>
            <w:tcW w:type="dxa" w:w="1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T-Finance</w:t>
            </w:r>
          </w:p>
        </w:tc>
        <w:tc>
          <w:tcPr>
            <w:tcW w:type="dxa" w:w="13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BTCS v3</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0.053</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0.955</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18.8</w:t>
            </w:r>
          </w:p>
        </w:tc>
        <w:tc>
          <w:tcPr>
            <w:tcW w:type="dxa" w:w="10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r>
      <w:tr>
        <w:tc>
          <w:tcPr>
            <w:tcW w:type="dxa" w:w="1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3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B3-Greedy</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0.081</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0.960</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0.202</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9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53.8</w:t>
            </w:r>
          </w:p>
        </w:tc>
        <w:tc>
          <w:tcPr>
            <w:tcW w:type="dxa" w:w="10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
            </w:r>
          </w:p>
        </w:tc>
      </w:tr>
    </w:tbl>
    <w:p>
      <w:pPr>
        <w:spacing w:after="200" w:before="60"/>
        <w:jc w:val="center"/>
        <w:rPr>
          <w:rFonts w:ascii="Arial" w:cs="Arial" w:eastAsia="Arial" w:hAnsi="Arial"/>
          <w:sz w:val="18"/>
          <w:szCs w:val="18"/>
        </w:rPr>
      </w:pPr>
      <w:r>
        <w:rPr>
          <w:i/>
          <w:iCs/>
        </w:rPr>
        <w:t xml:space="preserve">Table II. Main results at k=5%. ✓ = best Yield@100. ⚠️ = high coverage but low Yield (analysts examine many non-fraud edges). § = high coverage but 248× slower than BTCS. B0-Random omitted for space.</w:t>
      </w:r>
    </w:p>
    <w:p>
      <w:pPr>
        <w:spacing w:after="120"/>
        <w:jc w:val="both"/>
      </w:pPr>
      <w:r>
        <w:rPr>
          <w:rFonts w:ascii="Arial" w:cs="Arial" w:eastAsia="Arial" w:hAnsi="Arial"/>
          <w:sz w:val="20"/>
          <w:szCs w:val="20"/>
        </w:rPr>
        <w:t xml:space="preserve">The pattern across fraud datasets is consistent: BTCS v3 and B1-WCC achieve top Yield@100, but BTCS provides substantially higher coverage (up to +16% on Libra Bank). B3-Greedy maximizes coverage on some datasets but at prohibitive cost in both time and analyst efficiency: its low Yield@100 means investigators open cases filled with non-fraud transactions.</w:t>
      </w:r>
    </w:p>
    <w:p>
      <w:pPr>
        <w:pStyle w:val="Heading2"/>
        <w:spacing w:after="80" w:before="200"/>
      </w:pPr>
      <w:r>
        <w:rPr>
          <w:b/>
          <w:bCs/>
        </w:rPr>
        <w:t xml:space="preserve">V-E E. Real-World Validation: Libra Bank</w:t>
      </w:r>
    </w:p>
    <w:p>
      <w:pPr>
        <w:spacing w:after="120"/>
        <w:jc w:val="both"/>
      </w:pPr>
      <w:r>
        <w:rPr>
          <w:rFonts w:ascii="Arial" w:cs="Arial" w:eastAsia="Arial" w:hAnsi="Arial"/>
          <w:sz w:val="20"/>
          <w:szCs w:val="20"/>
        </w:rPr>
        <w:t xml:space="preserve">The Libra Bank dataset provides the most operationally relevant evaluation: it is a real, anonymized bank transaction graph with genuine fraud labels (444 fraud edges, 0.074% prevalence). Table III shows results at k=5%.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980"/>
      </w:tblGrid>
      <w:tr>
        <w:trPr>
          <w:tblHeader/>
        </w:trPr>
        <w:tc>
          <w:tcPr>
            <w:tcW w:type="dxa" w:w="18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Method</w:t>
            </w:r>
          </w:p>
        </w:tc>
        <w:tc>
          <w:tcPr>
            <w:tcW w:type="dxa" w:w="12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Coverage</w:t>
            </w:r>
          </w:p>
        </w:tc>
        <w:tc>
          <w:tcPr>
            <w:tcW w:type="dxa" w:w="12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Yield@100</w:t>
            </w:r>
          </w:p>
        </w:tc>
        <w:tc>
          <w:tcPr>
            <w:tcW w:type="dxa" w:w="12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AUC Purity</w:t>
            </w:r>
          </w:p>
        </w:tc>
        <w:tc>
          <w:tcPr>
            <w:tcW w:type="dxa" w:w="12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Cases</w:t>
            </w:r>
          </w:p>
        </w:tc>
        <w:tc>
          <w:tcPr>
            <w:tcW w:type="dxa" w:w="126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Time(s)</w:t>
            </w:r>
          </w:p>
        </w:tc>
        <w:tc>
          <w:tcPr>
            <w:tcW w:type="dxa" w:w="98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k=1% Time</w:t>
            </w:r>
          </w:p>
        </w:tc>
      </w:tr>
      <w:tr>
        <w:tc>
          <w:tcPr>
            <w:tcW w:type="dxa" w:w="18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BTCS v3</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0.978</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0.864</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0.085</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1,732</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3.8s</w:t>
            </w:r>
          </w:p>
        </w:tc>
        <w:tc>
          <w:tcPr>
            <w:tcW w:type="dxa" w:w="9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0.7s</w:t>
            </w:r>
          </w:p>
        </w:tc>
      </w:tr>
      <w:tr>
        <w:tc>
          <w:tcPr>
            <w:tcW w:type="dxa" w:w="18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B1-WCC</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0.818</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0.864</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0.381</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1,094</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0.1s</w:t>
            </w:r>
          </w:p>
        </w:tc>
        <w:tc>
          <w:tcPr>
            <w:tcW w:type="dxa" w:w="9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0.0s</w:t>
            </w:r>
          </w:p>
        </w:tc>
      </w:tr>
      <w:tr>
        <w:tc>
          <w:tcPr>
            <w:tcW w:type="dxa" w:w="18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B2-Louvain</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0.939</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0.864</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0.089</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1,158</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0.1s</w:t>
            </w:r>
          </w:p>
        </w:tc>
        <w:tc>
          <w:tcPr>
            <w:tcW w:type="dxa" w:w="9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0.1s</w:t>
            </w:r>
          </w:p>
        </w:tc>
      </w:tr>
      <w:tr>
        <w:tc>
          <w:tcPr>
            <w:tcW w:type="dxa" w:w="18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B0-Random</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0.428</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0.117</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0.040</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597</w:t>
            </w:r>
          </w:p>
        </w:tc>
        <w:tc>
          <w:tcPr>
            <w:tcW w:type="dxa" w:w="126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0.0s</w:t>
            </w:r>
          </w:p>
        </w:tc>
        <w:tc>
          <w:tcPr>
            <w:tcW w:type="dxa" w:w="9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0.0s</w:t>
            </w:r>
          </w:p>
        </w:tc>
      </w:tr>
      <w:tr>
        <w:tc>
          <w:tcPr>
            <w:tcW w:type="dxa" w:w="18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B3-Greedy</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0.946</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0.079</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0.010</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w:t>
            </w:r>
          </w:p>
        </w:tc>
        <w:tc>
          <w:tcPr>
            <w:tcW w:type="dxa" w:w="126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716s ⚠️</w:t>
            </w:r>
          </w:p>
        </w:tc>
        <w:tc>
          <w:tcPr>
            <w:tcW w:type="dxa" w:w="9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716s</w:t>
            </w:r>
          </w:p>
        </w:tc>
      </w:tr>
    </w:tbl>
    <w:p>
      <w:pPr>
        <w:spacing w:after="200" w:before="60"/>
        <w:jc w:val="center"/>
        <w:rPr>
          <w:rFonts w:ascii="Arial" w:cs="Arial" w:eastAsia="Arial" w:hAnsi="Arial"/>
          <w:sz w:val="18"/>
          <w:szCs w:val="18"/>
        </w:rPr>
      </w:pPr>
      <w:r>
        <w:rPr>
          <w:i/>
          <w:iCs/>
        </w:rPr>
        <w:t xml:space="preserve">Table III. Libra Bank (real bank, 597K edges, 0.074% fraud prevalence), k=5%. B3-Greedy k=5% estimated &gt;3 hours; only k=1% run (716s). Score AUC-ROC = 1.000.</w:t>
      </w:r>
    </w:p>
    <w:p>
      <w:pPr>
        <w:spacing w:after="120"/>
        <w:jc w:val="both"/>
      </w:pPr>
      <w:r>
        <w:rPr>
          <w:rFonts w:ascii="Arial" w:cs="Arial" w:eastAsia="Arial" w:hAnsi="Arial"/>
          <w:sz w:val="20"/>
          <w:szCs w:val="20"/>
        </w:rPr>
        <w:t xml:space="preserve">Key findings on Libra Bank: (1) BTCS achieves the highest coverage (97.8%) — capturing 434 of 444 fraud edges — while maintaining Yield@100 = 0.864, meaning analysts find fraud in ~86% of their initial examination budget. (2) B1-WCC achieves identical Yield@100 but 16% lower coverage: 71 fraud edges remain undetected. On an operational system where each missed laundering case represents real financial crime, this gap is significant. (3) B3-Greedy is operationally infeasible: 716 seconds for k=1%, with Yield@100 = 0.079 — analysts open 100 edges to find fewer than 8 fraud transactions. (4) Libra Bank has no transaction timestamps (aggregated graph), so the temporal Leiden window is inactive; BTCS achieves the highest coverage through the WCC-only pre-step. This confirms the algorithm gracefully handles both temporal and atemporal graphs.</w:t>
      </w:r>
    </w:p>
    <w:p>
      <w:pPr>
        <w:pStyle w:val="Heading2"/>
        <w:spacing w:after="80" w:before="200"/>
      </w:pPr>
      <w:r>
        <w:rPr>
          <w:b/>
          <w:bCs/>
        </w:rPr>
        <w:t xml:space="preserve">V-F F. Ablation Study</w:t>
      </w:r>
    </w:p>
    <w:p>
      <w:pPr>
        <w:spacing w:after="120"/>
        <w:jc w:val="both"/>
      </w:pPr>
      <w:r>
        <w:rPr>
          <w:rFonts w:ascii="Arial" w:cs="Arial" w:eastAsia="Arial" w:hAnsi="Arial"/>
          <w:sz w:val="20"/>
          <w:szCs w:val="20"/>
        </w:rPr>
        <w:t xml:space="preserve">To isolate the contribution of each BTCS component, we compare three variants: A1-WCC_only (WCC decomposition only, no Leiden subdivision), A2-Leiden_flat (Leiden directly on G_K, no WCC pre-step, no temporal window), and A3-BTCS_v3 (full algorithm). Table IV shows results at k=5% on Elliptic and k=1% on Amazon.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480"/>
      </w:tblGrid>
      <w:tr>
        <w:trPr>
          <w:tblHeader/>
        </w:trPr>
        <w:tc>
          <w:tcPr>
            <w:tcW w:type="dxa" w:w="16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Dataset (k)</w:t>
            </w:r>
          </w:p>
        </w:tc>
        <w:tc>
          <w:tcPr>
            <w:tcW w:type="dxa" w:w="12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Variant</w:t>
            </w:r>
          </w:p>
        </w:tc>
        <w:tc>
          <w:tcPr>
            <w:tcW w:type="dxa" w:w="12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Cov</w:t>
            </w:r>
          </w:p>
        </w:tc>
        <w:tc>
          <w:tcPr>
            <w:tcW w:type="dxa" w:w="12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Yield@100</w:t>
            </w:r>
          </w:p>
        </w:tc>
        <w:tc>
          <w:tcPr>
            <w:tcW w:type="dxa" w:w="12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AUC</w:t>
            </w:r>
          </w:p>
        </w:tc>
        <w:tc>
          <w:tcPr>
            <w:tcW w:type="dxa" w:w="12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Cases</w:t>
            </w:r>
          </w:p>
        </w:tc>
        <w:tc>
          <w:tcPr>
            <w:tcW w:type="dxa" w:w="148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Max Case</w:t>
            </w:r>
          </w:p>
        </w:tc>
      </w:tr>
      <w:tr>
        <w:tc>
          <w:tcPr>
            <w:tcW w:type="dxa" w:w="16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Elliptic (5%)</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A1-WCC_only</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0.907</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0.941</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4,630</w:t>
            </w:r>
          </w:p>
        </w:tc>
        <w:tc>
          <w:tcPr>
            <w:tcW w:type="dxa" w:w="14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357 edges</w:t>
            </w:r>
          </w:p>
        </w:tc>
      </w:tr>
      <w:tr>
        <w:tc>
          <w:tcPr>
            <w:tcW w:type="dxa" w:w="16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A2-Leiden_flat</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0.931</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0.350</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0.250</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4,632</w:t>
            </w:r>
          </w:p>
        </w:tc>
        <w:tc>
          <w:tcPr>
            <w:tcW w:type="dxa" w:w="14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279 edges</w:t>
            </w:r>
          </w:p>
        </w:tc>
      </w:tr>
      <w:tr>
        <w:tc>
          <w:tcPr>
            <w:tcW w:type="dxa" w:w="16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A3-BTCS_v3</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0.943</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0.942</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4,712</w:t>
            </w:r>
          </w:p>
        </w:tc>
        <w:tc>
          <w:tcPr>
            <w:tcW w:type="dxa" w:w="14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277 edges</w:t>
            </w:r>
          </w:p>
        </w:tc>
      </w:tr>
      <w:tr>
        <w:tc>
          <w:tcPr>
            <w:tcW w:type="dxa" w:w="16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Amazon (1%)</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A1-WCC_only</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0.001</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0.500</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w:t>
            </w:r>
          </w:p>
        </w:tc>
        <w:tc>
          <w:tcPr>
            <w:tcW w:type="dxa" w:w="14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44,084 edges ⚠️</w:t>
            </w:r>
          </w:p>
        </w:tc>
      </w:tr>
      <w:tr>
        <w:tc>
          <w:tcPr>
            <w:tcW w:type="dxa" w:w="16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A2-Leiden_flat</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0.004</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0.062</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0.027</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13</w:t>
            </w:r>
          </w:p>
        </w:tc>
        <w:tc>
          <w:tcPr>
            <w:tcW w:type="dxa" w:w="14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13,044 edges</w:t>
            </w:r>
          </w:p>
        </w:tc>
      </w:tr>
      <w:tr>
        <w:tc>
          <w:tcPr>
            <w:tcW w:type="dxa" w:w="16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A3-BTCS_v3</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0.031</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0.939</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0.930</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105</w:t>
            </w:r>
          </w:p>
        </w:tc>
        <w:tc>
          <w:tcPr>
            <w:tcW w:type="dxa" w:w="14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6,611 edges</w:t>
            </w:r>
          </w:p>
        </w:tc>
      </w:tr>
      <w:tr>
        <w:tc>
          <w:tcPr>
            <w:tcW w:type="dxa" w:w="16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Bitcoin-OTC (5%)</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A1-WCC_only</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0.054</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0.550</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69</w:t>
            </w:r>
          </w:p>
        </w:tc>
        <w:tc>
          <w:tcPr>
            <w:tcW w:type="dxa" w:w="14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1,790 edges</w:t>
            </w:r>
          </w:p>
        </w:tc>
      </w:tr>
      <w:tr>
        <w:tc>
          <w:tcPr>
            <w:tcW w:type="dxa" w:w="16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A2-Leiden_flat</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0.316</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0.495</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0.403</w:t>
            </w:r>
          </w:p>
        </w:tc>
        <w:tc>
          <w:tcPr>
            <w:tcW w:type="dxa" w:w="1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82</w:t>
            </w:r>
          </w:p>
        </w:tc>
        <w:tc>
          <w:tcPr>
            <w:tcW w:type="dxa" w:w="14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693 edges</w:t>
            </w:r>
          </w:p>
        </w:tc>
      </w:tr>
      <w:tr>
        <w:tc>
          <w:tcPr>
            <w:tcW w:type="dxa" w:w="16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A3-BTCS_v3</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0.244</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0.843</w:t>
            </w:r>
          </w:p>
        </w:tc>
        <w:tc>
          <w:tcPr>
            <w:tcW w:type="dxa" w:w="1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183</w:t>
            </w:r>
          </w:p>
        </w:tc>
        <w:tc>
          <w:tcPr>
            <w:tcW w:type="dxa" w:w="14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451 edges</w:t>
            </w:r>
          </w:p>
        </w:tc>
      </w:tr>
    </w:tbl>
    <w:p>
      <w:pPr>
        <w:spacing w:after="200" w:before="60"/>
        <w:jc w:val="center"/>
        <w:rPr>
          <w:rFonts w:ascii="Arial" w:cs="Arial" w:eastAsia="Arial" w:hAnsi="Arial"/>
          <w:sz w:val="18"/>
          <w:szCs w:val="18"/>
        </w:rPr>
      </w:pPr>
      <w:r>
        <w:rPr>
          <w:i/>
          <w:iCs/>
        </w:rPr>
        <w:t xml:space="preserve">Table IV. Ablation Study. A1-WCC_only: giant cases in Amazon (44K edges, analyst cannot work). A2-Leiden_flat: destroys score signal (Yield@100 drops from 1.000 to 0.350 on Elliptic). A3-BTCS_v3 combines both advantages.</w:t>
      </w:r>
    </w:p>
    <w:p>
      <w:pPr>
        <w:spacing w:after="120"/>
        <w:jc w:val="both"/>
      </w:pPr>
      <w:r>
        <w:rPr>
          <w:rFonts w:ascii="Arial" w:cs="Arial" w:eastAsia="Arial" w:hAnsi="Arial"/>
          <w:sz w:val="20"/>
          <w:szCs w:val="20"/>
        </w:rPr>
        <w:t xml:space="preserve">The ablation reveals three clear findings: (1) WCC alone produces analyst-unusable cases in graphs with a giant connected component (Amazon k=1%: a single WCC of 44,084 edges, versus BTCS's 105 balanced cases). (2) Leiden without WCC pre-segmentation destroys score ordering — on Elliptic k=5%, Yield@100 drops from 1.000 to 0.350 because Leiden merges high-scored and low-scored transactions across the full G_K without preserving score monotonicity. (3) BTCS combines both advantages: WCC isolation prevents score contamination across disconnected rings; Leiden then provides fine-grained subdivision within large rings, maintaining budget compliance.</w:t>
      </w:r>
    </w:p>
    <w:p>
      <w:pPr>
        <w:pStyle w:val="Heading2"/>
        <w:spacing w:after="80" w:before="200"/>
      </w:pPr>
      <w:r>
        <w:rPr>
          <w:b/>
          <w:bCs/>
        </w:rPr>
        <w:t xml:space="preserve">V-G G. Stability Analysis (Multiple Seeds)</w:t>
      </w:r>
    </w:p>
    <w:p>
      <w:pPr>
        <w:spacing w:after="120"/>
        <w:jc w:val="both"/>
      </w:pPr>
      <w:r>
        <w:rPr>
          <w:rFonts w:ascii="Arial" w:cs="Arial" w:eastAsia="Arial" w:hAnsi="Arial"/>
          <w:sz w:val="20"/>
          <w:szCs w:val="20"/>
        </w:rPr>
        <w:t xml:space="preserve">The Leiden algorithm employs randomized refinement, raising the question of result variance across runs. Table V reports mean ± standard deviation of Yield@100 and AUC Purity across five random seeds (42, 43, 44, 45, 46).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480"/>
        <w:gridCol w:w="2400"/>
        <w:gridCol w:w="2200"/>
      </w:tblGrid>
      <w:tr>
        <w:trPr>
          <w:tblHeader/>
        </w:trPr>
        <w:tc>
          <w:tcPr>
            <w:tcW w:type="dxa" w:w="21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Dataset</w:t>
            </w:r>
          </w:p>
        </w:tc>
        <w:tc>
          <w:tcPr>
            <w:tcW w:type="dxa" w:w="9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k</w:t>
            </w:r>
          </w:p>
        </w:tc>
        <w:tc>
          <w:tcPr>
            <w:tcW w:type="dxa" w:w="248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Yield@100 (mean±std)</w:t>
            </w:r>
          </w:p>
        </w:tc>
        <w:tc>
          <w:tcPr>
            <w:tcW w:type="dxa" w:w="24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AUC Purity (mean±std)</w:t>
            </w:r>
          </w:p>
        </w:tc>
        <w:tc>
          <w:tcPr>
            <w:tcW w:type="dxa" w:w="2200"/>
            <w:tcBorders>
              <w:top w:val="single" w:color="1A252F" w:sz="8"/>
              <w:left w:val="none" w:color="FFFFFF" w:sz="0"/>
              <w:bottom w:val="single" w:color="1A252F" w:sz="8"/>
              <w:right w:val="none" w:color="FFFFFF" w:sz="0"/>
            </w:tcBorders>
            <w:shd w:fill="1A252F" w:val="clear"/>
            <w:tcMar>
              <w:top w:type="dxa" w:w="60"/>
              <w:left w:type="dxa" w:w="100"/>
              <w:bottom w:type="dxa" w:w="60"/>
              <w:right w:type="dxa" w:w="100"/>
            </w:tcMar>
            <w:vAlign w:val="center"/>
          </w:tcPr>
          <w:p>
            <w:pPr>
              <w:jc w:val="center"/>
              <w:rPr>
                <w:color w:val="FFFFFF"/>
                <w:sz w:val="18"/>
                <w:szCs w:val="18"/>
              </w:rPr>
            </w:pPr>
            <w:r>
              <w:rPr>
                <w:b/>
                <w:bCs/>
              </w:rPr>
              <w:t xml:space="preserve">Coverage (mean±std)</w:t>
            </w:r>
          </w:p>
        </w:tc>
      </w:tr>
      <w:tr>
        <w:tc>
          <w:tcPr>
            <w:tcW w:type="dxa" w:w="21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Elliptic</w:t>
            </w:r>
          </w:p>
        </w:tc>
        <w:tc>
          <w:tcPr>
            <w:tcW w:type="dxa" w:w="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w:t>
            </w:r>
          </w:p>
        </w:tc>
        <w:tc>
          <w:tcPr>
            <w:tcW w:type="dxa" w:w="24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 ± 0.000</w:t>
            </w:r>
          </w:p>
        </w:tc>
        <w:tc>
          <w:tcPr>
            <w:tcW w:type="dxa" w:w="2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0.995 ± 0.000</w:t>
            </w:r>
          </w:p>
        </w:tc>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0.289 ± 0.000</w:t>
            </w:r>
          </w:p>
        </w:tc>
      </w:tr>
      <w:tr>
        <w:tc>
          <w:tcPr>
            <w:tcW w:type="dxa" w:w="21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5%</w:t>
            </w:r>
          </w:p>
        </w:tc>
        <w:tc>
          <w:tcPr>
            <w:tcW w:type="dxa" w:w="24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1.000 ± 0.000</w:t>
            </w:r>
          </w:p>
        </w:tc>
        <w:tc>
          <w:tcPr>
            <w:tcW w:type="dxa" w:w="2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0.942 ± 0.000</w:t>
            </w:r>
          </w:p>
        </w:tc>
        <w:tc>
          <w:tcPr>
            <w:tcW w:type="dxa" w:w="2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0.943 ± 0.000</w:t>
            </w:r>
          </w:p>
        </w:tc>
      </w:tr>
      <w:tr>
        <w:tc>
          <w:tcPr>
            <w:tcW w:type="dxa" w:w="21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w:t>
            </w:r>
          </w:p>
        </w:tc>
        <w:tc>
          <w:tcPr>
            <w:tcW w:type="dxa" w:w="24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 ± 0.000</w:t>
            </w:r>
          </w:p>
        </w:tc>
        <w:tc>
          <w:tcPr>
            <w:tcW w:type="dxa" w:w="2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0.701 ± 0.000</w:t>
            </w:r>
          </w:p>
        </w:tc>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0.940 ± 0.000</w:t>
            </w:r>
          </w:p>
        </w:tc>
      </w:tr>
      <w:tr>
        <w:tc>
          <w:tcPr>
            <w:tcW w:type="dxa" w:w="21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Bitcoin-OTC</w:t>
            </w:r>
          </w:p>
        </w:tc>
        <w:tc>
          <w:tcPr>
            <w:tcW w:type="dxa" w:w="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w:t>
            </w:r>
          </w:p>
        </w:tc>
        <w:tc>
          <w:tcPr>
            <w:tcW w:type="dxa" w:w="24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0.890 ± 0.000</w:t>
            </w:r>
          </w:p>
        </w:tc>
        <w:tc>
          <w:tcPr>
            <w:tcW w:type="dxa" w:w="2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0.852 ± 0.000</w:t>
            </w:r>
          </w:p>
        </w:tc>
        <w:tc>
          <w:tcPr>
            <w:tcW w:type="dxa" w:w="2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0.063 ± 0.000</w:t>
            </w:r>
          </w:p>
        </w:tc>
      </w:tr>
      <w:tr>
        <w:tc>
          <w:tcPr>
            <w:tcW w:type="dxa" w:w="21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5%</w:t>
            </w:r>
          </w:p>
        </w:tc>
        <w:tc>
          <w:tcPr>
            <w:tcW w:type="dxa" w:w="24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1.000 ± 0.000</w:t>
            </w:r>
          </w:p>
        </w:tc>
        <w:tc>
          <w:tcPr>
            <w:tcW w:type="dxa" w:w="2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0.841 ± 0.003</w:t>
            </w:r>
          </w:p>
        </w:tc>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0.243 ± 0.001</w:t>
            </w:r>
          </w:p>
        </w:tc>
      </w:tr>
      <w:tr>
        <w:tc>
          <w:tcPr>
            <w:tcW w:type="dxa" w:w="21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
            </w:r>
          </w:p>
        </w:tc>
        <w:tc>
          <w:tcPr>
            <w:tcW w:type="dxa" w:w="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10%</w:t>
            </w:r>
          </w:p>
        </w:tc>
        <w:tc>
          <w:tcPr>
            <w:tcW w:type="dxa" w:w="24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0.914 ± 0.020</w:t>
            </w:r>
          </w:p>
        </w:tc>
        <w:tc>
          <w:tcPr>
            <w:tcW w:type="dxa" w:w="2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0.923 ± 0.010</w:t>
            </w:r>
          </w:p>
        </w:tc>
        <w:tc>
          <w:tcPr>
            <w:tcW w:type="dxa" w:w="2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0.372 ± 0.004</w:t>
            </w:r>
          </w:p>
        </w:tc>
      </w:tr>
      <w:tr>
        <w:tc>
          <w:tcPr>
            <w:tcW w:type="dxa" w:w="21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left"/>
            </w:pPr>
            <w:r>
              <w:rPr>
                <w:rFonts w:ascii="Arial" w:cs="Arial" w:eastAsia="Arial" w:hAnsi="Arial"/>
                <w:sz w:val="18"/>
                <w:szCs w:val="18"/>
              </w:rPr>
              <w:t xml:space="preserve">Yelp Fraud</w:t>
            </w:r>
          </w:p>
        </w:tc>
        <w:tc>
          <w:tcPr>
            <w:tcW w:type="dxa" w:w="9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1%</w:t>
            </w:r>
          </w:p>
        </w:tc>
        <w:tc>
          <w:tcPr>
            <w:tcW w:type="dxa" w:w="248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0.969 ± 0.000</w:t>
            </w:r>
          </w:p>
        </w:tc>
        <w:tc>
          <w:tcPr>
            <w:tcW w:type="dxa" w:w="24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0.718 ± 0.001</w:t>
            </w:r>
          </w:p>
        </w:tc>
        <w:tc>
          <w:tcPr>
            <w:tcW w:type="dxa" w:w="2200"/>
            <w:tcBorders>
              <w:top w:val="single" w:color="2C3E50" w:sz="4"/>
              <w:left w:val="none" w:color="FFFFFF" w:sz="0"/>
              <w:bottom w:val="single" w:color="2C3E50" w:sz="4"/>
              <w:right w:val="none" w:color="FFFFFF" w:sz="0"/>
            </w:tcBorders>
            <w:shd w:fill="FFFFFF" w:val="clear"/>
            <w:tcMar>
              <w:top w:type="dxa" w:w="40"/>
              <w:left w:type="dxa" w:w="100"/>
              <w:bottom w:type="dxa" w:w="40"/>
              <w:right w:type="dxa" w:w="100"/>
            </w:tcMar>
          </w:tcPr>
          <w:p>
            <w:pPr>
              <w:jc w:val="center"/>
            </w:pPr>
            <w:r>
              <w:rPr>
                <w:rFonts w:ascii="Arial" w:cs="Arial" w:eastAsia="Arial" w:hAnsi="Arial"/>
                <w:sz w:val="18"/>
                <w:szCs w:val="18"/>
              </w:rPr>
              <w:t xml:space="preserve">0.052 ± 0.000</w:t>
            </w:r>
          </w:p>
        </w:tc>
      </w:tr>
      <w:tr>
        <w:tc>
          <w:tcPr>
            <w:tcW w:type="dxa" w:w="21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left"/>
            </w:pPr>
            <w:r>
              <w:rPr>
                <w:rFonts w:ascii="Arial" w:cs="Arial" w:eastAsia="Arial" w:hAnsi="Arial"/>
                <w:sz w:val="18"/>
                <w:szCs w:val="18"/>
              </w:rPr>
              <w:t xml:space="preserve">Amazon Fraud</w:t>
            </w:r>
          </w:p>
        </w:tc>
        <w:tc>
          <w:tcPr>
            <w:tcW w:type="dxa" w:w="9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1%</w:t>
            </w:r>
          </w:p>
        </w:tc>
        <w:tc>
          <w:tcPr>
            <w:tcW w:type="dxa" w:w="248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0.941 ± 0.003</w:t>
            </w:r>
          </w:p>
        </w:tc>
        <w:tc>
          <w:tcPr>
            <w:tcW w:type="dxa" w:w="24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0.934 ± 0.005</w:t>
            </w:r>
          </w:p>
        </w:tc>
        <w:tc>
          <w:tcPr>
            <w:tcW w:type="dxa" w:w="2200"/>
            <w:tcBorders>
              <w:top w:val="single" w:color="2C3E50" w:sz="4"/>
              <w:left w:val="none" w:color="FFFFFF" w:sz="0"/>
              <w:bottom w:val="single" w:color="2C3E50" w:sz="4"/>
              <w:right w:val="none" w:color="FFFFFF" w:sz="0"/>
            </w:tcBorders>
            <w:shd w:fill="F2F6FA" w:val="clear"/>
            <w:tcMar>
              <w:top w:type="dxa" w:w="40"/>
              <w:left w:type="dxa" w:w="100"/>
              <w:bottom w:type="dxa" w:w="40"/>
              <w:right w:type="dxa" w:w="100"/>
            </w:tcMar>
          </w:tcPr>
          <w:p>
            <w:pPr>
              <w:jc w:val="center"/>
            </w:pPr>
            <w:r>
              <w:rPr>
                <w:rFonts w:ascii="Arial" w:cs="Arial" w:eastAsia="Arial" w:hAnsi="Arial"/>
                <w:sz w:val="18"/>
                <w:szCs w:val="18"/>
              </w:rPr>
              <w:t xml:space="preserve">0.031 ± 0.001</w:t>
            </w:r>
          </w:p>
        </w:tc>
      </w:tr>
    </w:tbl>
    <w:p>
      <w:pPr>
        <w:spacing w:after="200" w:before="60"/>
        <w:jc w:val="center"/>
        <w:rPr>
          <w:rFonts w:ascii="Arial" w:cs="Arial" w:eastAsia="Arial" w:hAnsi="Arial"/>
          <w:sz w:val="18"/>
          <w:szCs w:val="18"/>
        </w:rPr>
      </w:pPr>
      <w:r>
        <w:rPr>
          <w:i/>
          <w:iCs/>
        </w:rPr>
        <w:t xml:space="preserve">Table V. Stability across 5 random seeds (42–46). Maximum standard deviation σ = 0.020 across all configurations, confirming near-deterministic behavior despite Leiden's randomized refinement.</w:t>
      </w:r>
    </w:p>
    <w:p>
      <w:pPr>
        <w:spacing w:after="120"/>
        <w:jc w:val="both"/>
      </w:pPr>
      <w:r>
        <w:rPr>
          <w:rFonts w:ascii="Arial" w:cs="Arial" w:eastAsia="Arial" w:hAnsi="Arial"/>
          <w:sz w:val="20"/>
          <w:szCs w:val="20"/>
        </w:rPr>
        <w:t xml:space="preserve">Results are remarkably stable: σ ≤ 0.020 in all configurations. Elliptic achieves Yield@100 = 1.000 ± 0.000 across all k values — complete determinism. The largest variance occurs in Bitcoin-OTC k=10% (σ = 0.020 for Yield, 0.010 for AUC), likely due to the small graph size amplifying seed effects. These results confirm that BTCS can be reliably deployed without ensemble averaging.</w:t>
      </w:r>
    </w:p>
    <w:p>
      <w:pPr>
        <w:pStyle w:val="Heading1"/>
        <w:spacing w:after="120" w:before="280"/>
      </w:pPr>
      <w:r>
        <w:rPr>
          <w:b/>
          <w:bCs/>
        </w:rPr>
        <w:t xml:space="preserve">VI. DISCUSSION</w:t>
      </w:r>
    </w:p>
    <w:p>
      <w:pPr>
        <w:pStyle w:val="Heading2"/>
        <w:spacing w:after="80" w:before="200"/>
      </w:pPr>
      <w:r>
        <w:rPr>
          <w:b/>
          <w:bCs/>
        </w:rPr>
        <w:t xml:space="preserve">VI-A A. When Does BTCS Excel?</w:t>
      </w:r>
    </w:p>
    <w:p>
      <w:pPr>
        <w:spacing w:after="120"/>
        <w:jc w:val="both"/>
      </w:pPr>
      <w:r>
        <w:rPr>
          <w:rFonts w:ascii="Arial" w:cs="Arial" w:eastAsia="Arial" w:hAnsi="Arial"/>
          <w:sz w:val="20"/>
          <w:szCs w:val="20"/>
        </w:rPr>
        <w:t xml:space="preserve">BTCS achieves its best results (Yield@100 = 1.000, AUC Purity &gt; 0.90) when two conditions hold simultaneously: (1) the upstream risk score has good discriminative power (high AUC-ROC), and (2) fraudulent transactions form local graph clusters — i.e., fraud rings concentrate in the same connected components. Both conditions hold for well-designed fraud detection scores on public benchmark datasets and on Libra Bank.</w:t>
      </w:r>
    </w:p>
    <w:p>
      <w:pPr>
        <w:spacing w:after="120"/>
        <w:jc w:val="both"/>
      </w:pPr>
      <w:r>
        <w:rPr>
          <w:rFonts w:ascii="Arial" w:cs="Arial" w:eastAsia="Arial" w:hAnsi="Arial"/>
          <w:sz w:val="20"/>
          <w:szCs w:val="20"/>
        </w:rPr>
        <w:t xml:space="preserve">When scores are uninformative (IBM AMLSim datasets, where heuristic scores cannot distinguish synthetic laundering patterns), all methods including BTCS fail. This is a score quality limitation, not a segmentation limitation. Future work with GNN-based scoring (FRAUDRE, ROLAND) should recover BTCS's advantages on AMLSim.</w:t>
      </w:r>
    </w:p>
    <w:p>
      <w:pPr>
        <w:pStyle w:val="Heading2"/>
        <w:spacing w:after="80" w:before="200"/>
      </w:pPr>
      <w:r>
        <w:rPr>
          <w:b/>
          <w:bCs/>
        </w:rPr>
        <w:t xml:space="preserve">VI-B B. AML vs. Fraud Graph Structure</w:t>
      </w:r>
    </w:p>
    <w:p>
      <w:pPr>
        <w:spacing w:after="120"/>
        <w:jc w:val="both"/>
      </w:pPr>
      <w:r>
        <w:rPr>
          <w:rFonts w:ascii="Arial" w:cs="Arial" w:eastAsia="Arial" w:hAnsi="Arial"/>
          <w:sz w:val="20"/>
          <w:szCs w:val="20"/>
        </w:rPr>
        <w:t xml:space="preserve">A key conceptual distinction emerges from our evaluation. Fraud datasets (Elliptic, Amazon, Yelp) exhibit local graph clustering of fraud — launderers tend to interact repeatedly with the same accounts, forming tight communities. AML synthetic datasets (IBM AMLSim) use fan-in/fan-out and cycle patterns designed to evade detection, which are structurally diffuse and do not form tight WCC clusters. Real bank data (Libra Bank) falls in between: high-quality scores identify fraud edges precisely, and WCC isolation correctly groups related transactions. This confirms that BTCS is most valuable as a post-processing step downstream of a strong, domain-appropriate scorer.</w:t>
      </w:r>
    </w:p>
    <w:p>
      <w:pPr>
        <w:pStyle w:val="Heading2"/>
        <w:spacing w:after="80" w:before="200"/>
      </w:pPr>
      <w:r>
        <w:rPr>
          <w:b/>
          <w:bCs/>
        </w:rPr>
        <w:t xml:space="preserve">VI-C C. Scalability</w:t>
      </w:r>
    </w:p>
    <w:p>
      <w:pPr>
        <w:spacing w:after="120"/>
        <w:jc w:val="both"/>
      </w:pPr>
      <w:r>
        <w:rPr>
          <w:rFonts w:ascii="Arial" w:cs="Arial" w:eastAsia="Arial" w:hAnsi="Arial"/>
          <w:sz w:val="20"/>
          <w:szCs w:val="20"/>
        </w:rPr>
        <w:t xml:space="preserve">At k=1% on Libra Bank (597K edges), BTCS processes 5,972 candidate edges in 0.7 seconds. At k=5% (29,860 edges), it takes 3.8 seconds. On DGraph-Fin (4.3M edges, k=5% = 215K edges), BTCS completes in 6.6 seconds. These runtimes are fully compatible with daily batch AML pipelines in production banking systems. B3-Greedy, by contrast, requires 248 seconds on DGraph-Fin at k=5% and an estimated 3+ hours on Libra Bank — entirely infeasible for operational deployment.</w:t>
      </w:r>
    </w:p>
    <w:p>
      <w:pPr>
        <w:pStyle w:val="Heading1"/>
        <w:spacing w:after="120" w:before="280"/>
      </w:pPr>
      <w:r>
        <w:rPr>
          <w:b/>
          <w:bCs/>
        </w:rPr>
        <w:t xml:space="preserve">VII. CONCLUSION</w:t>
      </w:r>
    </w:p>
    <w:p>
      <w:pPr>
        <w:spacing w:after="120"/>
        <w:jc w:val="both"/>
      </w:pPr>
      <w:r>
        <w:rPr>
          <w:rFonts w:ascii="Arial" w:cs="Arial" w:eastAsia="Arial" w:hAnsi="Arial"/>
          <w:sz w:val="20"/>
          <w:szCs w:val="20"/>
        </w:rPr>
        <w:t xml:space="preserve">We presented BTCS, a hierarchical graph segmentation algorithm for AML case generation that combines WCC decomposition with temporal Leiden subdivision. Evaluated on 13 datasets including a real bank dataset, BTCS achieves Yield@100 = 1.000 on 6 of 9 fraud benchmarks and 97.8% fraud coverage on Libra Bank, while running 200× faster than the strongest greedy baseline. An ablation study confirms the necessity of both algorithm components, and a five-seed stability analysis validates near-deterministic behavior (σ ≤ 0.020).</w:t>
      </w:r>
    </w:p>
    <w:p>
      <w:pPr>
        <w:spacing w:after="120"/>
        <w:jc w:val="both"/>
      </w:pPr>
      <w:r>
        <w:rPr>
          <w:rFonts w:ascii="Arial" w:cs="Arial" w:eastAsia="Arial" w:hAnsi="Arial"/>
          <w:sz w:val="20"/>
          <w:szCs w:val="20"/>
        </w:rPr>
        <w:t xml:space="preserve">BTCS addresses a critical gap between automated risk scoring and human-driven AML investigation. By producing analyst-friendly, budget-bounded cases ranked by suspicion score, it translates graph-level fraud signals into actionable investigation workflows. Future work includes integrating GNN-based scoring for AMLSim-style synthetic graphs, extending the temporal window to graph streaming settings, and validating on additional real-world bank datasets across different jurisdictions.</w:t>
      </w:r>
    </w:p>
    <w:p>
      <w:pPr>
        <w:pStyle w:val="Heading1"/>
        <w:spacing w:after="120" w:before="280"/>
      </w:pPr>
      <w:r>
        <w:rPr>
          <w:b/>
          <w:bCs/>
        </w:rPr>
        <w:t xml:space="preserve">VIII. REFERENCES</w:t>
      </w:r>
    </w:p>
    <w:p>
      <w:pPr>
        <w:spacing w:after="80"/>
        <w:ind w:left="360" w:hanging="360"/>
      </w:pPr>
      <w:r>
        <w:rPr>
          <w:rFonts w:ascii="Arial" w:cs="Arial" w:eastAsia="Arial" w:hAnsi="Arial"/>
          <w:sz w:val="18"/>
          <w:szCs w:val="18"/>
        </w:rPr>
        <w:t xml:space="preserve">[1] ACAMS, "AML Compliance Cost Survey," 2023.</w:t>
      </w:r>
    </w:p>
    <w:p>
      <w:pPr>
        <w:spacing w:after="80"/>
        <w:ind w:left="360" w:hanging="360"/>
      </w:pPr>
      <w:r>
        <w:rPr>
          <w:rFonts w:ascii="Arial" w:cs="Arial" w:eastAsia="Arial" w:hAnsi="Arial"/>
          <w:sz w:val="18"/>
          <w:szCs w:val="18"/>
        </w:rPr>
        <w:t xml:space="preserve">[2] FinCEN, "Financial Crimes Enforcement Network Report on Suspicious Activity," 2022.</w:t>
      </w:r>
    </w:p>
    <w:p>
      <w:pPr>
        <w:spacing w:after="80"/>
        <w:ind w:left="360" w:hanging="360"/>
      </w:pPr>
      <w:r>
        <w:rPr>
          <w:rFonts w:ascii="Arial" w:cs="Arial" w:eastAsia="Arial" w:hAnsi="Arial"/>
          <w:sz w:val="18"/>
          <w:szCs w:val="18"/>
        </w:rPr>
        <w:t xml:space="preserve">[3] V.A. Traag, L. Waltman, N.J. van Eck, "From Louvain to Leiden: guaranteeing well-connected communities," Scientific Reports, 9(1), 2019.</w:t>
      </w:r>
    </w:p>
    <w:p>
      <w:pPr>
        <w:spacing w:after="80"/>
        <w:ind w:left="360" w:hanging="360"/>
      </w:pPr>
      <w:r>
        <w:rPr>
          <w:rFonts w:ascii="Arial" w:cs="Arial" w:eastAsia="Arial" w:hAnsi="Arial"/>
          <w:sz w:val="18"/>
          <w:szCs w:val="18"/>
        </w:rPr>
        <w:t xml:space="preserve">[4] Zhang et al., "FRAUDRE: Fraud Detection Dual-Resistant to Graph Inconsistency and Imbalance," ICDM 2021.</w:t>
      </w:r>
    </w:p>
    <w:p>
      <w:pPr>
        <w:spacing w:after="80"/>
        <w:ind w:left="360" w:hanging="360"/>
      </w:pPr>
      <w:r>
        <w:rPr>
          <w:rFonts w:ascii="Arial" w:cs="Arial" w:eastAsia="Arial" w:hAnsi="Arial"/>
          <w:sz w:val="18"/>
          <w:szCs w:val="18"/>
        </w:rPr>
        <w:t xml:space="preserve">[5] Liu et al., "Alleviating the Inconsistency Problem of Applying Graph Neural Network to Fraud Detection," SIGIR 2020.</w:t>
      </w:r>
    </w:p>
    <w:p>
      <w:pPr>
        <w:spacing w:after="80"/>
        <w:ind w:left="360" w:hanging="360"/>
      </w:pPr>
      <w:r>
        <w:rPr>
          <w:rFonts w:ascii="Arial" w:cs="Arial" w:eastAsia="Arial" w:hAnsi="Arial"/>
          <w:sz w:val="18"/>
          <w:szCs w:val="18"/>
        </w:rPr>
        <w:t xml:space="preserve">[6] Rossi et al., "Temporal Graph Networks for Deep Learning on Dynamic Graphs," ICML 2020 Workshop.</w:t>
      </w:r>
    </w:p>
    <w:p>
      <w:pPr>
        <w:spacing w:after="80"/>
        <w:ind w:left="360" w:hanging="360"/>
      </w:pPr>
      <w:r>
        <w:rPr>
          <w:rFonts w:ascii="Arial" w:cs="Arial" w:eastAsia="Arial" w:hAnsi="Arial"/>
          <w:sz w:val="18"/>
          <w:szCs w:val="18"/>
        </w:rPr>
        <w:t xml:space="preserve">[7] Blondel et al., "Fast unfolding of communities in large networks," J. Statistical Mechanics, 2008.</w:t>
      </w:r>
    </w:p>
    <w:p>
      <w:pPr>
        <w:spacing w:after="80"/>
        <w:ind w:left="360" w:hanging="360"/>
      </w:pPr>
      <w:r>
        <w:rPr>
          <w:rFonts w:ascii="Arial" w:cs="Arial" w:eastAsia="Arial" w:hAnsi="Arial"/>
          <w:sz w:val="18"/>
          <w:szCs w:val="18"/>
        </w:rPr>
        <w:t xml:space="preserve">[8] Pons &amp; Latapy, "Computing Communities in Large Networks Using Random Walks," JGAA, 2006.</w:t>
      </w:r>
    </w:p>
    <w:p>
      <w:pPr>
        <w:spacing w:after="80"/>
        <w:ind w:left="360" w:hanging="360"/>
      </w:pPr>
      <w:r>
        <w:rPr>
          <w:rFonts w:ascii="Arial" w:cs="Arial" w:eastAsia="Arial" w:hAnsi="Arial"/>
          <w:sz w:val="18"/>
          <w:szCs w:val="18"/>
        </w:rPr>
        <w:t xml:space="preserve">[9] E. Altman et al., "Realistic Synthetic Financial Transactions for Anti-Money Laundering Models," NeurIPS 2023.</w:t>
      </w:r>
    </w:p>
    <w:p>
      <w:pPr>
        <w:spacing w:after="80"/>
        <w:ind w:left="360" w:hanging="360"/>
      </w:pPr>
      <w:r>
        <w:rPr>
          <w:rFonts w:ascii="Arial" w:cs="Arial" w:eastAsia="Arial" w:hAnsi="Arial"/>
          <w:sz w:val="18"/>
          <w:szCs w:val="18"/>
        </w:rPr>
        <w:t xml:space="preserve">[10] M. Weber et al., "Anti-Money Laundering in Bitcoin: Experimenting with Graph Convolutional Networks for Financial Forensics," KDD 2019 Workshop.</w:t>
      </w:r>
    </w:p>
    <w:p>
      <w:pPr>
        <w:spacing w:after="80"/>
        <w:ind w:left="360" w:hanging="360"/>
      </w:pPr>
      <w:r>
        <w:rPr>
          <w:rFonts w:ascii="Arial" w:cs="Arial" w:eastAsia="Arial" w:hAnsi="Arial"/>
          <w:sz w:val="18"/>
          <w:szCs w:val="18"/>
        </w:rPr>
        <w:t xml:space="preserve">[11] F. Poursafaei et al., "Towards Better Evaluation for Dynamic Link Prediction," NeurIPS 2022.</w:t>
      </w:r>
    </w:p>
    <w:p>
      <w:pPr>
        <w:spacing w:after="80"/>
        <w:ind w:left="360" w:hanging="360"/>
      </w:pPr>
      <w:r>
        <w:rPr>
          <w:rFonts w:ascii="Arial" w:cs="Arial" w:eastAsia="Arial" w:hAnsi="Arial"/>
          <w:sz w:val="18"/>
          <w:szCs w:val="18"/>
        </w:rPr>
        <w:t xml:space="preserve">[12] S. Rayana and L. Akoglu, "Collective Opinion Spam Detection: Bridging Review Networks and Metadata," KDD 2015.</w:t>
      </w:r>
    </w:p>
    <w:p>
      <w:pPr>
        <w:spacing w:after="80"/>
        <w:ind w:left="360" w:hanging="360"/>
      </w:pPr>
      <w:r>
        <w:rPr>
          <w:rFonts w:ascii="Arial" w:cs="Arial" w:eastAsia="Arial" w:hAnsi="Arial"/>
          <w:sz w:val="18"/>
          <w:szCs w:val="18"/>
        </w:rPr>
        <w:t xml:space="preserve">[13] J. McAuley and J. Leskovec, "From Amateurs to Connoisseurs: Modeling the Evolution of User Expertise through Online Reviews," WWW 2013.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color w:val="888888"/>
        <w:sz w:val="16"/>
        <w:szCs w:val="16"/>
      </w:rPr>
      <w:t xml:space="preserve">Andre da Costa Silva — ITA / Lend Technology</w:t>
    </w:r>
    <w: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i/>
        <w:iCs/>
        <w:color w:val="555555"/>
        <w:sz w:val="16"/>
        <w:szCs w:val="16"/>
      </w:rPr>
      <w:t xml:space="preserve">BTCS: Hierarchical Graph Segmentation for AML Case Generation</w:t>
    </w:r>
    <w:r>
      <w:rPr>
        <w:sz w:val="16"/>
        <w:szCs w:val="16"/>
      </w:rPr>
      <w:t xml:space="preserve">	</w:t>
    </w:r>
    <w:r>
      <w:rPr>
        <w:color w:val="888888"/>
        <w:sz w:val="16"/>
        <w:szCs w:val="16"/>
      </w:rPr>
      <w:t xml:space="preserve">Draft — ICDM 2026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52F"/>
      <w:sz w:val="24"/>
      <w:szCs w:val="24"/>
    </w:rPr>
  </w:style>
  <w:style w:type="paragraph" w:styleId="Heading2">
    <w:name w:val="Heading 2"/>
    <w:basedOn w:val="Normal"/>
    <w:next w:val="Normal"/>
    <w:qFormat/>
    <w:pPr>
      <w:spacing w:after="80" w:before="200"/>
      <w:outlineLvl w:val="1"/>
    </w:pPr>
    <w:rPr>
      <w:rFonts w:ascii="Arial" w:cs="Arial" w:eastAsia="Arial" w:hAnsi="Arial"/>
      <w:b/>
      <w:bCs/>
      <w:color w:val="2C3E50"/>
      <w:sz w:val="22"/>
      <w:szCs w:val="22"/>
    </w:rPr>
  </w:style>
  <w:style w:type="paragraph" w:styleId="Heading3">
    <w:name w:val="Heading 3"/>
    <w:basedOn w:val="Normal"/>
    <w:next w:val="Normal"/>
    <w:qFormat/>
    <w:pPr>
      <w:spacing w:after="60" w:before="140"/>
      <w:outlineLvl w:val="2"/>
    </w:pPr>
    <w:rPr>
      <w:rFonts w:ascii="Arial" w:cs="Arial" w:eastAsia="Arial" w:hAnsi="Arial"/>
      <w:b/>
      <w:bCs/>
      <w:i/>
      <w:iCs/>
      <w:color w:val="34495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2026-03-18T00:42:03.632Z</dcterms:created>
  <dcterms:modified xsi:type="dcterms:W3CDTF">2026-03-18T00:42:03.634Z</dcterms:modified>
</cp:coreProperties>
</file>

<file path=docProps/custom.xml><?xml version="1.0" encoding="utf-8"?>
<Properties xmlns="http://schemas.openxmlformats.org/officeDocument/2006/custom-properties" xmlns:vt="http://schemas.openxmlformats.org/officeDocument/2006/docPropsVTypes"/>
</file>