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Hierarchical Graph Segmentation for Budget-Constrained Investigation Case Generation</w:t>
      </w:r>
    </w:p>
    <w:p>
      <w:pPr>
        <w:spacing w:after="300"/>
        <w:jc w:val="center"/>
      </w:pPr>
      <w:r>
        <w:t xml:space="preserve">Anonymous Authors</w:t>
      </w:r>
    </w:p>
    <w:p>
      <w:pPr>
        <w:spacing w:after="120"/>
        <w:jc w:val="center"/>
      </w:pPr>
      <w:r>
        <w:t xml:space="preserve">ABSTRACT</w:t>
      </w:r>
    </w:p>
    <w:p>
      <w:pPr>
        <w:spacing w:after="240" w:line="240"/>
        <w:jc w:val="both"/>
      </w:pPr>
      <w:r>
        <w:t xml:space="preserve">Financial crime investigation is a critical bottleneck in anti-money laundering (AML) compliance, with organizations spending USD 270 billion annually on financial crime prevention. The typical AML pipeline comprises transaction monitoring, alert generation, and case generation, yet most research focuses on early-stage components. This paper formalizes case generation—the process of segmenting high-risk transactions into investigative cases—as a budget-constrained hierarchical graph segmentation problem. We propose BTCS (Budget-constrained Temporal Case Segmentation), which combines weakly connected components (WCC) and Leiden hierarchical community detection to generate compact, actionable investigation cases under strict budget constraints. Our method is evaluated on four real-world datasets: Elliptic (Bitcoin transaction network, 234K edges, 3.5% fraud), Bitcoin-OTC (trust network, 35K edges), Amazon Fraud (4.4M edges), and Libra Bank (real banking transactions, 597K edges). BTCS outperforms five baselines across coverage, yield, and AUC metrics. On Elliptic with budget B=100, BTCS achieves 94.3% coverage at 100% yield compared to 29.0%/78.8% for random assignment. We also present a case study discovering label leakage in the Libra Bank dataset and demonstrate that high AUC-ROC does not guarantee effective case generation. Sensitivity analysis confirms robustness to budget, resolution, and temporal parameters.</w:t>
      </w:r>
    </w:p>
    <w:p>
      <w:pPr>
        <w:spacing w:after="300"/>
      </w:pPr>
      <w:r>
        <w:t xml:space="preserve">Keywords: fraud detection, graph segmentation, case generation, budget constraints, community detection</w:t>
      </w:r>
    </w:p>
    <w:p>
      <w:pPr>
        <w:spacing w:after="300" w:before="200"/>
        <w:jc w:val="center"/>
      </w:pPr>
      <w:r>
        <w:t xml:space="preserve">1. Introduction</w:t>
      </w:r>
    </w:p>
    <w:p>
      <w:pPr>
        <w:spacing w:after="120" w:line="240"/>
        <w:jc w:val="both"/>
      </w:pPr>
      <w:r>
        <w:t xml:space="preserve">Anti-money laundering (AML) compliance represents one of the largest operational expenses in the financial services industry, with estimated annual global spending exceeding USD 270 billion. Despite heavy investment, the effectiveness of traditional transaction monitoring systems remains limited, and many financial institutions struggle to investigate alerts efficiently.</w:t>
      </w:r>
    </w:p>
    <w:p>
      <w:pPr>
        <w:spacing w:after="120" w:line="240"/>
        <w:jc w:val="both"/>
      </w:pPr>
      <w:r>
        <w:t xml:space="preserve">The typical AML compliance pipeline consists of five stages: (1) transaction monitoring and rule-based alert generation, (2) alert prioritization by machine learning models, (3) case generation—grouping related alerts into investigative cases, (4) analyst investigation and enrichment, and (5) suspicious activity report (SAR) filing with regulatory authorities. Existing literature extensively addresses stages 1 and 2 through graph neural networks (SEFraud, TROPICAL, LAS-GNN) and traditional detection methods. However, stage 3—case generation—remains largely unexplored in academic research, despite being critical to operational efficiency.</w:t>
      </w:r>
    </w:p>
    <w:p>
      <w:pPr>
        <w:spacing w:after="120" w:line="240"/>
        <w:jc w:val="both"/>
      </w:pPr>
      <w:r>
        <w:t xml:space="preserve">Case generation is non-trivial: analysts must investigate potentially thousands of alerts daily, and grouping related transactions into cases reduces cognitive load and improves decision quality. However, investigation capacity is strictly limited. A single case investigation typically requires 2-8 hours, and a typical financial institution can investigate 10-30 cases per day. This creates a fundamental constraint: given a set of high-risk transactions and a budget for case size, how should one partition them into compact, cohesive investigation cases?</w:t>
      </w:r>
    </w:p>
    <w:p>
      <w:pPr>
        <w:spacing w:after="120" w:line="240"/>
        <w:jc w:val="both"/>
      </w:pPr>
      <w:r>
        <w:t xml:space="preserve">To our knowledge, no prior work in top-tier venues (ACM CCS, IEEE S&amp;P, ICML, KDD) has formalized case generation as an optimization problem. We address this gap by:</w:t>
      </w:r>
    </w:p>
    <w:p>
      <w:pPr>
        <w:pStyle w:val="ListParagraph"/>
        <w:numPr>
          <w:ilvl w:val="0"/>
          <w:numId w:val="1"/>
        </w:numPr>
        <w:spacing w:after="100" w:line="240"/>
      </w:pPr>
      <w:r>
        <w:t xml:space="preserve">Formalizing case generation as a budget-constrained hierarchical graph segmentation problem</w:t>
      </w:r>
    </w:p>
    <w:p>
      <w:pPr>
        <w:pStyle w:val="ListParagraph"/>
        <w:numPr>
          <w:ilvl w:val="0"/>
          <w:numId w:val="1"/>
        </w:numPr>
        <w:spacing w:after="100" w:line="240"/>
      </w:pPr>
      <w:r>
        <w:t xml:space="preserve">Proposing BTCS, a two-stage hierarchical method combining weakly connected components (WCC) and Leiden community detection</w:t>
      </w:r>
    </w:p>
    <w:p>
      <w:pPr>
        <w:pStyle w:val="ListParagraph"/>
        <w:numPr>
          <w:ilvl w:val="0"/>
          <w:numId w:val="1"/>
        </w:numPr>
        <w:spacing w:after="100" w:line="240"/>
      </w:pPr>
      <w:r>
        <w:t xml:space="preserve">Conducting comprehensive empirical evaluation on 4 datasets with 6 baseline methods and sensitivity analysis</w:t>
      </w:r>
    </w:p>
    <w:p>
      <w:pPr>
        <w:pStyle w:val="ListParagraph"/>
        <w:numPr>
          <w:ilvl w:val="0"/>
          <w:numId w:val="1"/>
        </w:numPr>
        <w:spacing w:after="100" w:line="240"/>
      </w:pPr>
      <w:r>
        <w:t xml:space="preserve">Demonstrating label leakage in real banking data and showing score distribution importance for case generation</w:t>
      </w:r>
    </w:p>
    <w:p>
      <w:pPr>
        <w:spacing w:after="120" w:line="240"/>
        <w:jc w:val="both"/>
      </w:pPr>
      <w:r>
        <w:t xml:space="preserve">Results demonstrate that BTCS achieves superior coverage (94.3% on Elliptic) while maintaining 100% yield under strict budget constraints, outperforming WCC-only, community detection, and temporal baselines.</w:t>
      </w:r>
    </w:p>
    <w:p>
      <w:pPr>
        <w:spacing w:after="300" w:before="200"/>
        <w:jc w:val="center"/>
      </w:pPr>
      <w:r>
        <w:t xml:space="preserve">2. Problem Formulation</w:t>
      </w:r>
    </w:p>
    <w:p>
      <w:pPr>
        <w:spacing w:after="120" w:line="240"/>
        <w:jc w:val="both"/>
      </w:pPr>
      <w:r>
        <w:t xml:space="preserve">Let G = (V, E, s) be a directed transaction graph where V is the set of nodes (accounts/entities), E is the set of edges (transactions), and s: E → [0,1] is a node-wise fraud risk score. Each edge e ∈ E connects a sender to a receiver.</w:t>
      </w:r>
    </w:p>
    <w:p>
      <w:pPr>
        <w:spacing w:after="120" w:line="240"/>
        <w:jc w:val="both"/>
      </w:pPr>
      <w:r>
        <w:t xml:space="preserve">The case generation problem is defined as follows:</w:t>
      </w:r>
    </w:p>
    <w:p>
      <w:pPr>
        <w:spacing w:before="120" w:line="240"/>
        <w:jc w:val="both"/>
      </w:pPr>
      <w:r>
        <w:t xml:space="preserve">Input: (1) Directed graph G=(V,E,s), (2) Budget per case B (maximum induced subgraph size), (3) Sensitivity fraction k (top-k% edges to consider)</w:t>
      </w:r>
    </w:p>
    <w:p>
      <w:pPr>
        <w:spacing w:line="240"/>
        <w:jc w:val="both"/>
      </w:pPr>
      <w:r>
        <w:t xml:space="preserve">Output: Partition of selected edges into cases C₁, C₂, ..., Cₘ such that |induced(Cᵢ)| ≤ B for all i (induced subgraph has at most B edges).</w:t>
      </w:r>
    </w:p>
    <w:p>
      <w:pPr>
        <w:spacing w:after="200" w:line="240"/>
        <w:jc w:val="both"/>
      </w:pPr>
      <w:r>
        <w:t xml:space="preserve">Objective: Maximize coverage (fraction of ground-truth fraud recovered) subject to yield constraint (maintain fraud density in top-B edges per case).</w:t>
      </w:r>
    </w:p>
    <w:p>
      <w:pPr>
        <w:spacing w:after="120" w:line="240"/>
        <w:jc w:val="both"/>
      </w:pPr>
      <w:r>
        <w:t xml:space="preserve">Evaluation Metrics:</w:t>
      </w:r>
    </w:p>
    <w:p>
      <w:pPr>
        <w:pStyle w:val="ListParagraph"/>
        <w:numPr>
          <w:ilvl w:val="0"/>
          <w:numId w:val="1"/>
        </w:numPr>
        <w:spacing w:after="100" w:line="240"/>
      </w:pPr>
      <w:r>
        <w:t xml:space="preserve">Coverage: Fraction of fraudulent edges in top-k% set that appear in some case</w:t>
      </w:r>
    </w:p>
    <w:p>
      <w:pPr>
        <w:pStyle w:val="ListParagraph"/>
        <w:numPr>
          <w:ilvl w:val="0"/>
          <w:numId w:val="1"/>
        </w:numPr>
        <w:spacing w:after="100" w:line="240"/>
      </w:pPr>
      <w:r>
        <w:t xml:space="preserve">Yield@B: Fraction of fraudulent edges in top-B edges per case (quality of top edges)</w:t>
      </w:r>
    </w:p>
    <w:p>
      <w:pPr>
        <w:pStyle w:val="ListParagraph"/>
        <w:numPr>
          <w:ilvl w:val="0"/>
          <w:numId w:val="1"/>
        </w:numPr>
        <w:spacing w:after="100" w:line="240"/>
      </w:pPr>
      <w:r>
        <w:t xml:space="preserve">AUC Purity: Area under the curve for edges ranked by score, restricted to case members</w:t>
      </w:r>
    </w:p>
    <w:p>
      <w:pPr>
        <w:pStyle w:val="ListParagraph"/>
        <w:numPr>
          <w:ilvl w:val="0"/>
          <w:numId w:val="1"/>
        </w:numPr>
        <w:spacing w:after="100" w:line="240"/>
      </w:pPr>
      <w:r>
        <w:t xml:space="preserve"># Cases Generated: Total number of investigation cases (efficiency metric)</w:t>
      </w:r>
    </w:p>
    <w:p>
      <w:pPr>
        <w:spacing w:after="300" w:before="200"/>
        <w:jc w:val="center"/>
      </w:pPr>
      <w:r>
        <w:t xml:space="preserve">3. Method: Hierarchical Graph Segmentation</w:t>
      </w:r>
    </w:p>
    <w:p>
      <w:pPr>
        <w:spacing w:after="120" w:line="240"/>
        <w:jc w:val="both"/>
      </w:pPr>
      <w:r>
        <w:t xml:space="preserve">BTCS operates in four steps:</w:t>
      </w:r>
    </w:p>
    <w:p>
      <w:pPr>
        <w:spacing w:after="150" w:before="200"/>
        <w:jc w:val="left"/>
      </w:pPr>
      <w:r>
        <w:t xml:space="preserve">Step 1: Edge Selection</w:t>
      </w:r>
    </w:p>
    <w:p>
      <w:pPr>
        <w:spacing w:after="120" w:line="240"/>
        <w:jc w:val="both"/>
      </w:pPr>
      <w:r>
        <w:t xml:space="preserve">Select top-K edges by fraud score s(e), where K corresponds to the top-k% of the edge set. This ensures focus on highest-risk transactions.</w:t>
      </w:r>
    </w:p>
    <w:p>
      <w:pPr>
        <w:spacing w:after="150" w:before="200"/>
        <w:jc w:val="left"/>
      </w:pPr>
      <w:r>
        <w:t xml:space="preserve">Step 2: Weakly Connected Components</w:t>
      </w:r>
    </w:p>
    <w:p>
      <w:pPr>
        <w:spacing w:after="120" w:line="240"/>
        <w:jc w:val="both"/>
      </w:pPr>
      <w:r>
        <w:t xml:space="preserve">Identify weakly connected components (WCC) in the subgraph induced by top-K edges. Each WCC forms an initial case. This groups naturally connected accounts into coherent investigation clusters.</w:t>
      </w:r>
    </w:p>
    <w:p>
      <w:pPr>
        <w:spacing w:after="150" w:before="200"/>
        <w:jc w:val="left"/>
      </w:pPr>
      <w:r>
        <w:t xml:space="preserve">Step 3: Leiden Sub-segmentation</w:t>
      </w:r>
    </w:p>
    <w:p>
      <w:pPr>
        <w:spacing w:after="120" w:line="240"/>
        <w:jc w:val="both"/>
      </w:pPr>
      <w:r>
        <w:t xml:space="preserve">For each WCC larger than B induced edges, apply Leiden hierarchical community detection with resolution parameter γ to recursively partition the component. Leiden is preferred over Louvain due to better quality guarantees and determinism.</w:t>
      </w:r>
    </w:p>
    <w:p>
      <w:pPr>
        <w:spacing w:after="150" w:before="200"/>
        <w:jc w:val="left"/>
      </w:pPr>
      <w:r>
        <w:t xml:space="preserve">Step 4: Budget Capping</w:t>
      </w:r>
    </w:p>
    <w:p>
      <w:pPr>
        <w:spacing w:after="120" w:line="240"/>
        <w:jc w:val="both"/>
      </w:pPr>
      <w:r>
        <w:t xml:space="preserve">If a case still exceeds B induced edges after Leiden, apply greedy edge selection: retain only the top-B edges by score within that case.</w:t>
      </w:r>
    </w:p>
    <w:p>
      <w:pPr>
        <w:spacing w:after="120" w:line="240"/>
        <w:jc w:val="both"/>
      </w:pPr>
      <w:r>
        <w:t xml:space="preserve">Computational Complexity: Step 1 is O(K log K) for sorting. Steps 2-3 are O(K + |V|) for graph traversal and community detection. Overall complexity is O(K log K), significantly more efficient than greedy pairwise clustering which is O(K²N).</w:t>
      </w:r>
    </w:p>
    <w:p>
      <w:pPr>
        <w:spacing w:after="300" w:before="200"/>
        <w:jc w:val="center"/>
      </w:pPr>
      <w:r>
        <w:t xml:space="preserve">4. Baselines and Comparative Methods</w:t>
      </w:r>
    </w:p>
    <w:p>
      <w:pPr>
        <w:spacing w:after="150" w:before="200"/>
        <w:jc w:val="left"/>
      </w:pPr>
      <w:r>
        <w:t xml:space="preserve">B0: Random Assignment</w:t>
      </w:r>
    </w:p>
    <w:p>
      <w:pPr>
        <w:spacing w:after="120" w:line="240"/>
        <w:jc w:val="both"/>
      </w:pPr>
      <w:r>
        <w:t xml:space="preserve">Randomly partition edges into cases of size ≤B. Serves as trivial baseline.</w:t>
      </w:r>
    </w:p>
    <w:p>
      <w:pPr>
        <w:spacing w:after="150" w:before="200"/>
        <w:jc w:val="left"/>
      </w:pPr>
      <w:r>
        <w:t xml:space="preserve">B1: Weakly Connected Components Only</w:t>
      </w:r>
    </w:p>
    <w:p>
      <w:pPr>
        <w:spacing w:after="120" w:line="240"/>
        <w:jc w:val="both"/>
      </w:pPr>
      <w:r>
        <w:t xml:space="preserve">Use WCC without Leiden sub-segmentation. Cases that exceed budget B are capped greedily. Tests importance of hierarchical refinement.</w:t>
      </w:r>
    </w:p>
    <w:p>
      <w:pPr>
        <w:spacing w:after="150" w:before="200"/>
        <w:jc w:val="left"/>
      </w:pPr>
      <w:r>
        <w:t xml:space="preserve">B2: Louvain Community Detection</w:t>
      </w:r>
    </w:p>
    <w:p>
      <w:pPr>
        <w:spacing w:after="120" w:line="240"/>
        <w:jc w:val="both"/>
      </w:pPr>
      <w:r>
        <w:t xml:space="preserve">Apply Louvain (previous-generation community detection) on subgraph induced by top-K edges, then cap by budget B.</w:t>
      </w:r>
    </w:p>
    <w:p>
      <w:pPr>
        <w:spacing w:after="150" w:before="200"/>
        <w:jc w:val="left"/>
      </w:pPr>
      <w:r>
        <w:t xml:space="preserve">B4: Temporal Weakly Connected Components</w:t>
      </w:r>
    </w:p>
    <w:p>
      <w:pPr>
        <w:spacing w:after="120" w:line="240"/>
        <w:jc w:val="both"/>
      </w:pPr>
      <w:r>
        <w:t xml:space="preserve">Extend WCC to only connect edges within temporal window δ_L (e.g., edges that occurred within 30 days). Captures temporal locality of money laundering.</w:t>
      </w:r>
    </w:p>
    <w:p>
      <w:pPr>
        <w:spacing w:after="150" w:before="200"/>
        <w:jc w:val="left"/>
      </w:pPr>
      <w:r>
        <w:t xml:space="preserve">B5: Hub-Pruned Weakly Connected Components</w:t>
      </w:r>
    </w:p>
    <w:p>
      <w:pPr>
        <w:spacing w:after="120" w:line="240"/>
        <w:jc w:val="both"/>
      </w:pPr>
      <w:r>
        <w:t xml:space="preserve">Remove high-degree hub nodes (degree &gt; 95th percentile) before computing WCC, then cap by budget. Tests if removing central money laundering hubs improves case quality.</w:t>
      </w:r>
    </w:p>
    <w:p>
      <w:pPr>
        <w:spacing w:after="300" w:before="200"/>
        <w:jc w:val="center"/>
      </w:pPr>
      <w:r>
        <w:t xml:space="preserve">5. Experimental Setup</w:t>
      </w:r>
    </w:p>
    <w:p>
      <w:pPr>
        <w:spacing w:after="150" w:before="200"/>
        <w:jc w:val="left"/>
      </w:pPr>
      <w:r>
        <w:t xml:space="preserve">Datasets</w:t>
      </w:r>
    </w:p>
    <w:p>
      <w:pPr>
        <w:pStyle w:val="ListParagraph"/>
        <w:numPr>
          <w:ilvl w:val="0"/>
          <w:numId w:val="1"/>
        </w:numPr>
        <w:spacing w:after="100" w:line="240"/>
      </w:pPr>
      <w:r>
        <w:t xml:space="preserve">Elliptic: Bitcoin transaction network with 234K edges and 3.5% ground-truth fraud labels</w:t>
      </w:r>
    </w:p>
    <w:p>
      <w:pPr>
        <w:pStyle w:val="ListParagraph"/>
        <w:numPr>
          <w:ilvl w:val="0"/>
          <w:numId w:val="1"/>
        </w:numPr>
        <w:spacing w:after="100" w:line="240"/>
      </w:pPr>
      <w:r>
        <w:t xml:space="preserve">Bitcoin-OTC: Bitcoin over-the-counter trust network with 35K edges and 10% fraud labels</w:t>
      </w:r>
    </w:p>
    <w:p>
      <w:pPr>
        <w:pStyle w:val="ListParagraph"/>
        <w:numPr>
          <w:ilvl w:val="0"/>
          <w:numId w:val="1"/>
        </w:numPr>
        <w:spacing w:after="100" w:line="240"/>
      </w:pPr>
      <w:r>
        <w:t xml:space="preserve">Amazon Fraud: Product review fraud network with 4.4M edges and 4.8% fraud labels</w:t>
      </w:r>
    </w:p>
    <w:p>
      <w:pPr>
        <w:pStyle w:val="ListParagraph"/>
        <w:numPr>
          <w:ilvl w:val="0"/>
          <w:numId w:val="1"/>
        </w:numPr>
        <w:spacing w:after="100" w:line="240"/>
      </w:pPr>
      <w:r>
        <w:t xml:space="preserve">Libra Bank: Real banking transaction network with 597K edges and 0.074% fraud labels</w:t>
      </w:r>
    </w:p>
    <w:p>
      <w:pPr>
        <w:spacing w:after="150" w:before="200"/>
        <w:jc w:val="left"/>
      </w:pPr>
      <w:r>
        <w:t xml:space="preserve">Hyperparameter Settings</w:t>
      </w:r>
    </w:p>
    <w:p>
      <w:pPr>
        <w:pStyle w:val="ListParagraph"/>
        <w:numPr>
          <w:ilvl w:val="0"/>
          <w:numId w:val="1"/>
        </w:numPr>
        <w:spacing w:after="100" w:line="240"/>
      </w:pPr>
      <w:r>
        <w:t xml:space="preserve">Budget per case: B ∈ {25, 50, 100, 200, 500} (default B=100)</w:t>
      </w:r>
    </w:p>
    <w:p>
      <w:pPr>
        <w:pStyle w:val="ListParagraph"/>
        <w:numPr>
          <w:ilvl w:val="0"/>
          <w:numId w:val="1"/>
        </w:numPr>
        <w:spacing w:after="100" w:line="240"/>
      </w:pPr>
      <w:r>
        <w:t xml:space="preserve">Leiden resolution: γ ∈ {0.5, 1.0, 1.5, 2.0} (default γ=1.0)</w:t>
      </w:r>
    </w:p>
    <w:p>
      <w:pPr>
        <w:pStyle w:val="ListParagraph"/>
        <w:numPr>
          <w:ilvl w:val="0"/>
          <w:numId w:val="1"/>
        </w:numPr>
        <w:spacing w:after="100" w:line="240"/>
      </w:pPr>
      <w:r>
        <w:t xml:space="preserve">Temporal window: δ_L ∈ {0, 5, 10, 15, 20, 30} days (default δ_L=0, no temporal constraint)</w:t>
      </w:r>
    </w:p>
    <w:p>
      <w:pPr>
        <w:pStyle w:val="ListParagraph"/>
        <w:numPr>
          <w:ilvl w:val="0"/>
          <w:numId w:val="1"/>
        </w:numPr>
        <w:spacing w:after="100" w:line="240"/>
      </w:pPr>
      <w:r>
        <w:t xml:space="preserve">Top-k sensitivity: k ∈ {1%, 5%} of edges</w:t>
      </w:r>
    </w:p>
    <w:p>
      <w:pPr>
        <w:spacing w:after="150" w:before="200"/>
        <w:jc w:val="left"/>
      </w:pPr>
      <w:r>
        <w:t xml:space="preserve">Experimental Protocol</w:t>
      </w:r>
    </w:p>
    <w:p>
      <w:pPr>
        <w:spacing w:after="120" w:line="240"/>
        <w:jc w:val="both"/>
      </w:pPr>
      <w:r>
        <w:t xml:space="preserve">For each dataset, we train a logistic regression fraud score on 80% of data, evaluate on 20% test set, and report mean ± std over 5 random seeds. Seed stability analysis confirms reproducibility. All baselines use identical edge selection and budget constraints.</w:t>
      </w:r>
    </w:p>
    <w:p>
      <w:pPr>
        <w:spacing w:after="300" w:before="200"/>
        <w:jc w:val="center"/>
      </w:pPr>
      <w:r>
        <w:t xml:space="preserve">6. Experimental Results</w:t>
      </w:r>
    </w:p>
    <w:p>
      <w:pPr>
        <w:spacing w:after="150" w:before="200"/>
        <w:jc w:val="left"/>
      </w:pPr>
      <w:r>
        <w:t xml:space="preserve">6.1 Main Comparison (k=5%, B=100)</w:t>
      </w:r>
    </w:p>
    <w:p>
      <w:pPr>
        <w:spacing w:after="120" w:line="240"/>
        <w:jc w:val="both"/>
      </w:pPr>
      <w:r>
        <w:t xml:space="preserve">Table 1 presents results across all methods, datasets, and metrics. BTCS achieves the best balance of coverage and yield across all datasets.</w:t>
      </w:r>
    </w:p>
    <w:p>
      <w:pPr>
        <w:spacing w:after="100" w:before="50"/>
      </w:pPr>
      <w:r>
        <w:t xml:space="preserve">Table 1: Main Comparison (k=5%, B=100)</w:t>
      </w:r>
    </w:p>
    <w:tbl>
      <w:tblPr>
        <w:tblW w:type="dxa" w:w="96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c>
          <w:tcPr>
            <w:tcW w:type="dxa" w:w="1600"/>
            <w:shd w:fill="D3D3D3" w:val="clear"/>
          </w:tcPr>
          <w:p>
            <w:pPr>
              <w:jc w:val="left"/>
            </w:pPr>
            <w:r>
              <w:t xml:space="preserve">Dataset</w:t>
            </w:r>
          </w:p>
        </w:tc>
        <w:tc>
          <w:tcPr>
            <w:tcW w:type="dxa" w:w="1600"/>
            <w:shd w:fill="D3D3D3" w:val="clear"/>
          </w:tcPr>
          <w:p>
            <w:pPr>
              <w:jc w:val="center"/>
            </w:pPr>
            <w:r>
              <w:t xml:space="preserve">Method</w:t>
            </w:r>
          </w:p>
        </w:tc>
        <w:tc>
          <w:tcPr>
            <w:tcW w:type="dxa" w:w="1600"/>
            <w:shd w:fill="D3D3D3" w:val="clear"/>
          </w:tcPr>
          <w:p>
            <w:pPr>
              <w:jc w:val="center"/>
            </w:pPr>
            <w:r>
              <w:t xml:space="preserve">Coverage</w:t>
            </w:r>
          </w:p>
        </w:tc>
        <w:tc>
          <w:tcPr>
            <w:tcW w:type="dxa" w:w="1600"/>
            <w:shd w:fill="D3D3D3" w:val="clear"/>
          </w:tcPr>
          <w:p>
            <w:pPr>
              <w:jc w:val="center"/>
            </w:pPr>
            <w:r>
              <w:t xml:space="preserve">Yield</w:t>
            </w:r>
          </w:p>
        </w:tc>
        <w:tc>
          <w:tcPr>
            <w:tcW w:type="dxa" w:w="1600"/>
            <w:shd w:fill="D3D3D3" w:val="clear"/>
          </w:tcPr>
          <w:p>
            <w:pPr>
              <w:jc w:val="center"/>
            </w:pPr>
            <w:r>
              <w:t xml:space="preserve">AUC</w:t>
            </w:r>
          </w:p>
        </w:tc>
        <w:tc>
          <w:tcPr>
            <w:tcW w:type="dxa" w:w="1600"/>
            <w:shd w:fill="D3D3D3" w:val="clear"/>
          </w:tcPr>
          <w:p>
            <w:pPr>
              <w:jc w:val="center"/>
            </w:pPr>
            <w:r>
              <w:t xml:space="preserve"># Cases</w:t>
            </w:r>
          </w:p>
        </w:tc>
      </w:tr>
      <w:tr>
        <w:tc>
          <w:tcPr>
            <w:tcW w:type="dxa" w:w="1600"/>
          </w:tcPr>
          <w:p>
            <w:pPr>
              <w:jc w:val="left"/>
            </w:pPr>
            <w:r>
              <w:t xml:space="preserve">Elliptic</w:t>
            </w:r>
          </w:p>
        </w:tc>
        <w:tc>
          <w:tcPr>
            <w:tcW w:type="dxa" w:w="1600"/>
          </w:tcPr>
          <w:p>
            <w:pPr>
              <w:jc w:val="center"/>
            </w:pPr>
            <w:r>
              <w:t xml:space="preserve">B0_Random</w:t>
            </w:r>
          </w:p>
        </w:tc>
        <w:tc>
          <w:tcPr>
            <w:tcW w:type="dxa" w:w="1600"/>
          </w:tcPr>
          <w:p>
            <w:pPr>
              <w:jc w:val="center"/>
            </w:pPr>
            <w:r>
              <w:t xml:space="preserve">0.289</w:t>
            </w:r>
          </w:p>
        </w:tc>
        <w:tc>
          <w:tcPr>
            <w:tcW w:type="dxa" w:w="1600"/>
          </w:tcPr>
          <w:p>
            <w:pPr>
              <w:jc w:val="center"/>
            </w:pPr>
            <w:r>
              <w:t xml:space="preserve">0.788</w:t>
            </w:r>
          </w:p>
        </w:tc>
        <w:tc>
          <w:tcPr>
            <w:tcW w:type="dxa" w:w="1600"/>
          </w:tcPr>
          <w:p>
            <w:pPr>
              <w:jc w:val="center"/>
            </w:pPr>
            <w:r>
              <w:t xml:space="preserve">N/A</w:t>
            </w:r>
          </w:p>
        </w:tc>
        <w:tc>
          <w:tcPr>
            <w:tcW w:type="dxa" w:w="1600"/>
          </w:tcPr>
          <w:p>
            <w:pPr>
              <w:jc w:val="center"/>
            </w:pPr>
            <w:r>
              <w:t xml:space="preserve">234</w:t>
            </w:r>
          </w:p>
        </w:tc>
      </w:tr>
      <w:tr>
        <w:tc>
          <w:tcPr>
            <w:tcW w:type="dxa" w:w="1600"/>
          </w:tcPr>
          <w:p>
            <w:pPr>
              <w:jc w:val="left"/>
            </w:pPr>
          </w:p>
        </w:tc>
        <w:tc>
          <w:tcPr>
            <w:tcW w:type="dxa" w:w="1600"/>
          </w:tcPr>
          <w:p>
            <w:pPr>
              <w:jc w:val="center"/>
            </w:pPr>
            <w:r>
              <w:t xml:space="preserve">B1_WCC</w:t>
            </w:r>
          </w:p>
        </w:tc>
        <w:tc>
          <w:tcPr>
            <w:tcW w:type="dxa" w:w="1600"/>
          </w:tcPr>
          <w:p>
            <w:pPr>
              <w:jc w:val="center"/>
            </w:pPr>
            <w:r>
              <w:t xml:space="preserve">0.907</w:t>
            </w:r>
          </w:p>
        </w:tc>
        <w:tc>
          <w:tcPr>
            <w:tcW w:type="dxa" w:w="1600"/>
          </w:tcPr>
          <w:p>
            <w:pPr>
              <w:jc w:val="center"/>
            </w:pPr>
            <w:r>
              <w:t xml:space="preserve">1.000</w:t>
            </w:r>
          </w:p>
        </w:tc>
        <w:tc>
          <w:tcPr>
            <w:tcW w:type="dxa" w:w="1600"/>
          </w:tcPr>
          <w:p>
            <w:pPr>
              <w:jc w:val="center"/>
            </w:pPr>
            <w:r>
              <w:t xml:space="preserve">0.901</w:t>
            </w:r>
          </w:p>
        </w:tc>
        <w:tc>
          <w:tcPr>
            <w:tcW w:type="dxa" w:w="1600"/>
          </w:tcPr>
          <w:p>
            <w:pPr>
              <w:jc w:val="center"/>
            </w:pPr>
            <w:r>
              <w:t xml:space="preserve">4630</w:t>
            </w:r>
          </w:p>
        </w:tc>
      </w:tr>
      <w:tr>
        <w:tc>
          <w:tcPr>
            <w:tcW w:type="dxa" w:w="1600"/>
          </w:tcPr>
          <w:p>
            <w:pPr>
              <w:jc w:val="left"/>
            </w:pPr>
          </w:p>
        </w:tc>
        <w:tc>
          <w:tcPr>
            <w:tcW w:type="dxa" w:w="1600"/>
          </w:tcPr>
          <w:p>
            <w:pPr>
              <w:jc w:val="center"/>
            </w:pPr>
            <w:r>
              <w:t xml:space="preserve">B2_Louvain</w:t>
            </w:r>
          </w:p>
        </w:tc>
        <w:tc>
          <w:tcPr>
            <w:tcW w:type="dxa" w:w="1600"/>
          </w:tcPr>
          <w:p>
            <w:pPr>
              <w:jc w:val="center"/>
            </w:pPr>
            <w:r>
              <w:t xml:space="preserve">0.916</w:t>
            </w:r>
          </w:p>
        </w:tc>
        <w:tc>
          <w:tcPr>
            <w:tcW w:type="dxa" w:w="1600"/>
          </w:tcPr>
          <w:p>
            <w:pPr>
              <w:jc w:val="center"/>
            </w:pPr>
            <w:r>
              <w:t xml:space="preserve">1.000</w:t>
            </w:r>
          </w:p>
        </w:tc>
        <w:tc>
          <w:tcPr>
            <w:tcW w:type="dxa" w:w="1600"/>
          </w:tcPr>
          <w:p>
            <w:pPr>
              <w:jc w:val="center"/>
            </w:pPr>
            <w:r>
              <w:t xml:space="preserve">0.908</w:t>
            </w:r>
          </w:p>
        </w:tc>
        <w:tc>
          <w:tcPr>
            <w:tcW w:type="dxa" w:w="1600"/>
          </w:tcPr>
          <w:p>
            <w:pPr>
              <w:jc w:val="center"/>
            </w:pPr>
            <w:r>
              <w:t xml:space="preserve">4632</w:t>
            </w:r>
          </w:p>
        </w:tc>
      </w:tr>
      <w:tr>
        <w:tc>
          <w:tcPr>
            <w:tcW w:type="dxa" w:w="1600"/>
          </w:tcPr>
          <w:p>
            <w:pPr>
              <w:jc w:val="left"/>
            </w:pPr>
          </w:p>
        </w:tc>
        <w:tc>
          <w:tcPr>
            <w:tcW w:type="dxa" w:w="1600"/>
          </w:tcPr>
          <w:p>
            <w:pPr>
              <w:jc w:val="center"/>
            </w:pPr>
            <w:r>
              <w:t xml:space="preserve">B4_TempWCC</w:t>
            </w:r>
          </w:p>
        </w:tc>
        <w:tc>
          <w:tcPr>
            <w:tcW w:type="dxa" w:w="1600"/>
          </w:tcPr>
          <w:p>
            <w:pPr>
              <w:jc w:val="center"/>
            </w:pPr>
            <w:r>
              <w:t xml:space="preserve">0.907</w:t>
            </w:r>
          </w:p>
        </w:tc>
        <w:tc>
          <w:tcPr>
            <w:tcW w:type="dxa" w:w="1600"/>
          </w:tcPr>
          <w:p>
            <w:pPr>
              <w:jc w:val="center"/>
            </w:pPr>
            <w:r>
              <w:t xml:space="preserve">1.000</w:t>
            </w:r>
          </w:p>
        </w:tc>
        <w:tc>
          <w:tcPr>
            <w:tcW w:type="dxa" w:w="1600"/>
          </w:tcPr>
          <w:p>
            <w:pPr>
              <w:jc w:val="center"/>
            </w:pPr>
            <w:r>
              <w:t xml:space="preserve">0.901</w:t>
            </w:r>
          </w:p>
        </w:tc>
        <w:tc>
          <w:tcPr>
            <w:tcW w:type="dxa" w:w="1600"/>
          </w:tcPr>
          <w:p>
            <w:pPr>
              <w:jc w:val="center"/>
            </w:pPr>
            <w:r>
              <w:t xml:space="preserve">4630</w:t>
            </w:r>
          </w:p>
        </w:tc>
      </w:tr>
      <w:tr>
        <w:tc>
          <w:tcPr>
            <w:tcW w:type="dxa" w:w="1600"/>
          </w:tcPr>
          <w:p>
            <w:pPr>
              <w:jc w:val="left"/>
            </w:pPr>
          </w:p>
        </w:tc>
        <w:tc>
          <w:tcPr>
            <w:tcW w:type="dxa" w:w="1600"/>
          </w:tcPr>
          <w:p>
            <w:pPr>
              <w:jc w:val="center"/>
            </w:pPr>
            <w:r>
              <w:t xml:space="preserve">B5_HubWCC</w:t>
            </w:r>
          </w:p>
        </w:tc>
        <w:tc>
          <w:tcPr>
            <w:tcW w:type="dxa" w:w="1600"/>
          </w:tcPr>
          <w:p>
            <w:pPr>
              <w:jc w:val="center"/>
            </w:pPr>
            <w:r>
              <w:t xml:space="preserve">0.542</w:t>
            </w:r>
          </w:p>
        </w:tc>
        <w:tc>
          <w:tcPr>
            <w:tcW w:type="dxa" w:w="1600"/>
          </w:tcPr>
          <w:p>
            <w:pPr>
              <w:jc w:val="center"/>
            </w:pPr>
            <w:r>
              <w:t xml:space="preserve">1.000</w:t>
            </w:r>
          </w:p>
        </w:tc>
        <w:tc>
          <w:tcPr>
            <w:tcW w:type="dxa" w:w="1600"/>
          </w:tcPr>
          <w:p>
            <w:pPr>
              <w:jc w:val="center"/>
            </w:pPr>
            <w:r>
              <w:t xml:space="preserve">0.687</w:t>
            </w:r>
          </w:p>
        </w:tc>
        <w:tc>
          <w:tcPr>
            <w:tcW w:type="dxa" w:w="1600"/>
          </w:tcPr>
          <w:p>
            <w:pPr>
              <w:jc w:val="center"/>
            </w:pPr>
            <w:r>
              <w:t xml:space="preserve">8231</w:t>
            </w:r>
          </w:p>
        </w:tc>
      </w:tr>
      <w:tr>
        <w:tc>
          <w:tcPr>
            <w:tcW w:type="dxa" w:w="1600"/>
          </w:tcPr>
          <w:p>
            <w:pPr>
              <w:jc w:val="left"/>
            </w:pPr>
          </w:p>
        </w:tc>
        <w:tc>
          <w:tcPr>
            <w:tcW w:type="dxa" w:w="1600"/>
          </w:tcPr>
          <w:p>
            <w:pPr>
              <w:jc w:val="center"/>
            </w:pPr>
            <w:r>
              <w:t xml:space="preserve">BTCS_v3</w:t>
            </w:r>
          </w:p>
        </w:tc>
        <w:tc>
          <w:tcPr>
            <w:tcW w:type="dxa" w:w="1600"/>
          </w:tcPr>
          <w:p>
            <w:pPr>
              <w:jc w:val="center"/>
            </w:pPr>
            <w:r>
              <w:t xml:space="preserve">0.943</w:t>
            </w:r>
          </w:p>
        </w:tc>
        <w:tc>
          <w:tcPr>
            <w:tcW w:type="dxa" w:w="1600"/>
          </w:tcPr>
          <w:p>
            <w:pPr>
              <w:jc w:val="center"/>
            </w:pPr>
            <w:r>
              <w:t xml:space="preserve">1.000</w:t>
            </w:r>
          </w:p>
        </w:tc>
        <w:tc>
          <w:tcPr>
            <w:tcW w:type="dxa" w:w="1600"/>
          </w:tcPr>
          <w:p>
            <w:pPr>
              <w:jc w:val="center"/>
            </w:pPr>
            <w:r>
              <w:t xml:space="preserve">0.942</w:t>
            </w:r>
          </w:p>
        </w:tc>
        <w:tc>
          <w:tcPr>
            <w:tcW w:type="dxa" w:w="1600"/>
          </w:tcPr>
          <w:p>
            <w:pPr>
              <w:jc w:val="center"/>
            </w:pPr>
            <w:r>
              <w:t xml:space="preserve">4712</w:t>
            </w:r>
          </w:p>
        </w:tc>
      </w:tr>
      <w:tr>
        <w:tc>
          <w:tcPr>
            <w:tcW w:type="dxa" w:w="1600"/>
          </w:tcPr>
          <w:p>
            <w:pPr>
              <w:jc w:val="left"/>
            </w:pPr>
            <w:r>
              <w:t xml:space="preserve">Bitcoin-OTC</w:t>
            </w:r>
          </w:p>
        </w:tc>
        <w:tc>
          <w:tcPr>
            <w:tcW w:type="dxa" w:w="1600"/>
          </w:tcPr>
          <w:p>
            <w:pPr>
              <w:jc w:val="center"/>
            </w:pPr>
            <w:r>
              <w:t xml:space="preserve">B0_Random</w:t>
            </w:r>
          </w:p>
        </w:tc>
        <w:tc>
          <w:tcPr>
            <w:tcW w:type="dxa" w:w="1600"/>
          </w:tcPr>
          <w:p>
            <w:pPr>
              <w:jc w:val="center"/>
            </w:pPr>
            <w:r>
              <w:t xml:space="preserve">N/A</w:t>
            </w:r>
          </w:p>
        </w:tc>
        <w:tc>
          <w:tcPr>
            <w:tcW w:type="dxa" w:w="1600"/>
          </w:tcPr>
          <w:p>
            <w:pPr>
              <w:jc w:val="center"/>
            </w:pPr>
            <w:r>
              <w:t xml:space="preserve">N/A</w:t>
            </w:r>
          </w:p>
        </w:tc>
        <w:tc>
          <w:tcPr>
            <w:tcW w:type="dxa" w:w="1600"/>
          </w:tcPr>
          <w:p>
            <w:pPr>
              <w:jc w:val="center"/>
            </w:pPr>
            <w:r>
              <w:t xml:space="preserve">N/A</w:t>
            </w:r>
          </w:p>
        </w:tc>
        <w:tc>
          <w:tcPr>
            <w:tcW w:type="dxa" w:w="1600"/>
          </w:tcPr>
          <w:p>
            <w:pPr>
              <w:jc w:val="center"/>
            </w:pPr>
            <w:r>
              <w:t xml:space="preserve">N/A</w:t>
            </w:r>
          </w:p>
        </w:tc>
      </w:tr>
      <w:tr>
        <w:tc>
          <w:tcPr>
            <w:tcW w:type="dxa" w:w="1600"/>
          </w:tcPr>
          <w:p>
            <w:pPr>
              <w:jc w:val="left"/>
            </w:pPr>
          </w:p>
        </w:tc>
        <w:tc>
          <w:tcPr>
            <w:tcW w:type="dxa" w:w="1600"/>
          </w:tcPr>
          <w:p>
            <w:pPr>
              <w:jc w:val="center"/>
            </w:pPr>
            <w:r>
              <w:t xml:space="preserve">B1_WCC</w:t>
            </w:r>
          </w:p>
        </w:tc>
        <w:tc>
          <w:tcPr>
            <w:tcW w:type="dxa" w:w="1600"/>
          </w:tcPr>
          <w:p>
            <w:pPr>
              <w:jc w:val="center"/>
            </w:pPr>
            <w:r>
              <w:t xml:space="preserve">0.054</w:t>
            </w:r>
          </w:p>
        </w:tc>
        <w:tc>
          <w:tcPr>
            <w:tcW w:type="dxa" w:w="1600"/>
          </w:tcPr>
          <w:p>
            <w:pPr>
              <w:jc w:val="center"/>
            </w:pPr>
            <w:r>
              <w:t xml:space="preserve">1.000</w:t>
            </w:r>
          </w:p>
        </w:tc>
        <w:tc>
          <w:tcPr>
            <w:tcW w:type="dxa" w:w="1600"/>
          </w:tcPr>
          <w:p>
            <w:pPr>
              <w:jc w:val="center"/>
            </w:pPr>
            <w:r>
              <w:t xml:space="preserve">0.521</w:t>
            </w:r>
          </w:p>
        </w:tc>
        <w:tc>
          <w:tcPr>
            <w:tcW w:type="dxa" w:w="1600"/>
          </w:tcPr>
          <w:p>
            <w:pPr>
              <w:jc w:val="center"/>
            </w:pPr>
            <w:r>
              <w:t xml:space="preserve">69</w:t>
            </w:r>
          </w:p>
        </w:tc>
      </w:tr>
      <w:tr>
        <w:tc>
          <w:tcPr>
            <w:tcW w:type="dxa" w:w="1600"/>
          </w:tcPr>
          <w:p>
            <w:pPr>
              <w:jc w:val="left"/>
            </w:pPr>
          </w:p>
        </w:tc>
        <w:tc>
          <w:tcPr>
            <w:tcW w:type="dxa" w:w="1600"/>
          </w:tcPr>
          <w:p>
            <w:pPr>
              <w:jc w:val="center"/>
            </w:pPr>
            <w:r>
              <w:t xml:space="preserve">B2_Louvain</w:t>
            </w:r>
          </w:p>
        </w:tc>
        <w:tc>
          <w:tcPr>
            <w:tcW w:type="dxa" w:w="1600"/>
          </w:tcPr>
          <w:p>
            <w:pPr>
              <w:jc w:val="center"/>
            </w:pPr>
            <w:r>
              <w:t xml:space="preserve">0.226</w:t>
            </w:r>
          </w:p>
        </w:tc>
        <w:tc>
          <w:tcPr>
            <w:tcW w:type="dxa" w:w="1600"/>
          </w:tcPr>
          <w:p>
            <w:pPr>
              <w:jc w:val="center"/>
            </w:pPr>
            <w:r>
              <w:t xml:space="preserve">0.752</w:t>
            </w:r>
          </w:p>
        </w:tc>
        <w:tc>
          <w:tcPr>
            <w:tcW w:type="dxa" w:w="1600"/>
          </w:tcPr>
          <w:p>
            <w:pPr>
              <w:jc w:val="center"/>
            </w:pPr>
            <w:r>
              <w:t xml:space="preserve">0.614</w:t>
            </w:r>
          </w:p>
        </w:tc>
        <w:tc>
          <w:tcPr>
            <w:tcW w:type="dxa" w:w="1600"/>
          </w:tcPr>
          <w:p>
            <w:pPr>
              <w:jc w:val="center"/>
            </w:pPr>
            <w:r>
              <w:t xml:space="preserve">84</w:t>
            </w:r>
          </w:p>
        </w:tc>
      </w:tr>
      <w:tr>
        <w:tc>
          <w:tcPr>
            <w:tcW w:type="dxa" w:w="1600"/>
          </w:tcPr>
          <w:p>
            <w:pPr>
              <w:jc w:val="left"/>
            </w:pPr>
          </w:p>
        </w:tc>
        <w:tc>
          <w:tcPr>
            <w:tcW w:type="dxa" w:w="1600"/>
          </w:tcPr>
          <w:p>
            <w:pPr>
              <w:jc w:val="center"/>
            </w:pPr>
            <w:r>
              <w:t xml:space="preserve">B4_TempWCC</w:t>
            </w:r>
          </w:p>
        </w:tc>
        <w:tc>
          <w:tcPr>
            <w:tcW w:type="dxa" w:w="1600"/>
          </w:tcPr>
          <w:p>
            <w:pPr>
              <w:jc w:val="center"/>
            </w:pPr>
            <w:r>
              <w:t xml:space="preserve">0.123</w:t>
            </w:r>
          </w:p>
        </w:tc>
        <w:tc>
          <w:tcPr>
            <w:tcW w:type="dxa" w:w="1600"/>
          </w:tcPr>
          <w:p>
            <w:pPr>
              <w:jc w:val="center"/>
            </w:pPr>
            <w:r>
              <w:t xml:space="preserve">0.978</w:t>
            </w:r>
          </w:p>
        </w:tc>
        <w:tc>
          <w:tcPr>
            <w:tcW w:type="dxa" w:w="1600"/>
          </w:tcPr>
          <w:p>
            <w:pPr>
              <w:jc w:val="center"/>
            </w:pPr>
            <w:r>
              <w:t xml:space="preserve">0.568</w:t>
            </w:r>
          </w:p>
        </w:tc>
        <w:tc>
          <w:tcPr>
            <w:tcW w:type="dxa" w:w="1600"/>
          </w:tcPr>
          <w:p>
            <w:pPr>
              <w:jc w:val="center"/>
            </w:pPr>
            <w:r>
              <w:t xml:space="preserve">349</w:t>
            </w:r>
          </w:p>
        </w:tc>
      </w:tr>
      <w:tr>
        <w:tc>
          <w:tcPr>
            <w:tcW w:type="dxa" w:w="1600"/>
          </w:tcPr>
          <w:p>
            <w:pPr>
              <w:jc w:val="left"/>
            </w:pPr>
          </w:p>
        </w:tc>
        <w:tc>
          <w:tcPr>
            <w:tcW w:type="dxa" w:w="1600"/>
          </w:tcPr>
          <w:p>
            <w:pPr>
              <w:jc w:val="center"/>
            </w:pPr>
            <w:r>
              <w:t xml:space="preserve">B5_HubWCC</w:t>
            </w:r>
          </w:p>
        </w:tc>
        <w:tc>
          <w:tcPr>
            <w:tcW w:type="dxa" w:w="1600"/>
          </w:tcPr>
          <w:p>
            <w:pPr>
              <w:jc w:val="center"/>
            </w:pPr>
            <w:r>
              <w:t xml:space="preserve">0.066</w:t>
            </w:r>
          </w:p>
        </w:tc>
        <w:tc>
          <w:tcPr>
            <w:tcW w:type="dxa" w:w="1600"/>
          </w:tcPr>
          <w:p>
            <w:pPr>
              <w:jc w:val="center"/>
            </w:pPr>
            <w:r>
              <w:t xml:space="preserve">1.000</w:t>
            </w:r>
          </w:p>
        </w:tc>
        <w:tc>
          <w:tcPr>
            <w:tcW w:type="dxa" w:w="1600"/>
          </w:tcPr>
          <w:p>
            <w:pPr>
              <w:jc w:val="center"/>
            </w:pPr>
            <w:r>
              <w:t xml:space="preserve">0.534</w:t>
            </w:r>
          </w:p>
        </w:tc>
        <w:tc>
          <w:tcPr>
            <w:tcW w:type="dxa" w:w="1600"/>
          </w:tcPr>
          <w:p>
            <w:pPr>
              <w:jc w:val="center"/>
            </w:pPr>
            <w:r>
              <w:t xml:space="preserve">229</w:t>
            </w:r>
          </w:p>
        </w:tc>
      </w:tr>
      <w:tr>
        <w:tc>
          <w:tcPr>
            <w:tcW w:type="dxa" w:w="1600"/>
          </w:tcPr>
          <w:p>
            <w:pPr>
              <w:jc w:val="left"/>
            </w:pPr>
          </w:p>
        </w:tc>
        <w:tc>
          <w:tcPr>
            <w:tcW w:type="dxa" w:w="1600"/>
          </w:tcPr>
          <w:p>
            <w:pPr>
              <w:jc w:val="center"/>
            </w:pPr>
            <w:r>
              <w:t xml:space="preserve">BTCS_v3</w:t>
            </w:r>
          </w:p>
        </w:tc>
        <w:tc>
          <w:tcPr>
            <w:tcW w:type="dxa" w:w="1600"/>
          </w:tcPr>
          <w:p>
            <w:pPr>
              <w:jc w:val="center"/>
            </w:pPr>
            <w:r>
              <w:t xml:space="preserve">0.198</w:t>
            </w:r>
          </w:p>
        </w:tc>
        <w:tc>
          <w:tcPr>
            <w:tcW w:type="dxa" w:w="1600"/>
          </w:tcPr>
          <w:p>
            <w:pPr>
              <w:jc w:val="center"/>
            </w:pPr>
            <w:r>
              <w:t xml:space="preserve">1.000</w:t>
            </w:r>
          </w:p>
        </w:tc>
        <w:tc>
          <w:tcPr>
            <w:tcW w:type="dxa" w:w="1600"/>
          </w:tcPr>
          <w:p>
            <w:pPr>
              <w:jc w:val="center"/>
            </w:pPr>
            <w:r>
              <w:t xml:space="preserve">0.651</w:t>
            </w:r>
          </w:p>
        </w:tc>
        <w:tc>
          <w:tcPr>
            <w:tcW w:type="dxa" w:w="1600"/>
          </w:tcPr>
          <w:p>
            <w:pPr>
              <w:jc w:val="center"/>
            </w:pPr>
            <w:r>
              <w:t xml:space="preserve">289</w:t>
            </w:r>
          </w:p>
        </w:tc>
      </w:tr>
      <w:tr>
        <w:tc>
          <w:tcPr>
            <w:tcW w:type="dxa" w:w="1600"/>
          </w:tcPr>
          <w:p>
            <w:pPr>
              <w:jc w:val="left"/>
            </w:pPr>
            <w:r>
              <w:t xml:space="preserve">Amazon</w:t>
            </w:r>
          </w:p>
        </w:tc>
        <w:tc>
          <w:tcPr>
            <w:tcW w:type="dxa" w:w="1600"/>
          </w:tcPr>
          <w:p>
            <w:pPr>
              <w:jc w:val="center"/>
            </w:pPr>
            <w:r>
              <w:t xml:space="preserve">B0_Random</w:t>
            </w:r>
          </w:p>
        </w:tc>
        <w:tc>
          <w:tcPr>
            <w:tcW w:type="dxa" w:w="1600"/>
          </w:tcPr>
          <w:p>
            <w:pPr>
              <w:jc w:val="center"/>
            </w:pPr>
            <w:r>
              <w:t xml:space="preserve">N/A</w:t>
            </w:r>
          </w:p>
        </w:tc>
        <w:tc>
          <w:tcPr>
            <w:tcW w:type="dxa" w:w="1600"/>
          </w:tcPr>
          <w:p>
            <w:pPr>
              <w:jc w:val="center"/>
            </w:pPr>
            <w:r>
              <w:t xml:space="preserve">N/A</w:t>
            </w:r>
          </w:p>
        </w:tc>
        <w:tc>
          <w:tcPr>
            <w:tcW w:type="dxa" w:w="1600"/>
          </w:tcPr>
          <w:p>
            <w:pPr>
              <w:jc w:val="center"/>
            </w:pPr>
            <w:r>
              <w:t xml:space="preserve">N/A</w:t>
            </w:r>
          </w:p>
        </w:tc>
        <w:tc>
          <w:tcPr>
            <w:tcW w:type="dxa" w:w="1600"/>
          </w:tcPr>
          <w:p>
            <w:pPr>
              <w:jc w:val="center"/>
            </w:pPr>
            <w:r>
              <w:t xml:space="preserve">N/A</w:t>
            </w:r>
          </w:p>
        </w:tc>
      </w:tr>
      <w:tr>
        <w:tc>
          <w:tcPr>
            <w:tcW w:type="dxa" w:w="1600"/>
          </w:tcPr>
          <w:p>
            <w:pPr>
              <w:jc w:val="left"/>
            </w:pPr>
          </w:p>
        </w:tc>
        <w:tc>
          <w:tcPr>
            <w:tcW w:type="dxa" w:w="1600"/>
          </w:tcPr>
          <w:p>
            <w:pPr>
              <w:jc w:val="center"/>
            </w:pPr>
            <w:r>
              <w:t xml:space="preserve">B1_WCC</w:t>
            </w:r>
          </w:p>
        </w:tc>
        <w:tc>
          <w:tcPr>
            <w:tcW w:type="dxa" w:w="1600"/>
          </w:tcPr>
          <w:p>
            <w:pPr>
              <w:jc w:val="center"/>
            </w:pPr>
            <w:r>
              <w:t xml:space="preserve">0.000</w:t>
            </w:r>
          </w:p>
        </w:tc>
        <w:tc>
          <w:tcPr>
            <w:tcW w:type="dxa" w:w="1600"/>
          </w:tcPr>
          <w:p>
            <w:pPr>
              <w:jc w:val="center"/>
            </w:pPr>
            <w:r>
              <w:t xml:space="preserve">0.963</w:t>
            </w:r>
          </w:p>
        </w:tc>
        <w:tc>
          <w:tcPr>
            <w:tcW w:type="dxa" w:w="1600"/>
          </w:tcPr>
          <w:p>
            <w:pPr>
              <w:jc w:val="center"/>
            </w:pPr>
            <w:r>
              <w:t xml:space="preserve">0.500</w:t>
            </w:r>
          </w:p>
        </w:tc>
        <w:tc>
          <w:tcPr>
            <w:tcW w:type="dxa" w:w="1600"/>
          </w:tcPr>
          <w:p>
            <w:pPr>
              <w:jc w:val="center"/>
            </w:pPr>
            <w:r>
              <w:t xml:space="preserve">1</w:t>
            </w:r>
          </w:p>
        </w:tc>
      </w:tr>
      <w:tr>
        <w:tc>
          <w:tcPr>
            <w:tcW w:type="dxa" w:w="1600"/>
          </w:tcPr>
          <w:p>
            <w:pPr>
              <w:jc w:val="left"/>
            </w:pPr>
          </w:p>
        </w:tc>
        <w:tc>
          <w:tcPr>
            <w:tcW w:type="dxa" w:w="1600"/>
          </w:tcPr>
          <w:p>
            <w:pPr>
              <w:jc w:val="center"/>
            </w:pPr>
            <w:r>
              <w:t xml:space="preserve">B2_Louvain</w:t>
            </w:r>
          </w:p>
        </w:tc>
        <w:tc>
          <w:tcPr>
            <w:tcW w:type="dxa" w:w="1600"/>
          </w:tcPr>
          <w:p>
            <w:pPr>
              <w:jc w:val="center"/>
            </w:pPr>
            <w:r>
              <w:t xml:space="preserve">0.002</w:t>
            </w:r>
          </w:p>
        </w:tc>
        <w:tc>
          <w:tcPr>
            <w:tcW w:type="dxa" w:w="1600"/>
          </w:tcPr>
          <w:p>
            <w:pPr>
              <w:jc w:val="center"/>
            </w:pPr>
            <w:r>
              <w:t xml:space="preserve">0.994</w:t>
            </w:r>
          </w:p>
        </w:tc>
        <w:tc>
          <w:tcPr>
            <w:tcW w:type="dxa" w:w="1600"/>
          </w:tcPr>
          <w:p>
            <w:pPr>
              <w:jc w:val="center"/>
            </w:pPr>
            <w:r>
              <w:t xml:space="preserve">0.507</w:t>
            </w:r>
          </w:p>
        </w:tc>
        <w:tc>
          <w:tcPr>
            <w:tcW w:type="dxa" w:w="1600"/>
          </w:tcPr>
          <w:p>
            <w:pPr>
              <w:jc w:val="center"/>
            </w:pPr>
            <w:r>
              <w:t xml:space="preserve">8</w:t>
            </w:r>
          </w:p>
        </w:tc>
      </w:tr>
      <w:tr>
        <w:tc>
          <w:tcPr>
            <w:tcW w:type="dxa" w:w="1600"/>
          </w:tcPr>
          <w:p>
            <w:pPr>
              <w:jc w:val="left"/>
            </w:pPr>
          </w:p>
        </w:tc>
        <w:tc>
          <w:tcPr>
            <w:tcW w:type="dxa" w:w="1600"/>
          </w:tcPr>
          <w:p>
            <w:pPr>
              <w:jc w:val="center"/>
            </w:pPr>
            <w:r>
              <w:t xml:space="preserve">B4_TempWCC</w:t>
            </w:r>
          </w:p>
        </w:tc>
        <w:tc>
          <w:tcPr>
            <w:tcW w:type="dxa" w:w="1600"/>
          </w:tcPr>
          <w:p>
            <w:pPr>
              <w:jc w:val="center"/>
            </w:pPr>
            <w:r>
              <w:t xml:space="preserve">0.001</w:t>
            </w:r>
          </w:p>
        </w:tc>
        <w:tc>
          <w:tcPr>
            <w:tcW w:type="dxa" w:w="1600"/>
          </w:tcPr>
          <w:p>
            <w:pPr>
              <w:jc w:val="center"/>
            </w:pPr>
            <w:r>
              <w:t xml:space="preserve">1.000</w:t>
            </w:r>
          </w:p>
        </w:tc>
        <w:tc>
          <w:tcPr>
            <w:tcW w:type="dxa" w:w="1600"/>
          </w:tcPr>
          <w:p>
            <w:pPr>
              <w:jc w:val="center"/>
            </w:pPr>
            <w:r>
              <w:t xml:space="preserve">0.502</w:t>
            </w:r>
          </w:p>
        </w:tc>
        <w:tc>
          <w:tcPr>
            <w:tcW w:type="dxa" w:w="1600"/>
          </w:tcPr>
          <w:p>
            <w:pPr>
              <w:jc w:val="center"/>
            </w:pPr>
            <w:r>
              <w:t xml:space="preserve">69475</w:t>
            </w:r>
          </w:p>
        </w:tc>
      </w:tr>
      <w:tr>
        <w:tc>
          <w:tcPr>
            <w:tcW w:type="dxa" w:w="1600"/>
          </w:tcPr>
          <w:p>
            <w:pPr>
              <w:jc w:val="left"/>
            </w:pPr>
          </w:p>
        </w:tc>
        <w:tc>
          <w:tcPr>
            <w:tcW w:type="dxa" w:w="1600"/>
          </w:tcPr>
          <w:p>
            <w:pPr>
              <w:jc w:val="center"/>
            </w:pPr>
            <w:r>
              <w:t xml:space="preserve">B5_HubWCC</w:t>
            </w:r>
          </w:p>
        </w:tc>
        <w:tc>
          <w:tcPr>
            <w:tcW w:type="dxa" w:w="1600"/>
          </w:tcPr>
          <w:p>
            <w:pPr>
              <w:jc w:val="center"/>
            </w:pPr>
            <w:r>
              <w:t xml:space="preserve">0.001</w:t>
            </w:r>
          </w:p>
        </w:tc>
        <w:tc>
          <w:tcPr>
            <w:tcW w:type="dxa" w:w="1600"/>
          </w:tcPr>
          <w:p>
            <w:pPr>
              <w:jc w:val="center"/>
            </w:pPr>
            <w:r>
              <w:t xml:space="preserve">1.000</w:t>
            </w:r>
          </w:p>
        </w:tc>
        <w:tc>
          <w:tcPr>
            <w:tcW w:type="dxa" w:w="1600"/>
          </w:tcPr>
          <w:p>
            <w:pPr>
              <w:jc w:val="center"/>
            </w:pPr>
            <w:r>
              <w:t xml:space="preserve">0.501</w:t>
            </w:r>
          </w:p>
        </w:tc>
        <w:tc>
          <w:tcPr>
            <w:tcW w:type="dxa" w:w="1600"/>
          </w:tcPr>
          <w:p>
            <w:pPr>
              <w:jc w:val="center"/>
            </w:pPr>
            <w:r>
              <w:t xml:space="preserve">1435</w:t>
            </w:r>
          </w:p>
        </w:tc>
      </w:tr>
      <w:tr>
        <w:tc>
          <w:tcPr>
            <w:tcW w:type="dxa" w:w="1600"/>
          </w:tcPr>
          <w:p>
            <w:pPr>
              <w:jc w:val="left"/>
            </w:pPr>
          </w:p>
        </w:tc>
        <w:tc>
          <w:tcPr>
            <w:tcW w:type="dxa" w:w="1600"/>
          </w:tcPr>
          <w:p>
            <w:pPr>
              <w:jc w:val="center"/>
            </w:pPr>
            <w:r>
              <w:t xml:space="preserve">BTCS_v3</w:t>
            </w:r>
          </w:p>
        </w:tc>
        <w:tc>
          <w:tcPr>
            <w:tcW w:type="dxa" w:w="1600"/>
          </w:tcPr>
          <w:p>
            <w:pPr>
              <w:jc w:val="center"/>
            </w:pPr>
            <w:r>
              <w:t xml:space="preserve">0.027</w:t>
            </w:r>
          </w:p>
        </w:tc>
        <w:tc>
          <w:tcPr>
            <w:tcW w:type="dxa" w:w="1600"/>
          </w:tcPr>
          <w:p>
            <w:pPr>
              <w:jc w:val="center"/>
            </w:pPr>
            <w:r>
              <w:t xml:space="preserve">1.000</w:t>
            </w:r>
          </w:p>
        </w:tc>
        <w:tc>
          <w:tcPr>
            <w:tcW w:type="dxa" w:w="1600"/>
          </w:tcPr>
          <w:p>
            <w:pPr>
              <w:jc w:val="center"/>
            </w:pPr>
            <w:r>
              <w:t xml:space="preserve">0.521</w:t>
            </w:r>
          </w:p>
        </w:tc>
        <w:tc>
          <w:tcPr>
            <w:tcW w:type="dxa" w:w="1600"/>
          </w:tcPr>
          <w:p>
            <w:pPr>
              <w:jc w:val="center"/>
            </w:pPr>
            <w:r>
              <w:t xml:space="preserve">5980</w:t>
            </w:r>
          </w:p>
        </w:tc>
      </w:tr>
      <w:tr>
        <w:tc>
          <w:tcPr>
            <w:tcW w:type="dxa" w:w="1600"/>
          </w:tcPr>
          <w:p>
            <w:pPr>
              <w:jc w:val="left"/>
            </w:pPr>
            <w:r>
              <w:t xml:space="preserve">Libra Bank</w:t>
            </w:r>
          </w:p>
        </w:tc>
        <w:tc>
          <w:tcPr>
            <w:tcW w:type="dxa" w:w="1600"/>
          </w:tcPr>
          <w:p>
            <w:pPr>
              <w:jc w:val="center"/>
            </w:pPr>
            <w:r>
              <w:t xml:space="preserve">B0_Random</w:t>
            </w:r>
          </w:p>
        </w:tc>
        <w:tc>
          <w:tcPr>
            <w:tcW w:type="dxa" w:w="1600"/>
          </w:tcPr>
          <w:p>
            <w:pPr>
              <w:jc w:val="center"/>
            </w:pPr>
            <w:r>
              <w:t xml:space="preserve">N/A</w:t>
            </w:r>
          </w:p>
        </w:tc>
        <w:tc>
          <w:tcPr>
            <w:tcW w:type="dxa" w:w="1600"/>
          </w:tcPr>
          <w:p>
            <w:pPr>
              <w:jc w:val="center"/>
            </w:pPr>
            <w:r>
              <w:t xml:space="preserve">N/A</w:t>
            </w:r>
          </w:p>
        </w:tc>
        <w:tc>
          <w:tcPr>
            <w:tcW w:type="dxa" w:w="1600"/>
          </w:tcPr>
          <w:p>
            <w:pPr>
              <w:jc w:val="center"/>
            </w:pPr>
            <w:r>
              <w:t xml:space="preserve">N/A</w:t>
            </w:r>
          </w:p>
        </w:tc>
        <w:tc>
          <w:tcPr>
            <w:tcW w:type="dxa" w:w="1600"/>
          </w:tcPr>
          <w:p>
            <w:pPr>
              <w:jc w:val="center"/>
            </w:pPr>
            <w:r>
              <w:t xml:space="preserve">N/A</w:t>
            </w:r>
          </w:p>
        </w:tc>
      </w:tr>
      <w:tr>
        <w:tc>
          <w:tcPr>
            <w:tcW w:type="dxa" w:w="1600"/>
          </w:tcPr>
          <w:p>
            <w:pPr>
              <w:jc w:val="left"/>
            </w:pPr>
            <w:r>
              <w:t xml:space="preserve">(leakage-free)</w:t>
            </w:r>
          </w:p>
        </w:tc>
        <w:tc>
          <w:tcPr>
            <w:tcW w:type="dxa" w:w="1600"/>
          </w:tcPr>
          <w:p>
            <w:pPr>
              <w:jc w:val="center"/>
            </w:pPr>
            <w:r>
              <w:t xml:space="preserve">B1_WCC</w:t>
            </w:r>
          </w:p>
        </w:tc>
        <w:tc>
          <w:tcPr>
            <w:tcW w:type="dxa" w:w="1600"/>
          </w:tcPr>
          <w:p>
            <w:pPr>
              <w:jc w:val="center"/>
            </w:pPr>
            <w:r>
              <w:t xml:space="preserve">0.232</w:t>
            </w:r>
          </w:p>
        </w:tc>
        <w:tc>
          <w:tcPr>
            <w:tcW w:type="dxa" w:w="1600"/>
          </w:tcPr>
          <w:p>
            <w:pPr>
              <w:jc w:val="center"/>
            </w:pPr>
            <w:r>
              <w:t xml:space="preserve">0.060</w:t>
            </w:r>
          </w:p>
        </w:tc>
        <w:tc>
          <w:tcPr>
            <w:tcW w:type="dxa" w:w="1600"/>
          </w:tcPr>
          <w:p>
            <w:pPr>
              <w:jc w:val="center"/>
            </w:pPr>
            <w:r>
              <w:t xml:space="preserve">0.612</w:t>
            </w:r>
          </w:p>
        </w:tc>
        <w:tc>
          <w:tcPr>
            <w:tcW w:type="dxa" w:w="1600"/>
          </w:tcPr>
          <w:p>
            <w:pPr>
              <w:jc w:val="center"/>
            </w:pPr>
            <w:r>
              <w:t xml:space="preserve">4180</w:t>
            </w:r>
          </w:p>
        </w:tc>
      </w:tr>
      <w:tr>
        <w:tc>
          <w:tcPr>
            <w:tcW w:type="dxa" w:w="1600"/>
          </w:tcPr>
          <w:p>
            <w:pPr>
              <w:jc w:val="left"/>
            </w:pPr>
          </w:p>
        </w:tc>
        <w:tc>
          <w:tcPr>
            <w:tcW w:type="dxa" w:w="1600"/>
          </w:tcPr>
          <w:p>
            <w:pPr>
              <w:jc w:val="center"/>
            </w:pPr>
            <w:r>
              <w:t xml:space="preserve">B2_Louvain</w:t>
            </w:r>
          </w:p>
        </w:tc>
        <w:tc>
          <w:tcPr>
            <w:tcW w:type="dxa" w:w="1600"/>
          </w:tcPr>
          <w:p>
            <w:pPr>
              <w:jc w:val="center"/>
            </w:pPr>
            <w:r>
              <w:t xml:space="preserve">0.820</w:t>
            </w:r>
          </w:p>
        </w:tc>
        <w:tc>
          <w:tcPr>
            <w:tcW w:type="dxa" w:w="1600"/>
          </w:tcPr>
          <w:p>
            <w:pPr>
              <w:jc w:val="center"/>
            </w:pPr>
            <w:r>
              <w:t xml:space="preserve">0.060</w:t>
            </w:r>
          </w:p>
        </w:tc>
        <w:tc>
          <w:tcPr>
            <w:tcW w:type="dxa" w:w="1600"/>
          </w:tcPr>
          <w:p>
            <w:pPr>
              <w:jc w:val="center"/>
            </w:pPr>
            <w:r>
              <w:t xml:space="preserve">0.721</w:t>
            </w:r>
          </w:p>
        </w:tc>
        <w:tc>
          <w:tcPr>
            <w:tcW w:type="dxa" w:w="1600"/>
          </w:tcPr>
          <w:p>
            <w:pPr>
              <w:jc w:val="center"/>
            </w:pPr>
            <w:r>
              <w:t xml:space="preserve">4262</w:t>
            </w:r>
          </w:p>
        </w:tc>
      </w:tr>
      <w:tr>
        <w:tc>
          <w:tcPr>
            <w:tcW w:type="dxa" w:w="1600"/>
          </w:tcPr>
          <w:p>
            <w:pPr>
              <w:jc w:val="left"/>
            </w:pPr>
          </w:p>
        </w:tc>
        <w:tc>
          <w:tcPr>
            <w:tcW w:type="dxa" w:w="1600"/>
          </w:tcPr>
          <w:p>
            <w:pPr>
              <w:jc w:val="center"/>
            </w:pPr>
            <w:r>
              <w:t xml:space="preserve">B4_TempWCC</w:t>
            </w:r>
          </w:p>
        </w:tc>
        <w:tc>
          <w:tcPr>
            <w:tcW w:type="dxa" w:w="1600"/>
          </w:tcPr>
          <w:p>
            <w:pPr>
              <w:jc w:val="center"/>
            </w:pPr>
            <w:r>
              <w:t xml:space="preserve">0.232</w:t>
            </w:r>
          </w:p>
        </w:tc>
        <w:tc>
          <w:tcPr>
            <w:tcW w:type="dxa" w:w="1600"/>
          </w:tcPr>
          <w:p>
            <w:pPr>
              <w:jc w:val="center"/>
            </w:pPr>
            <w:r>
              <w:t xml:space="preserve">0.060</w:t>
            </w:r>
          </w:p>
        </w:tc>
        <w:tc>
          <w:tcPr>
            <w:tcW w:type="dxa" w:w="1600"/>
          </w:tcPr>
          <w:p>
            <w:pPr>
              <w:jc w:val="center"/>
            </w:pPr>
            <w:r>
              <w:t xml:space="preserve">0.612</w:t>
            </w:r>
          </w:p>
        </w:tc>
        <w:tc>
          <w:tcPr>
            <w:tcW w:type="dxa" w:w="1600"/>
          </w:tcPr>
          <w:p>
            <w:pPr>
              <w:jc w:val="center"/>
            </w:pPr>
            <w:r>
              <w:t xml:space="preserve">4180</w:t>
            </w:r>
          </w:p>
        </w:tc>
      </w:tr>
      <w:tr>
        <w:tc>
          <w:tcPr>
            <w:tcW w:type="dxa" w:w="1600"/>
          </w:tcPr>
          <w:p>
            <w:pPr>
              <w:jc w:val="left"/>
            </w:pPr>
          </w:p>
        </w:tc>
        <w:tc>
          <w:tcPr>
            <w:tcW w:type="dxa" w:w="1600"/>
          </w:tcPr>
          <w:p>
            <w:pPr>
              <w:jc w:val="center"/>
            </w:pPr>
            <w:r>
              <w:t xml:space="preserve">B5_HubWCC</w:t>
            </w:r>
          </w:p>
        </w:tc>
        <w:tc>
          <w:tcPr>
            <w:tcW w:type="dxa" w:w="1600"/>
          </w:tcPr>
          <w:p>
            <w:pPr>
              <w:jc w:val="center"/>
            </w:pPr>
            <w:r>
              <w:t xml:space="preserve">0.403</w:t>
            </w:r>
          </w:p>
        </w:tc>
        <w:tc>
          <w:tcPr>
            <w:tcW w:type="dxa" w:w="1600"/>
          </w:tcPr>
          <w:p>
            <w:pPr>
              <w:jc w:val="center"/>
            </w:pPr>
            <w:r>
              <w:t xml:space="preserve">0.090</w:t>
            </w:r>
          </w:p>
        </w:tc>
        <w:tc>
          <w:tcPr>
            <w:tcW w:type="dxa" w:w="1600"/>
          </w:tcPr>
          <w:p>
            <w:pPr>
              <w:jc w:val="center"/>
            </w:pPr>
            <w:r>
              <w:t xml:space="preserve">0.701</w:t>
            </w:r>
          </w:p>
        </w:tc>
        <w:tc>
          <w:tcPr>
            <w:tcW w:type="dxa" w:w="1600"/>
          </w:tcPr>
          <w:p>
            <w:pPr>
              <w:jc w:val="center"/>
            </w:pPr>
            <w:r>
              <w:t xml:space="preserve">12119</w:t>
            </w:r>
          </w:p>
        </w:tc>
      </w:tr>
      <w:tr>
        <w:tc>
          <w:tcPr>
            <w:tcW w:type="dxa" w:w="1600"/>
          </w:tcPr>
          <w:p>
            <w:pPr>
              <w:jc w:val="left"/>
            </w:pPr>
          </w:p>
        </w:tc>
        <w:tc>
          <w:tcPr>
            <w:tcW w:type="dxa" w:w="1600"/>
          </w:tcPr>
          <w:p>
            <w:pPr>
              <w:jc w:val="center"/>
            </w:pPr>
            <w:r>
              <w:t xml:space="preserve">BTCS_v3</w:t>
            </w:r>
          </w:p>
        </w:tc>
        <w:tc>
          <w:tcPr>
            <w:tcW w:type="dxa" w:w="1600"/>
          </w:tcPr>
          <w:p>
            <w:pPr>
              <w:jc w:val="center"/>
            </w:pPr>
            <w:r>
              <w:t xml:space="preserve">0.899</w:t>
            </w:r>
          </w:p>
        </w:tc>
        <w:tc>
          <w:tcPr>
            <w:tcW w:type="dxa" w:w="1600"/>
          </w:tcPr>
          <w:p>
            <w:pPr>
              <w:jc w:val="center"/>
            </w:pPr>
            <w:r>
              <w:t xml:space="preserve">0.060</w:t>
            </w:r>
          </w:p>
        </w:tc>
        <w:tc>
          <w:tcPr>
            <w:tcW w:type="dxa" w:w="1600"/>
          </w:tcPr>
          <w:p>
            <w:pPr>
              <w:jc w:val="center"/>
            </w:pPr>
            <w:r>
              <w:t xml:space="preserve">0.811</w:t>
            </w:r>
          </w:p>
        </w:tc>
        <w:tc>
          <w:tcPr>
            <w:tcW w:type="dxa" w:w="1600"/>
          </w:tcPr>
          <w:p>
            <w:pPr>
              <w:jc w:val="center"/>
            </w:pPr>
            <w:r>
              <w:t xml:space="preserve">4298</w:t>
            </w:r>
          </w:p>
        </w:tc>
      </w:tr>
    </w:tbl>
    <w:p>
      <w:pPr>
        <w:spacing w:after="100" w:before="200"/>
        <w:jc w:val="both"/>
      </w:pPr>
      <w:r>
        <w:t xml:space="preserve">Key observations:</w:t>
      </w:r>
    </w:p>
    <w:p>
      <w:pPr>
        <w:pStyle w:val="ListParagraph"/>
        <w:numPr>
          <w:ilvl w:val="0"/>
          <w:numId w:val="1"/>
        </w:numPr>
        <w:spacing w:after="100" w:line="240"/>
      </w:pPr>
      <w:r>
        <w:t xml:space="preserve">Elliptic (dense graph, 3.5% fraud): BTCS achieves 94.3% coverage, 3.6% improvement over WCC (90.7%). All methods maintain 100% yield.</w:t>
      </w:r>
    </w:p>
    <w:p>
      <w:pPr>
        <w:pStyle w:val="ListParagraph"/>
        <w:numPr>
          <w:ilvl w:val="0"/>
          <w:numId w:val="1"/>
        </w:numPr>
        <w:spacing w:after="100" w:line="240"/>
      </w:pPr>
      <w:r>
        <w:t xml:space="preserve">Bitcoin-OTC (sparse graph, 10% fraud): BTCS coverage (19.8%) exceeds WCC (5.4%) and TempWCC (12.3%), showing robustness on sparse networks.</w:t>
      </w:r>
    </w:p>
    <w:p>
      <w:pPr>
        <w:pStyle w:val="ListParagraph"/>
        <w:numPr>
          <w:ilvl w:val="0"/>
          <w:numId w:val="1"/>
        </w:numPr>
        <w:spacing w:after="100" w:line="240"/>
      </w:pPr>
      <w:r>
        <w:t xml:space="preserve">Amazon Fraud (very dense, 4.4M edges): WCC produces single giant component (1 case), TempWCC over-fragments (69K cases). BTCS achieves balanced 0.027 coverage with 5980 cases—orders of magnitude better than baselines.</w:t>
      </w:r>
    </w:p>
    <w:p>
      <w:pPr>
        <w:pStyle w:val="ListParagraph"/>
        <w:numPr>
          <w:ilvl w:val="0"/>
          <w:numId w:val="1"/>
        </w:numPr>
        <w:spacing w:after="100" w:line="240"/>
      </w:pPr>
      <w:r>
        <w:t xml:space="preserve">Libra Bank (with label leakage fix): BTCS achieves 89.9% coverage vs 82.0% for Louvain. Low yield (6.0%) across all methods indicates limited AML signal in leakage-free score.</w:t>
      </w:r>
    </w:p>
    <w:p>
      <w:pPr>
        <w:spacing w:after="150" w:before="200"/>
        <w:jc w:val="left"/>
      </w:pPr>
      <w:r>
        <w:t xml:space="preserve">6.2 Sensitivity Analysis</w:t>
      </w:r>
    </w:p>
    <w:p>
      <w:pPr>
        <w:spacing w:after="120" w:line="240"/>
        <w:jc w:val="both"/>
      </w:pPr>
      <w:r>
        <w:t xml:space="preserve">Table 2 reports sensitivity of BTCS to key hyperparameters on Elliptic dataset (k=5%).</w:t>
      </w:r>
    </w:p>
    <w:p>
      <w:pPr>
        <w:spacing w:after="100" w:before="50"/>
      </w:pPr>
      <w:r>
        <w:t xml:space="preserve">Table 2: Sensitivity Analysis (Elliptic, k=5%)</w:t>
      </w:r>
    </w:p>
    <w:tbl>
      <w:tblPr>
        <w:tblW w:type="dxa" w:w="96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c>
          <w:tcPr>
            <w:tcW w:type="dxa" w:w="1600"/>
            <w:shd w:fill="D3D3D3" w:val="clear"/>
          </w:tcPr>
          <w:p>
            <w:pPr>
              <w:jc w:val="left"/>
            </w:pPr>
            <w:r>
              <w:t xml:space="preserve">Parameter</w:t>
            </w:r>
          </w:p>
        </w:tc>
        <w:tc>
          <w:tcPr>
            <w:tcW w:type="dxa" w:w="1600"/>
            <w:shd w:fill="D3D3D3" w:val="clear"/>
          </w:tcPr>
          <w:p>
            <w:pPr>
              <w:jc w:val="center"/>
            </w:pPr>
            <w:r>
              <w:t xml:space="preserve">Value</w:t>
            </w:r>
          </w:p>
        </w:tc>
        <w:tc>
          <w:tcPr>
            <w:tcW w:type="dxa" w:w="1600"/>
            <w:shd w:fill="D3D3D3" w:val="clear"/>
          </w:tcPr>
          <w:p>
            <w:pPr>
              <w:jc w:val="center"/>
            </w:pPr>
            <w:r>
              <w:t xml:space="preserve">Coverage</w:t>
            </w:r>
          </w:p>
        </w:tc>
        <w:tc>
          <w:tcPr>
            <w:tcW w:type="dxa" w:w="1600"/>
            <w:shd w:fill="D3D3D3" w:val="clear"/>
          </w:tcPr>
          <w:p>
            <w:pPr>
              <w:jc w:val="center"/>
            </w:pPr>
            <w:r>
              <w:t xml:space="preserve">Yield</w:t>
            </w:r>
          </w:p>
        </w:tc>
        <w:tc>
          <w:tcPr>
            <w:tcW w:type="dxa" w:w="1600"/>
            <w:shd w:fill="D3D3D3" w:val="clear"/>
          </w:tcPr>
          <w:p>
            <w:pPr>
              <w:jc w:val="center"/>
            </w:pPr>
            <w:r>
              <w:t xml:space="preserve">AUC</w:t>
            </w:r>
          </w:p>
        </w:tc>
        <w:tc>
          <w:tcPr>
            <w:tcW w:type="dxa" w:w="1600"/>
            <w:shd w:fill="D3D3D3" w:val="clear"/>
          </w:tcPr>
          <w:p>
            <w:pPr>
              <w:jc w:val="center"/>
            </w:pPr>
            <w:r>
              <w:t xml:space="preserve"># Cases</w:t>
            </w:r>
          </w:p>
        </w:tc>
      </w:tr>
      <w:tr>
        <w:tc>
          <w:tcPr>
            <w:tcW w:type="dxa" w:w="1600"/>
          </w:tcPr>
          <w:p>
            <w:pPr>
              <w:jc w:val="left"/>
            </w:pPr>
            <w:r>
              <w:t xml:space="preserve">Budget B</w:t>
            </w:r>
          </w:p>
        </w:tc>
        <w:tc>
          <w:tcPr>
            <w:tcW w:type="dxa" w:w="1600"/>
          </w:tcPr>
          <w:p>
            <w:pPr>
              <w:jc w:val="center"/>
            </w:pPr>
            <w:r>
              <w:t xml:space="preserve">25</w:t>
            </w:r>
          </w:p>
        </w:tc>
        <w:tc>
          <w:tcPr>
            <w:tcW w:type="dxa" w:w="1600"/>
          </w:tcPr>
          <w:p>
            <w:pPr>
              <w:jc w:val="center"/>
            </w:pPr>
            <w:r>
              <w:t xml:space="preserve">0.730</w:t>
            </w:r>
          </w:p>
        </w:tc>
        <w:tc>
          <w:tcPr>
            <w:tcW w:type="dxa" w:w="1600"/>
          </w:tcPr>
          <w:p>
            <w:pPr>
              <w:jc w:val="center"/>
            </w:pPr>
            <w:r>
              <w:t xml:space="preserve">1.000</w:t>
            </w:r>
          </w:p>
        </w:tc>
        <w:tc>
          <w:tcPr>
            <w:tcW w:type="dxa" w:w="1600"/>
          </w:tcPr>
          <w:p>
            <w:pPr>
              <w:jc w:val="center"/>
            </w:pPr>
            <w:r>
              <w:t xml:space="preserve">0.891</w:t>
            </w:r>
          </w:p>
        </w:tc>
        <w:tc>
          <w:tcPr>
            <w:tcW w:type="dxa" w:w="1600"/>
          </w:tcPr>
          <w:p>
            <w:pPr>
              <w:jc w:val="center"/>
            </w:pPr>
            <w:r>
              <w:t xml:space="preserve">1562</w:t>
            </w:r>
          </w:p>
        </w:tc>
      </w:tr>
      <w:tr>
        <w:tc>
          <w:tcPr>
            <w:tcW w:type="dxa" w:w="1600"/>
          </w:tcPr>
          <w:p>
            <w:pPr>
              <w:jc w:val="left"/>
            </w:pPr>
          </w:p>
        </w:tc>
        <w:tc>
          <w:tcPr>
            <w:tcW w:type="dxa" w:w="1600"/>
          </w:tcPr>
          <w:p>
            <w:pPr>
              <w:jc w:val="center"/>
            </w:pPr>
            <w:r>
              <w:t xml:space="preserve">50</w:t>
            </w:r>
          </w:p>
        </w:tc>
        <w:tc>
          <w:tcPr>
            <w:tcW w:type="dxa" w:w="1600"/>
          </w:tcPr>
          <w:p>
            <w:pPr>
              <w:jc w:val="center"/>
            </w:pPr>
            <w:r>
              <w:t xml:space="preserve">0.850</w:t>
            </w:r>
          </w:p>
        </w:tc>
        <w:tc>
          <w:tcPr>
            <w:tcW w:type="dxa" w:w="1600"/>
          </w:tcPr>
          <w:p>
            <w:pPr>
              <w:jc w:val="center"/>
            </w:pPr>
            <w:r>
              <w:t xml:space="preserve">1.000</w:t>
            </w:r>
          </w:p>
        </w:tc>
        <w:tc>
          <w:tcPr>
            <w:tcW w:type="dxa" w:w="1600"/>
          </w:tcPr>
          <w:p>
            <w:pPr>
              <w:jc w:val="center"/>
            </w:pPr>
            <w:r>
              <w:t xml:space="preserve">0.919</w:t>
            </w:r>
          </w:p>
        </w:tc>
        <w:tc>
          <w:tcPr>
            <w:tcW w:type="dxa" w:w="1600"/>
          </w:tcPr>
          <w:p>
            <w:pPr>
              <w:jc w:val="center"/>
            </w:pPr>
            <w:r>
              <w:t xml:space="preserve">3289</w:t>
            </w:r>
          </w:p>
        </w:tc>
      </w:tr>
      <w:tr>
        <w:tc>
          <w:tcPr>
            <w:tcW w:type="dxa" w:w="1600"/>
          </w:tcPr>
          <w:p>
            <w:pPr>
              <w:jc w:val="left"/>
            </w:pPr>
          </w:p>
        </w:tc>
        <w:tc>
          <w:tcPr>
            <w:tcW w:type="dxa" w:w="1600"/>
          </w:tcPr>
          <w:p>
            <w:pPr>
              <w:jc w:val="center"/>
            </w:pPr>
            <w:r>
              <w:t xml:space="preserve">100</w:t>
            </w:r>
          </w:p>
        </w:tc>
        <w:tc>
          <w:tcPr>
            <w:tcW w:type="dxa" w:w="1600"/>
          </w:tcPr>
          <w:p>
            <w:pPr>
              <w:jc w:val="center"/>
            </w:pPr>
            <w:r>
              <w:t xml:space="preserve">0.943</w:t>
            </w:r>
          </w:p>
        </w:tc>
        <w:tc>
          <w:tcPr>
            <w:tcW w:type="dxa" w:w="1600"/>
          </w:tcPr>
          <w:p>
            <w:pPr>
              <w:jc w:val="center"/>
            </w:pPr>
            <w:r>
              <w:t xml:space="preserve">1.000</w:t>
            </w:r>
          </w:p>
        </w:tc>
        <w:tc>
          <w:tcPr>
            <w:tcW w:type="dxa" w:w="1600"/>
          </w:tcPr>
          <w:p>
            <w:pPr>
              <w:jc w:val="center"/>
            </w:pPr>
            <w:r>
              <w:t xml:space="preserve">0.942</w:t>
            </w:r>
          </w:p>
        </w:tc>
        <w:tc>
          <w:tcPr>
            <w:tcW w:type="dxa" w:w="1600"/>
          </w:tcPr>
          <w:p>
            <w:pPr>
              <w:jc w:val="center"/>
            </w:pPr>
            <w:r>
              <w:t xml:space="preserve">4712</w:t>
            </w:r>
          </w:p>
        </w:tc>
      </w:tr>
      <w:tr>
        <w:tc>
          <w:tcPr>
            <w:tcW w:type="dxa" w:w="1600"/>
          </w:tcPr>
          <w:p>
            <w:pPr>
              <w:jc w:val="left"/>
            </w:pPr>
          </w:p>
        </w:tc>
        <w:tc>
          <w:tcPr>
            <w:tcW w:type="dxa" w:w="1600"/>
          </w:tcPr>
          <w:p>
            <w:pPr>
              <w:jc w:val="center"/>
            </w:pPr>
            <w:r>
              <w:t xml:space="preserve">200</w:t>
            </w:r>
          </w:p>
        </w:tc>
        <w:tc>
          <w:tcPr>
            <w:tcW w:type="dxa" w:w="1600"/>
          </w:tcPr>
          <w:p>
            <w:pPr>
              <w:jc w:val="center"/>
            </w:pPr>
            <w:r>
              <w:t xml:space="preserve">0.997</w:t>
            </w:r>
          </w:p>
        </w:tc>
        <w:tc>
          <w:tcPr>
            <w:tcW w:type="dxa" w:w="1600"/>
          </w:tcPr>
          <w:p>
            <w:pPr>
              <w:jc w:val="center"/>
            </w:pPr>
            <w:r>
              <w:t xml:space="preserve">1.000</w:t>
            </w:r>
          </w:p>
        </w:tc>
        <w:tc>
          <w:tcPr>
            <w:tcW w:type="dxa" w:w="1600"/>
          </w:tcPr>
          <w:p>
            <w:pPr>
              <w:jc w:val="center"/>
            </w:pPr>
            <w:r>
              <w:t xml:space="preserve">0.956</w:t>
            </w:r>
          </w:p>
        </w:tc>
        <w:tc>
          <w:tcPr>
            <w:tcW w:type="dxa" w:w="1600"/>
          </w:tcPr>
          <w:p>
            <w:pPr>
              <w:jc w:val="center"/>
            </w:pPr>
            <w:r>
              <w:t xml:space="preserve">5819</w:t>
            </w:r>
          </w:p>
        </w:tc>
      </w:tr>
      <w:tr>
        <w:tc>
          <w:tcPr>
            <w:tcW w:type="dxa" w:w="1600"/>
          </w:tcPr>
          <w:p>
            <w:pPr>
              <w:jc w:val="left"/>
            </w:pPr>
          </w:p>
        </w:tc>
        <w:tc>
          <w:tcPr>
            <w:tcW w:type="dxa" w:w="1600"/>
          </w:tcPr>
          <w:p>
            <w:pPr>
              <w:jc w:val="center"/>
            </w:pPr>
            <w:r>
              <w:t xml:space="preserve">500</w:t>
            </w:r>
          </w:p>
        </w:tc>
        <w:tc>
          <w:tcPr>
            <w:tcW w:type="dxa" w:w="1600"/>
          </w:tcPr>
          <w:p>
            <w:pPr>
              <w:jc w:val="center"/>
            </w:pPr>
            <w:r>
              <w:t xml:space="preserve">1.000</w:t>
            </w:r>
          </w:p>
        </w:tc>
        <w:tc>
          <w:tcPr>
            <w:tcW w:type="dxa" w:w="1600"/>
          </w:tcPr>
          <w:p>
            <w:pPr>
              <w:jc w:val="center"/>
            </w:pPr>
            <w:r>
              <w:t xml:space="preserve">1.000</w:t>
            </w:r>
          </w:p>
        </w:tc>
        <w:tc>
          <w:tcPr>
            <w:tcW w:type="dxa" w:w="1600"/>
          </w:tcPr>
          <w:p>
            <w:pPr>
              <w:jc w:val="center"/>
            </w:pPr>
            <w:r>
              <w:t xml:space="preserve">0.964</w:t>
            </w:r>
          </w:p>
        </w:tc>
        <w:tc>
          <w:tcPr>
            <w:tcW w:type="dxa" w:w="1600"/>
          </w:tcPr>
          <w:p>
            <w:pPr>
              <w:jc w:val="center"/>
            </w:pPr>
            <w:r>
              <w:t xml:space="preserve">6213</w:t>
            </w:r>
          </w:p>
        </w:tc>
      </w:tr>
      <w:tr>
        <w:tc>
          <w:tcPr>
            <w:tcW w:type="dxa" w:w="1600"/>
          </w:tcPr>
          <w:p>
            <w:pPr>
              <w:jc w:val="left"/>
            </w:pPr>
            <w:r>
              <w:t xml:space="preserve">Resolution γ</w:t>
            </w:r>
          </w:p>
        </w:tc>
        <w:tc>
          <w:tcPr>
            <w:tcW w:type="dxa" w:w="1600"/>
          </w:tcPr>
          <w:p>
            <w:pPr>
              <w:jc w:val="center"/>
            </w:pPr>
            <w:r>
              <w:t xml:space="preserve">0.5</w:t>
            </w:r>
          </w:p>
        </w:tc>
        <w:tc>
          <w:tcPr>
            <w:tcW w:type="dxa" w:w="1600"/>
          </w:tcPr>
          <w:p>
            <w:pPr>
              <w:jc w:val="center"/>
            </w:pPr>
            <w:r>
              <w:t xml:space="preserve">0.942</w:t>
            </w:r>
          </w:p>
        </w:tc>
        <w:tc>
          <w:tcPr>
            <w:tcW w:type="dxa" w:w="1600"/>
          </w:tcPr>
          <w:p>
            <w:pPr>
              <w:jc w:val="center"/>
            </w:pPr>
            <w:r>
              <w:t xml:space="preserve">1.000</w:t>
            </w:r>
          </w:p>
        </w:tc>
        <w:tc>
          <w:tcPr>
            <w:tcW w:type="dxa" w:w="1600"/>
          </w:tcPr>
          <w:p>
            <w:pPr>
              <w:jc w:val="center"/>
            </w:pPr>
            <w:r>
              <w:t xml:space="preserve">0.941</w:t>
            </w:r>
          </w:p>
        </w:tc>
        <w:tc>
          <w:tcPr>
            <w:tcW w:type="dxa" w:w="1600"/>
          </w:tcPr>
          <w:p>
            <w:pPr>
              <w:jc w:val="center"/>
            </w:pPr>
            <w:r>
              <w:t xml:space="preserve">4698</w:t>
            </w:r>
          </w:p>
        </w:tc>
      </w:tr>
      <w:tr>
        <w:tc>
          <w:tcPr>
            <w:tcW w:type="dxa" w:w="1600"/>
          </w:tcPr>
          <w:p>
            <w:pPr>
              <w:jc w:val="left"/>
            </w:pPr>
          </w:p>
        </w:tc>
        <w:tc>
          <w:tcPr>
            <w:tcW w:type="dxa" w:w="1600"/>
          </w:tcPr>
          <w:p>
            <w:pPr>
              <w:jc w:val="center"/>
            </w:pPr>
            <w:r>
              <w:t xml:space="preserve">1.0</w:t>
            </w:r>
          </w:p>
        </w:tc>
        <w:tc>
          <w:tcPr>
            <w:tcW w:type="dxa" w:w="1600"/>
          </w:tcPr>
          <w:p>
            <w:pPr>
              <w:jc w:val="center"/>
            </w:pPr>
            <w:r>
              <w:t xml:space="preserve">0.943</w:t>
            </w:r>
          </w:p>
        </w:tc>
        <w:tc>
          <w:tcPr>
            <w:tcW w:type="dxa" w:w="1600"/>
          </w:tcPr>
          <w:p>
            <w:pPr>
              <w:jc w:val="center"/>
            </w:pPr>
            <w:r>
              <w:t xml:space="preserve">1.000</w:t>
            </w:r>
          </w:p>
        </w:tc>
        <w:tc>
          <w:tcPr>
            <w:tcW w:type="dxa" w:w="1600"/>
          </w:tcPr>
          <w:p>
            <w:pPr>
              <w:jc w:val="center"/>
            </w:pPr>
            <w:r>
              <w:t xml:space="preserve">0.942</w:t>
            </w:r>
          </w:p>
        </w:tc>
        <w:tc>
          <w:tcPr>
            <w:tcW w:type="dxa" w:w="1600"/>
          </w:tcPr>
          <w:p>
            <w:pPr>
              <w:jc w:val="center"/>
            </w:pPr>
            <w:r>
              <w:t xml:space="preserve">4712</w:t>
            </w:r>
          </w:p>
        </w:tc>
      </w:tr>
      <w:tr>
        <w:tc>
          <w:tcPr>
            <w:tcW w:type="dxa" w:w="1600"/>
          </w:tcPr>
          <w:p>
            <w:pPr>
              <w:jc w:val="left"/>
            </w:pPr>
          </w:p>
        </w:tc>
        <w:tc>
          <w:tcPr>
            <w:tcW w:type="dxa" w:w="1600"/>
          </w:tcPr>
          <w:p>
            <w:pPr>
              <w:jc w:val="center"/>
            </w:pPr>
            <w:r>
              <w:t xml:space="preserve">1.5</w:t>
            </w:r>
          </w:p>
        </w:tc>
        <w:tc>
          <w:tcPr>
            <w:tcW w:type="dxa" w:w="1600"/>
          </w:tcPr>
          <w:p>
            <w:pPr>
              <w:jc w:val="center"/>
            </w:pPr>
            <w:r>
              <w:t xml:space="preserve">0.943</w:t>
            </w:r>
          </w:p>
        </w:tc>
        <w:tc>
          <w:tcPr>
            <w:tcW w:type="dxa" w:w="1600"/>
          </w:tcPr>
          <w:p>
            <w:pPr>
              <w:jc w:val="center"/>
            </w:pPr>
            <w:r>
              <w:t xml:space="preserve">1.000</w:t>
            </w:r>
          </w:p>
        </w:tc>
        <w:tc>
          <w:tcPr>
            <w:tcW w:type="dxa" w:w="1600"/>
          </w:tcPr>
          <w:p>
            <w:pPr>
              <w:jc w:val="center"/>
            </w:pPr>
            <w:r>
              <w:t xml:space="preserve">0.942</w:t>
            </w:r>
          </w:p>
        </w:tc>
        <w:tc>
          <w:tcPr>
            <w:tcW w:type="dxa" w:w="1600"/>
          </w:tcPr>
          <w:p>
            <w:pPr>
              <w:jc w:val="center"/>
            </w:pPr>
            <w:r>
              <w:t xml:space="preserve">4708</w:t>
            </w:r>
          </w:p>
        </w:tc>
      </w:tr>
      <w:tr>
        <w:tc>
          <w:tcPr>
            <w:tcW w:type="dxa" w:w="1600"/>
          </w:tcPr>
          <w:p>
            <w:pPr>
              <w:jc w:val="left"/>
            </w:pPr>
          </w:p>
        </w:tc>
        <w:tc>
          <w:tcPr>
            <w:tcW w:type="dxa" w:w="1600"/>
          </w:tcPr>
          <w:p>
            <w:pPr>
              <w:jc w:val="center"/>
            </w:pPr>
            <w:r>
              <w:t xml:space="preserve">2.0</w:t>
            </w:r>
          </w:p>
        </w:tc>
        <w:tc>
          <w:tcPr>
            <w:tcW w:type="dxa" w:w="1600"/>
          </w:tcPr>
          <w:p>
            <w:pPr>
              <w:jc w:val="center"/>
            </w:pPr>
            <w:r>
              <w:t xml:space="preserve">0.801</w:t>
            </w:r>
          </w:p>
        </w:tc>
        <w:tc>
          <w:tcPr>
            <w:tcW w:type="dxa" w:w="1600"/>
          </w:tcPr>
          <w:p>
            <w:pPr>
              <w:jc w:val="center"/>
            </w:pPr>
            <w:r>
              <w:t xml:space="preserve">1.000</w:t>
            </w:r>
          </w:p>
        </w:tc>
        <w:tc>
          <w:tcPr>
            <w:tcW w:type="dxa" w:w="1600"/>
          </w:tcPr>
          <w:p>
            <w:pPr>
              <w:jc w:val="center"/>
            </w:pPr>
            <w:r>
              <w:t xml:space="preserve">0.886</w:t>
            </w:r>
          </w:p>
        </w:tc>
        <w:tc>
          <w:tcPr>
            <w:tcW w:type="dxa" w:w="1600"/>
          </w:tcPr>
          <w:p>
            <w:pPr>
              <w:jc w:val="center"/>
            </w:pPr>
            <w:r>
              <w:t xml:space="preserve">4521</w:t>
            </w:r>
          </w:p>
        </w:tc>
      </w:tr>
      <w:tr>
        <w:tc>
          <w:tcPr>
            <w:tcW w:type="dxa" w:w="1600"/>
          </w:tcPr>
          <w:p>
            <w:pPr>
              <w:jc w:val="left"/>
            </w:pPr>
            <w:r>
              <w:t xml:space="preserve">Temporal δ_L</w:t>
            </w:r>
          </w:p>
        </w:tc>
        <w:tc>
          <w:tcPr>
            <w:tcW w:type="dxa" w:w="1600"/>
          </w:tcPr>
          <w:p>
            <w:pPr>
              <w:jc w:val="center"/>
            </w:pPr>
            <w:r>
              <w:t xml:space="preserve">0</w:t>
            </w:r>
          </w:p>
        </w:tc>
        <w:tc>
          <w:tcPr>
            <w:tcW w:type="dxa" w:w="1600"/>
          </w:tcPr>
          <w:p>
            <w:pPr>
              <w:jc w:val="center"/>
            </w:pPr>
            <w:r>
              <w:t xml:space="preserve">0.943</w:t>
            </w:r>
          </w:p>
        </w:tc>
        <w:tc>
          <w:tcPr>
            <w:tcW w:type="dxa" w:w="1600"/>
          </w:tcPr>
          <w:p>
            <w:pPr>
              <w:jc w:val="center"/>
            </w:pPr>
            <w:r>
              <w:t xml:space="preserve">1.000</w:t>
            </w:r>
          </w:p>
        </w:tc>
        <w:tc>
          <w:tcPr>
            <w:tcW w:type="dxa" w:w="1600"/>
          </w:tcPr>
          <w:p>
            <w:pPr>
              <w:jc w:val="center"/>
            </w:pPr>
            <w:r>
              <w:t xml:space="preserve">0.942</w:t>
            </w:r>
          </w:p>
        </w:tc>
        <w:tc>
          <w:tcPr>
            <w:tcW w:type="dxa" w:w="1600"/>
          </w:tcPr>
          <w:p>
            <w:pPr>
              <w:jc w:val="center"/>
            </w:pPr>
            <w:r>
              <w:t xml:space="preserve">4712</w:t>
            </w:r>
          </w:p>
        </w:tc>
      </w:tr>
      <w:tr>
        <w:tc>
          <w:tcPr>
            <w:tcW w:type="dxa" w:w="1600"/>
          </w:tcPr>
          <w:p>
            <w:pPr>
              <w:jc w:val="left"/>
            </w:pPr>
            <w:r>
              <w:t xml:space="preserve">(days)</w:t>
            </w:r>
          </w:p>
        </w:tc>
        <w:tc>
          <w:tcPr>
            <w:tcW w:type="dxa" w:w="1600"/>
          </w:tcPr>
          <w:p>
            <w:pPr>
              <w:jc w:val="center"/>
            </w:pPr>
            <w:r>
              <w:t xml:space="preserve">5</w:t>
            </w:r>
          </w:p>
        </w:tc>
        <w:tc>
          <w:tcPr>
            <w:tcW w:type="dxa" w:w="1600"/>
          </w:tcPr>
          <w:p>
            <w:pPr>
              <w:jc w:val="center"/>
            </w:pPr>
            <w:r>
              <w:t xml:space="preserve">0.943</w:t>
            </w:r>
          </w:p>
        </w:tc>
        <w:tc>
          <w:tcPr>
            <w:tcW w:type="dxa" w:w="1600"/>
          </w:tcPr>
          <w:p>
            <w:pPr>
              <w:jc w:val="center"/>
            </w:pPr>
            <w:r>
              <w:t xml:space="preserve">1.000</w:t>
            </w:r>
          </w:p>
        </w:tc>
        <w:tc>
          <w:tcPr>
            <w:tcW w:type="dxa" w:w="1600"/>
          </w:tcPr>
          <w:p>
            <w:pPr>
              <w:jc w:val="center"/>
            </w:pPr>
            <w:r>
              <w:t xml:space="preserve">0.942</w:t>
            </w:r>
          </w:p>
        </w:tc>
        <w:tc>
          <w:tcPr>
            <w:tcW w:type="dxa" w:w="1600"/>
          </w:tcPr>
          <w:p>
            <w:pPr>
              <w:jc w:val="center"/>
            </w:pPr>
            <w:r>
              <w:t xml:space="preserve">4712</w:t>
            </w:r>
          </w:p>
        </w:tc>
      </w:tr>
      <w:tr>
        <w:tc>
          <w:tcPr>
            <w:tcW w:type="dxa" w:w="1600"/>
          </w:tcPr>
          <w:p>
            <w:pPr>
              <w:jc w:val="left"/>
            </w:pPr>
          </w:p>
        </w:tc>
        <w:tc>
          <w:tcPr>
            <w:tcW w:type="dxa" w:w="1600"/>
          </w:tcPr>
          <w:p>
            <w:pPr>
              <w:jc w:val="center"/>
            </w:pPr>
            <w:r>
              <w:t xml:space="preserve">15</w:t>
            </w:r>
          </w:p>
        </w:tc>
        <w:tc>
          <w:tcPr>
            <w:tcW w:type="dxa" w:w="1600"/>
          </w:tcPr>
          <w:p>
            <w:pPr>
              <w:jc w:val="center"/>
            </w:pPr>
            <w:r>
              <w:t xml:space="preserve">0.943</w:t>
            </w:r>
          </w:p>
        </w:tc>
        <w:tc>
          <w:tcPr>
            <w:tcW w:type="dxa" w:w="1600"/>
          </w:tcPr>
          <w:p>
            <w:pPr>
              <w:jc w:val="center"/>
            </w:pPr>
            <w:r>
              <w:t xml:space="preserve">1.000</w:t>
            </w:r>
          </w:p>
        </w:tc>
        <w:tc>
          <w:tcPr>
            <w:tcW w:type="dxa" w:w="1600"/>
          </w:tcPr>
          <w:p>
            <w:pPr>
              <w:jc w:val="center"/>
            </w:pPr>
            <w:r>
              <w:t xml:space="preserve">0.942</w:t>
            </w:r>
          </w:p>
        </w:tc>
        <w:tc>
          <w:tcPr>
            <w:tcW w:type="dxa" w:w="1600"/>
          </w:tcPr>
          <w:p>
            <w:pPr>
              <w:jc w:val="center"/>
            </w:pPr>
            <w:r>
              <w:t xml:space="preserve">4712</w:t>
            </w:r>
          </w:p>
        </w:tc>
      </w:tr>
      <w:tr>
        <w:tc>
          <w:tcPr>
            <w:tcW w:type="dxa" w:w="1600"/>
          </w:tcPr>
          <w:p>
            <w:pPr>
              <w:jc w:val="left"/>
            </w:pPr>
          </w:p>
        </w:tc>
        <w:tc>
          <w:tcPr>
            <w:tcW w:type="dxa" w:w="1600"/>
          </w:tcPr>
          <w:p>
            <w:pPr>
              <w:jc w:val="center"/>
            </w:pPr>
            <w:r>
              <w:t xml:space="preserve">30</w:t>
            </w:r>
          </w:p>
        </w:tc>
        <w:tc>
          <w:tcPr>
            <w:tcW w:type="dxa" w:w="1600"/>
          </w:tcPr>
          <w:p>
            <w:pPr>
              <w:jc w:val="center"/>
            </w:pPr>
            <w:r>
              <w:t xml:space="preserve">0.943</w:t>
            </w:r>
          </w:p>
        </w:tc>
        <w:tc>
          <w:tcPr>
            <w:tcW w:type="dxa" w:w="1600"/>
          </w:tcPr>
          <w:p>
            <w:pPr>
              <w:jc w:val="center"/>
            </w:pPr>
            <w:r>
              <w:t xml:space="preserve">1.000</w:t>
            </w:r>
          </w:p>
        </w:tc>
        <w:tc>
          <w:tcPr>
            <w:tcW w:type="dxa" w:w="1600"/>
          </w:tcPr>
          <w:p>
            <w:pPr>
              <w:jc w:val="center"/>
            </w:pPr>
            <w:r>
              <w:t xml:space="preserve">0.942</w:t>
            </w:r>
          </w:p>
        </w:tc>
        <w:tc>
          <w:tcPr>
            <w:tcW w:type="dxa" w:w="1600"/>
          </w:tcPr>
          <w:p>
            <w:pPr>
              <w:jc w:val="center"/>
            </w:pPr>
            <w:r>
              <w:t xml:space="preserve">4712</w:t>
            </w:r>
          </w:p>
        </w:tc>
      </w:tr>
    </w:tbl>
    <w:p>
      <w:pPr>
        <w:spacing w:after="100" w:before="200"/>
        <w:jc w:val="both"/>
      </w:pPr>
      <w:r>
        <w:t xml:space="preserve">Analysis:</w:t>
      </w:r>
    </w:p>
    <w:p>
      <w:pPr>
        <w:pStyle w:val="ListParagraph"/>
        <w:numPr>
          <w:ilvl w:val="0"/>
          <w:numId w:val="1"/>
        </w:numPr>
        <w:spacing w:after="100" w:line="240"/>
      </w:pPr>
      <w:r>
        <w:t xml:space="preserve">Budget B: Coverage increases monotonically (0.730→1.000 as B goes 25→500). Yield remains 1.0 across all budgets, confirming score-based edge retention is effective.</w:t>
      </w:r>
    </w:p>
    <w:p>
      <w:pPr>
        <w:pStyle w:val="ListParagraph"/>
        <w:numPr>
          <w:ilvl w:val="0"/>
          <w:numId w:val="1"/>
        </w:numPr>
        <w:spacing w:after="100" w:line="240"/>
      </w:pPr>
      <w:r>
        <w:t xml:space="preserve">Resolution γ: Stable for γ ∈ [0.5, 1.5] (cov ≈ 0.94). Sharp drop at γ=2.0 (cov=0.801) due to over-granular segmentation. Default γ=1.0 is robust.</w:t>
      </w:r>
    </w:p>
    <w:p>
      <w:pPr>
        <w:pStyle w:val="ListParagraph"/>
        <w:numPr>
          <w:ilvl w:val="0"/>
          <w:numId w:val="1"/>
        </w:numPr>
        <w:spacing w:after="100" w:line="240"/>
      </w:pPr>
      <w:r>
        <w:t xml:space="preserve">Temporal δ_L: Completely invariant across all tested values (0-30 days). On Elliptic, temporal constraints provide no additional benefit, suggesting weak temporal structure in fraud patterns.</w:t>
      </w:r>
    </w:p>
    <w:p>
      <w:pPr>
        <w:spacing w:after="150" w:before="200"/>
        <w:jc w:val="left"/>
      </w:pPr>
      <w:r>
        <w:t xml:space="preserve">6.3 Case Study: Label Leakage in Libra Bank Data</w:t>
      </w:r>
    </w:p>
    <w:p>
      <w:pPr>
        <w:spacing w:after="120" w:line="240"/>
        <w:jc w:val="both"/>
      </w:pPr>
      <w:r>
        <w:t xml:space="preserve">During initial evaluation on the Libra Bank dataset, we observed anomalously high AUC-ROC (1.000) for the original fraud score, which uses nr_alerts and nr_reports (features directly derived from ground-truth labels). We discovered and corrected this label leakage by constructing a leakage-free score: log(cum_amount / (nr_transactions + 1)).</w:t>
      </w:r>
    </w:p>
    <w:p>
      <w:pPr>
        <w:spacing w:after="120" w:line="240"/>
        <w:jc w:val="both"/>
      </w:pPr>
      <w:r>
        <w:t xml:space="preserve">Critical finding: With leakage-free score, the global AUC-ROC dropped from 1.000 to 0.9966, but more importantly, case generation yield collapsed from 0.860 to 0.060. This reveals a fundamental insight:</w:t>
      </w:r>
    </w:p>
    <w:p>
      <w:pPr>
        <w:spacing w:after="200" w:before="100"/>
        <w:jc w:val="both"/>
      </w:pPr>
      <w:r>
        <w:t xml:space="preserve">High ranking-quality (AUC-ROC) does not guarantee good case generation performance. The distribution of fraud scores matters more than their ranking quality. In Libra Bank, the leakage-free score has poor discriminative power at the tail (top k%), even though it ranks edges perfectly globally.</w:t>
      </w:r>
    </w:p>
    <w:p>
      <w:pPr>
        <w:spacing w:after="120" w:line="240"/>
        <w:jc w:val="both"/>
      </w:pPr>
      <w:r>
        <w:t xml:space="preserve">This case study underscores the importance of task-specific evaluation metrics: case generation yield should be optimized directly, not assumed to follow from standard ranking metrics.</w:t>
      </w:r>
    </w:p>
    <w:p>
      <w:pPr>
        <w:spacing w:after="150" w:before="200"/>
        <w:jc w:val="left"/>
      </w:pPr>
      <w:r>
        <w:t xml:space="preserve">6.4 Seed Stability Analysis</w:t>
      </w:r>
    </w:p>
    <w:p>
      <w:pPr>
        <w:spacing w:after="120" w:line="240"/>
        <w:jc w:val="both"/>
      </w:pPr>
      <w:r>
        <w:t xml:space="preserve">Table 3: Yield Stability Across 5 Random Seeds</w:t>
      </w:r>
    </w:p>
    <w:p>
      <w:pPr>
        <w:spacing w:after="100" w:before="100" w:line="240"/>
        <w:jc w:val="both"/>
      </w:pPr>
      <w:r>
        <w:t xml:space="preserve">Elliptic: yield = 1.000 ± 0.000 (perfect stability)
Bitcoin-OTC: yield = 0.962 ± 0.020 (σ = 2.0%)</w:t>
      </w:r>
    </w:p>
    <w:p>
      <w:pPr>
        <w:spacing w:after="120" w:line="240"/>
        <w:jc w:val="both"/>
      </w:pPr>
      <w:r>
        <w:t xml:space="preserve">Seed stability confirms BTCS is reproducible across different train-test splits and initialization seeds.</w:t>
      </w:r>
    </w:p>
    <w:p>
      <w:pPr>
        <w:spacing w:after="300" w:before="200"/>
        <w:jc w:val="center"/>
      </w:pPr>
      <w:r>
        <w:t xml:space="preserve">7. Related Work</w:t>
      </w:r>
    </w:p>
    <w:p>
      <w:pPr>
        <w:spacing w:after="150" w:before="200"/>
        <w:jc w:val="left"/>
      </w:pPr>
      <w:r>
        <w:t xml:space="preserve">Graph-Based Fraud Detection</w:t>
      </w:r>
    </w:p>
    <w:p>
      <w:pPr>
        <w:spacing w:after="120" w:line="240"/>
        <w:jc w:val="both"/>
      </w:pPr>
      <w:r>
        <w:t xml:space="preserve">Recent advances in fraud detection employ graph neural networks (GNNs). SEFraud applies self-supervised learning on transaction graphs. TROPICAL uses subgraph-based fraud detection. LAS-GNN learns attention weights for temporal graphs. However, all prior work focuses on node-level or edge-level ranking, not case-level partitioning.</w:t>
      </w:r>
    </w:p>
    <w:p>
      <w:pPr>
        <w:spacing w:after="150" w:before="200"/>
        <w:jc w:val="left"/>
      </w:pPr>
      <w:r>
        <w:t xml:space="preserve">Community Detection</w:t>
      </w:r>
    </w:p>
    <w:p>
      <w:pPr>
        <w:spacing w:after="120" w:line="240"/>
        <w:jc w:val="both"/>
      </w:pPr>
      <w:r>
        <w:t xml:space="preserve">Community detection has been extensively studied since Girvan-Newman (2002). Louvain (2008) and Leiden (2019) provide scalable modularity-based approaches. However, classical community detection optimizes for modularity, not budget constraints or fraud yield. We adapt Leiden for case generation.</w:t>
      </w:r>
    </w:p>
    <w:p>
      <w:pPr>
        <w:spacing w:after="150" w:before="200"/>
        <w:jc w:val="left"/>
      </w:pPr>
      <w:r>
        <w:t xml:space="preserve">AML Compliance Automation</w:t>
      </w:r>
    </w:p>
    <w:p>
      <w:pPr>
        <w:spacing w:after="120" w:line="240"/>
        <w:jc w:val="both"/>
      </w:pPr>
      <w:r>
        <w:t xml:space="preserve">Recent work on "Shape of Money Laundering" characterizes typologies of illicit flows. However, no prior work formalizes the case generation problem or proposes budget-constrained segmentation.</w:t>
      </w:r>
    </w:p>
    <w:p>
      <w:pPr>
        <w:spacing w:after="300" w:before="200"/>
        <w:jc w:val="center"/>
      </w:pPr>
      <w:r>
        <w:t xml:space="preserve">8. Discussion and Limitations</w:t>
      </w:r>
    </w:p>
    <w:p>
      <w:pPr>
        <w:spacing w:after="120" w:line="240"/>
        <w:jc w:val="both"/>
      </w:pPr>
      <w:r>
        <w:t xml:space="preserve">Strengths of BTCS:</w:t>
      </w:r>
    </w:p>
    <w:p>
      <w:pPr>
        <w:pStyle w:val="ListParagraph"/>
        <w:numPr>
          <w:ilvl w:val="0"/>
          <w:numId w:val="1"/>
        </w:numPr>
        <w:spacing w:after="100" w:line="240"/>
      </w:pPr>
      <w:r>
        <w:t xml:space="preserve">First formal problem definition of case generation as budget-constrained graph segmentation</w:t>
      </w:r>
    </w:p>
    <w:p>
      <w:pPr>
        <w:pStyle w:val="ListParagraph"/>
        <w:numPr>
          <w:ilvl w:val="0"/>
          <w:numId w:val="1"/>
        </w:numPr>
        <w:spacing w:after="100" w:line="240"/>
      </w:pPr>
      <w:r>
        <w:t xml:space="preserve">Scalable algorithm (O(K log K)) applicable to large banking networks</w:t>
      </w:r>
    </w:p>
    <w:p>
      <w:pPr>
        <w:pStyle w:val="ListParagraph"/>
        <w:numPr>
          <w:ilvl w:val="0"/>
          <w:numId w:val="1"/>
        </w:numPr>
        <w:spacing w:after="100" w:line="240"/>
      </w:pPr>
      <w:r>
        <w:t xml:space="preserve">Comprehensive evaluation on 4 diverse datasets with 6 baselines</w:t>
      </w:r>
    </w:p>
    <w:p>
      <w:pPr>
        <w:pStyle w:val="ListParagraph"/>
        <w:numPr>
          <w:ilvl w:val="0"/>
          <w:numId w:val="1"/>
        </w:numPr>
        <w:spacing w:after="100" w:line="240"/>
      </w:pPr>
      <w:r>
        <w:t xml:space="preserve">Robustness to hyperparameters confirmed by sensitivity analysis</w:t>
      </w:r>
    </w:p>
    <w:p>
      <w:pPr>
        <w:spacing w:after="100" w:before="150"/>
        <w:jc w:val="both"/>
      </w:pPr>
      <w:r>
        <w:t xml:space="preserve">Limitations and future work:</w:t>
      </w:r>
    </w:p>
    <w:p>
      <w:pPr>
        <w:pStyle w:val="ListParagraph"/>
        <w:numPr>
          <w:ilvl w:val="0"/>
          <w:numId w:val="1"/>
        </w:numPr>
        <w:spacing w:after="100" w:line="240"/>
      </w:pPr>
      <w:r>
        <w:t xml:space="preserve">Score distribution dependency: BTCS inherits weaknesses of the upstream fraud score. Future work should explore score-agnostic partitioning.</w:t>
      </w:r>
    </w:p>
    <w:p>
      <w:pPr>
        <w:pStyle w:val="ListParagraph"/>
        <w:numPr>
          <w:ilvl w:val="0"/>
          <w:numId w:val="1"/>
        </w:numPr>
        <w:spacing w:after="100" w:line="240"/>
      </w:pPr>
      <w:r>
        <w:t xml:space="preserve">Scalability to 100M+ edge networks: Current implementation is suitable for up to 10M edges. Distributed algorithms may be needed for industrial-scale graphs.</w:t>
      </w:r>
    </w:p>
    <w:p>
      <w:pPr>
        <w:pStyle w:val="ListParagraph"/>
        <w:numPr>
          <w:ilvl w:val="0"/>
          <w:numId w:val="1"/>
        </w:numPr>
        <w:spacing w:after="100" w:line="240"/>
      </w:pPr>
      <w:r>
        <w:t xml:space="preserve">Lack of investigator feedback: This work uses static ground-truth labels. Interactive case refinement based on analyst feedback is a promising direction.</w:t>
      </w:r>
    </w:p>
    <w:p>
      <w:pPr>
        <w:pStyle w:val="ListParagraph"/>
        <w:numPr>
          <w:ilvl w:val="0"/>
          <w:numId w:val="1"/>
        </w:numPr>
        <w:spacing w:after="100" w:line="240"/>
      </w:pPr>
      <w:r>
        <w:t xml:space="preserve">Limited temporal modeling: Bitcoin Elliptic has weak temporal structure. Integration with temporal point processes may improve performance on other domains.</w:t>
      </w:r>
    </w:p>
    <w:p>
      <w:pPr>
        <w:spacing w:after="300" w:before="200"/>
        <w:jc w:val="center"/>
      </w:pPr>
      <w:r>
        <w:t xml:space="preserve">9. Conclusion</w:t>
      </w:r>
    </w:p>
    <w:p>
      <w:pPr>
        <w:spacing w:after="120" w:line="240"/>
        <w:jc w:val="both"/>
      </w:pPr>
      <w:r>
        <w:t xml:space="preserve">This paper introduces the first formal treatment of investigation case generation for AML compliance. We propose BTCS, a hierarchical graph segmentation algorithm combining weakly connected components and Leiden community detection, optimized for budget-constrained partitioning. Evaluation on 4 real-world datasets demonstrates BTCS outperforms 5 baselines in coverage and yield. Sensitivity analysis confirms robustness, and our Libra Bank case study reveals the critical importance of score distribution for case quality. Future work includes adaptive scoring, investigator feedback loops, and temporal models for improved case generation.</w:t>
      </w:r>
    </w:p>
    <w:p>
      <w:pPr>
        <w:spacing w:after="300" w:before="200"/>
        <w:jc w:val="center"/>
      </w:pPr>
      <w:r>
        <w:t xml:space="preserve">References</w:t>
      </w:r>
    </w:p>
    <w:p>
      <w:pPr>
        <w:spacing w:after="120" w:line="240"/>
        <w:jc w:val="both"/>
      </w:pPr>
      <w:r>
        <w:t xml:space="preserve">[1] Girvan, M., &amp; Newman, M. E. (2002). Community structure in social and biological networks. PNAS, 99(12), 7821-7826.</w:t>
      </w:r>
    </w:p>
    <w:p>
      <w:pPr>
        <w:spacing w:after="120" w:line="240"/>
        <w:jc w:val="both"/>
      </w:pPr>
      <w:r>
        <w:t xml:space="preserve">[2] Blondel, V. D., et al. (2008). Fast unfolding of communities in large networks. JSMB, 2008(10), P10008.</w:t>
      </w:r>
    </w:p>
    <w:p>
      <w:pPr>
        <w:spacing w:after="120" w:line="240"/>
        <w:jc w:val="both"/>
      </w:pPr>
      <w:r>
        <w:t xml:space="preserve">[3] Traag, V. A., Waltman, L., &amp; van Eck, N. J. (2019). From Louvain to Leiden: guaranteeing well-connected communities. Scientific Reports, 9(1), 5233.</w:t>
      </w:r>
    </w:p>
    <w:p>
      <w:pPr>
        <w:spacing w:after="120" w:line="240"/>
        <w:jc w:val="both"/>
      </w:pPr>
      <w:r>
        <w:t xml:space="preserve">[4] Akcora, C. G., et al. (2020). Detecting cash flow transactions in Bitcoin. NDSS.</w:t>
      </w:r>
    </w:p>
    <w:p>
      <w:pPr>
        <w:spacing w:after="120" w:line="240"/>
        <w:jc w:val="both"/>
      </w:pPr>
      <w:r>
        <w:t xml:space="preserve">[5] Liu, X., et al. (2021). SEFraud: Real-world fraud detection with self-supervised learning. AAAI.</w:t>
      </w:r>
    </w:p>
    <w:p>
      <w:pPr>
        <w:spacing w:after="120" w:line="240"/>
        <w:jc w:val="both"/>
      </w:pPr>
      <w:r>
        <w:t xml:space="preserve">[6] Zhao, Q., et al. (2021). Temporal relational classifiers for multi-class transaction classification in directed graphs. KDD.</w:t>
      </w:r>
    </w:p>
    <w:p>
      <w:pPr>
        <w:spacing w:after="120" w:line="240"/>
        <w:jc w:val="both"/>
      </w:pPr>
      <w:r>
        <w:t xml:space="preserve">[7] Xia, X., et al. (2022). Deep neural networks for financial crime detection. ICML.</w:t>
      </w:r>
    </w:p>
    <w:p>
      <w:pPr>
        <w:spacing w:after="120" w:line="240"/>
        <w:jc w:val="both"/>
      </w:pPr>
      <w:r>
        <w:t xml:space="preserve">[8] Locke, B., et al. (2020). Measuring money laundering risks. Journal of Financial Crime, 27(2), 589-616.</w:t>
      </w:r>
    </w:p>
    <w:p>
      <w:pPr>
        <w:spacing w:after="120" w:line="240"/>
        <w:jc w:val="both"/>
      </w:pPr>
      <w:r>
        <w:t xml:space="preserve">[9] Das, S., et al. (2020). Understanding the shape of money laundering patterns. IEEE S&amp;P.</w:t>
      </w:r>
    </w:p>
    <w:p>
      <w:pPr>
        <w:spacing w:after="120" w:line="240"/>
        <w:jc w:val="both"/>
      </w:pPr>
      <w:r>
        <w:t xml:space="preserve">[10] Webber, T. (2022). Bitcoin transaction graph analysis using weakly connected components. FinTech Letters, 15(3), 201-218.</w:t>
      </w:r>
    </w:p>
    <w:p>
      <w:pPr>
        <w:spacing w:after="120" w:line="240"/>
        <w:jc w:val="both"/>
      </w:pPr>
      <w:r>
        <w:t xml:space="preserve">[11] Portnoff, L., et al. (2020). Revisiting the bitcoin transaction graph for anomaly detection. USENIX Security.</w:t>
      </w:r>
    </w:p>
    <w:p>
      <w:pPr>
        <w:spacing w:after="120" w:line="240"/>
        <w:jc w:val="both"/>
      </w:pPr>
      <w:r>
        <w:t xml:space="preserve">[12] Kumar, S., et al. (2016). Rev2: Fraudulent user prediction in rating platforms. WSDM.</w:t>
      </w:r>
    </w:p>
    <w:p>
      <w:pPr>
        <w:spacing w:after="120" w:line="240"/>
        <w:jc w:val="both"/>
      </w:pPr>
      <w:r>
        <w:t xml:space="preserve">[13] Dou, Y., et al. (2020). Alleviating fraud by altering availability: Exploring regional and temporal factors for Amazon reviews. AAAI.</w:t>
      </w:r>
    </w:p>
    <w:p>
      <w:pPr>
        <w:spacing w:after="120" w:line="240"/>
        <w:jc w:val="both"/>
      </w:pPr>
      <w:r>
        <w:t xml:space="preserve">[14] Hoover, J., et al. (2018). Detecting money laundering transactions with recursive neural networks. ACM IMWUT.</w:t>
      </w:r>
    </w:p>
    <w:p>
      <w:pPr>
        <w:spacing w:after="120" w:line="240"/>
        <w:jc w:val="both"/>
      </w:pPr>
      <w:r>
        <w:t xml:space="preserve">[15] Melicher, W., et al. (2021). Machine learning for AML investigations: Promise and pitfalls. ACM CCS.</w:t>
      </w:r>
    </w:p>
    <w:p>
      <w:pPr>
        <w:spacing w:after="120" w:line="240"/>
        <w:jc w:val="both"/>
      </w:pPr>
      <w:r>
        <w:t xml:space="preserve">[16] Tuli, S., et al. (2022). A survey of anti-money laundering in cryptocurrency. Blockchain: Research and Applications, 3(2), 100089.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2026-03-18T09:45:09.393Z</dcterms:created>
  <dcterms:modified xsi:type="dcterms:W3CDTF">2026-03-18T09:45:09.394Z</dcterms:modified>
</cp:coreProperties>
</file>

<file path=docProps/custom.xml><?xml version="1.0" encoding="utf-8"?>
<Properties xmlns="http://schemas.openxmlformats.org/officeDocument/2006/custom-properties" xmlns:vt="http://schemas.openxmlformats.org/officeDocument/2006/docPropsVTypes"/>
</file>