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left"/>
      </w:pPr>
      <w:r>
        <w:rPr>
          <w:rFonts w:ascii="Calibri" w:hAnsi="Calibri"/>
          <w:b/>
          <w:color w:val="0E968C"/>
          <w:sz w:val="24"/>
        </w:rPr>
        <w:t>INFORME DESCRIPTIVO Y PEDAGÓGICO</w:t>
        <w:br/>
      </w:r>
      <w:r>
        <w:rPr>
          <w:rFonts w:ascii="Calibri" w:hAnsi="Calibri"/>
          <w:b/>
          <w:color w:val="0D3A80"/>
          <w:sz w:val="44"/>
        </w:rPr>
        <w:t>Plataforma de Validación Curricular y Generación de Contenidos Didácticos</w:t>
      </w:r>
    </w:p>
    <w:p>
      <w:pPr>
        <w:spacing w:before="80" w:after="360"/>
      </w:pPr>
      <w:r>
        <w:rPr>
          <w:rFonts w:ascii="Calibri" w:hAnsi="Calibri"/>
          <w:i/>
          <w:color w:val="646E78"/>
          <w:sz w:val="22"/>
        </w:rPr>
        <w:t>Unidad Educativa Bilingüe Indoamérica (UEI) | Solución Tecnológica Educativa</w:t>
      </w:r>
    </w:p>
    <w:p>
      <w:pPr>
        <w:spacing w:after="280"/>
        <w:pBdr>
          <w:bottom w:val="single" w:sz="12" w:space="1" w:color="0D3A80"/>
        </w:pBdr>
      </w:pPr>
    </w:p>
    <w:p>
      <w:pPr>
        <w:pStyle w:val="Heading1"/>
        <w:spacing w:before="280" w:after="120"/>
      </w:pPr>
      <w:r>
        <w:rPr>
          <w:rFonts w:ascii="Calibri" w:hAnsi="Calibri"/>
          <w:b/>
          <w:color w:val="0D3A80"/>
          <w:sz w:val="30"/>
        </w:rPr>
        <w:t>1. Presentación y Objetivo del Aplicativo</w:t>
      </w:r>
    </w:p>
    <w:p>
      <w:pPr>
        <w:spacing w:after="160" w:line="276" w:lineRule="auto"/>
      </w:pPr>
      <w:r>
        <w:t>El presente documento describe de forma clara y accesible las funcionalidades y servicios que ofrece la nueva plataforma digital pedagógica desarrollada para la Unidad Educativa Bilingüe Indoamérica (UEI). Esta herramienta web ha sido diseñada para facilitar el trabajo diario de los docentes, optimizar el tiempo de revisión académica y elevar la calidad del aprendizaje de los estudiantes mediante tecnología inteligente e intuitiva.</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D3A80"/>
              <w:top w:val="none"/>
              <w:right w:val="none"/>
              <w:bottom w:val="none"/>
            </w:tcBorders>
          </w:tcPr>
          <w:p>
            <w:pPr>
              <w:spacing w:before="40" w:after="80"/>
            </w:pPr>
            <w:r>
              <w:rPr>
                <w:rFonts w:ascii="Calibri" w:hAnsi="Calibri"/>
                <w:b/>
                <w:color w:val="0D3A80"/>
                <w:sz w:val="22"/>
              </w:rPr>
              <w:t>📌 ¿Qué logra esta herramienta en la institución?</w:t>
              <w:br/>
            </w:r>
          </w:p>
          <w:p>
            <w:pPr>
              <w:spacing w:before="40" w:after="40"/>
            </w:pPr>
            <w:r>
              <w:rPr>
                <w:rFonts w:ascii="Calibri" w:hAnsi="Calibri"/>
                <w:color w:val="2C3E50"/>
                <w:sz w:val="21"/>
              </w:rPr>
              <w:t>Propósito Principal: Garantizar que la planificación de clases (Sílabo) guarde estricta correspondencia con los materiales entregados a los estudiantes (Guías Didácticas), y transformar libros o documentos estáticos en cuadernos digitales interactivos de fácil acceso.</w:t>
            </w:r>
          </w:p>
        </w:tc>
      </w:tr>
    </w:tbl>
    <w:p>
      <w:pPr>
        <w:spacing w:after="120"/>
      </w:pPr>
    </w:p>
    <w:p>
      <w:pPr>
        <w:pStyle w:val="Heading1"/>
        <w:spacing w:before="320" w:after="120"/>
      </w:pPr>
      <w:r>
        <w:rPr>
          <w:rFonts w:ascii="Calibri" w:hAnsi="Calibri"/>
          <w:b/>
          <w:color w:val="0D3A80"/>
          <w:sz w:val="30"/>
        </w:rPr>
        <w:t>2. Estructura General: Un Sistema, Dos Servicios</w:t>
      </w:r>
    </w:p>
    <w:p>
      <w:pPr>
        <w:spacing w:after="200" w:line="276" w:lineRule="auto"/>
      </w:pPr>
      <w:r>
        <w:t>Al ingresar al aplicativo, el usuario es recibido por un menú principal visualmente atractivo y fácil de navegar. Desde allí, puede acceder a dos módulos especializados según la necesidad del momento:</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0D3A80"/>
            <w:tcMar>
              <w:top w:w="120" w:type="dxa"/>
              <w:bottom w:w="120" w:type="dxa"/>
              <w:left w:w="150" w:type="dxa"/>
              <w:right w:w="150" w:type="dxa"/>
            </w:tcMar>
          </w:tcPr>
          <w:p>
            <w:r>
              <w:rPr>
                <w:rFonts w:ascii="Calibri" w:hAnsi="Calibri"/>
                <w:b/>
                <w:color w:val="FFFFFF"/>
                <w:sz w:val="21"/>
              </w:rPr>
              <w:t>Módulo / Servicio</w:t>
            </w:r>
          </w:p>
        </w:tc>
        <w:tc>
          <w:tcPr>
            <w:tcW w:type="dxa" w:w="4680"/>
            <w:shd w:fill="0D3A80"/>
            <w:tcMar>
              <w:top w:w="120" w:type="dxa"/>
              <w:bottom w:w="120" w:type="dxa"/>
              <w:left w:w="150" w:type="dxa"/>
              <w:right w:w="150" w:type="dxa"/>
            </w:tcMar>
          </w:tcPr>
          <w:p>
            <w:r>
              <w:rPr>
                <w:rFonts w:ascii="Calibri" w:hAnsi="Calibri"/>
                <w:b/>
                <w:color w:val="FFFFFF"/>
                <w:sz w:val="21"/>
              </w:rPr>
              <w:t>Descripción General para el Usuario</w:t>
            </w:r>
          </w:p>
        </w:tc>
      </w:tr>
      <w:tr>
        <w:tc>
          <w:tcPr>
            <w:tcW w:type="dxa" w:w="4680"/>
            <w:shd w:fill="F9FAFB"/>
            <w:tcMar>
              <w:top w:w="100" w:type="dxa"/>
              <w:bottom w:w="100" w:type="dxa"/>
              <w:left w:w="150" w:type="dxa"/>
              <w:right w:w="150" w:type="dxa"/>
            </w:tcMar>
          </w:tcPr>
          <w:p>
            <w:r>
              <w:rPr>
                <w:b/>
                <w:color w:val="0D3A80"/>
              </w:rPr>
              <w:t>1. Validador de Contenidos Curriculares</w:t>
            </w:r>
          </w:p>
        </w:tc>
        <w:tc>
          <w:tcPr>
            <w:tcW w:type="dxa" w:w="4680"/>
            <w:shd w:fill="FFFFFF"/>
            <w:tcMar>
              <w:top w:w="100" w:type="dxa"/>
              <w:bottom w:w="100" w:type="dxa"/>
              <w:left w:w="150" w:type="dxa"/>
              <w:right w:w="150" w:type="dxa"/>
            </w:tcMar>
          </w:tcPr>
          <w:p>
            <w:r>
              <w:t>Compara automáticamente la planificación semanal (Sílabo) contra la guía didáctica del profesor. Muestra de forma transparente qué temas están cubiertos, cuáles faltan y emite un veredicto pedagógico semana a semana.</w:t>
            </w:r>
          </w:p>
        </w:tc>
      </w:tr>
      <w:tr>
        <w:tc>
          <w:tcPr>
            <w:tcW w:type="dxa" w:w="4680"/>
            <w:shd w:fill="F9FAFB"/>
            <w:tcMar>
              <w:top w:w="100" w:type="dxa"/>
              <w:bottom w:w="100" w:type="dxa"/>
              <w:left w:w="150" w:type="dxa"/>
              <w:right w:w="150" w:type="dxa"/>
            </w:tcMar>
          </w:tcPr>
          <w:p>
            <w:r>
              <w:rPr>
                <w:b/>
                <w:color w:val="0D3A80"/>
              </w:rPr>
              <w:t>2. Generador de Contenidos Interactivos</w:t>
            </w:r>
          </w:p>
        </w:tc>
        <w:tc>
          <w:tcPr>
            <w:tcW w:type="dxa" w:w="4680"/>
            <w:shd w:fill="FFFFFF"/>
            <w:tcMar>
              <w:top w:w="100" w:type="dxa"/>
              <w:bottom w:w="100" w:type="dxa"/>
              <w:left w:w="150" w:type="dxa"/>
              <w:right w:w="150" w:type="dxa"/>
            </w:tcMar>
          </w:tcPr>
          <w:p>
            <w:r>
              <w:t>Convierte guías educativas en formato PDF en guías digitales interactivas. Los estudiantes pueden responder ejercicios, recibir calificación inmediata, hacer trazos/dibujos y guardar su avance automáticamente.</w:t>
            </w:r>
          </w:p>
        </w:tc>
      </w:tr>
    </w:tbl>
    <w:p>
      <w:pPr>
        <w:spacing w:after="160"/>
      </w:pPr>
    </w:p>
    <w:p>
      <w:pPr>
        <w:pStyle w:val="Heading1"/>
        <w:spacing w:before="320" w:after="120"/>
      </w:pPr>
      <w:r>
        <w:rPr>
          <w:rFonts w:ascii="Calibri" w:hAnsi="Calibri"/>
          <w:b/>
          <w:color w:val="0D3A80"/>
          <w:sz w:val="30"/>
        </w:rPr>
        <w:t>3. Módulo 1: Validador de Contenidos Curriculares</w:t>
      </w:r>
    </w:p>
    <w:p>
      <w:pPr>
        <w:spacing w:after="120" w:line="276" w:lineRule="auto"/>
      </w:pPr>
      <w:r>
        <w:t>Este módulo resuelve uno de los mayores retos de la gestión educativa: verificar que lo que se planificó al inicio del periodo académico sea exactamente lo que se desarrolla en las lecciones impartidas.</w:t>
      </w:r>
    </w:p>
    <w:p>
      <w:pPr>
        <w:pStyle w:val="Heading2"/>
        <w:spacing w:before="200" w:after="80"/>
      </w:pPr>
      <w:r>
        <w:rPr>
          <w:rFonts w:ascii="Calibri" w:hAnsi="Calibri"/>
          <w:b/>
          <w:color w:val="0E968C"/>
          <w:sz w:val="25"/>
        </w:rPr>
        <w:t>3.1 Carga sencilla de documentos</w:t>
      </w:r>
    </w:p>
    <w:p>
      <w:pPr>
        <w:spacing w:after="120" w:line="276" w:lineRule="auto"/>
      </w:pPr>
      <w:r>
        <w:t>El docente solo debe subir dos archivos digitales a la plataforma:</w:t>
      </w:r>
    </w:p>
    <w:p>
      <w:pPr>
        <w:pStyle w:val="ListBullet"/>
        <w:spacing w:after="60"/>
      </w:pPr>
      <w:r>
        <w:rPr>
          <w:b/>
        </w:rPr>
        <w:t xml:space="preserve">Sílabo institucional: </w:t>
      </w:r>
      <w:r>
        <w:t>Archivo en Word (.docx) que contiene la planificación semanal y la matriz curricular.</w:t>
      </w:r>
    </w:p>
    <w:p>
      <w:pPr>
        <w:pStyle w:val="ListBullet"/>
        <w:spacing w:after="120"/>
      </w:pPr>
      <w:r>
        <w:rPr>
          <w:b/>
        </w:rPr>
        <w:t xml:space="preserve">Guía Didáctica o Material: </w:t>
      </w:r>
      <w:r>
        <w:t>Documento en PDF o Word con las lecturas, explicaciones y ejercicios preparados para el estudiante.</w:t>
      </w:r>
    </w:p>
    <w:p>
      <w:pPr>
        <w:pStyle w:val="Heading2"/>
        <w:spacing w:before="200" w:after="80"/>
      </w:pPr>
      <w:r>
        <w:rPr>
          <w:rFonts w:ascii="Calibri" w:hAnsi="Calibri"/>
          <w:b/>
          <w:color w:val="0E968C"/>
          <w:sz w:val="25"/>
        </w:rPr>
        <w:t>3.2 Análisis inteligente semana por semana</w:t>
      </w:r>
    </w:p>
    <w:p>
      <w:pPr>
        <w:spacing w:after="120" w:line="276" w:lineRule="auto"/>
      </w:pPr>
      <w:r>
        <w:t>Al presionar el botón de validación, el sistema realiza una lectura cruzada automática semana a semana (Semana 1, Semana 2, etc.). El análisis aplica una regla pedagógica justa llamada 'Presencia sobre Estructura':</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D3A80"/>
              <w:top w:val="none"/>
              <w:right w:val="none"/>
              <w:bottom w:val="none"/>
            </w:tcBorders>
          </w:tcPr>
          <w:p>
            <w:pPr>
              <w:spacing w:before="40" w:after="80"/>
            </w:pPr>
            <w:r>
              <w:rPr>
                <w:rFonts w:ascii="Calibri" w:hAnsi="Calibri"/>
                <w:b/>
                <w:color w:val="0D3A80"/>
                <w:sz w:val="22"/>
              </w:rPr>
              <w:t>📌 Criterio de Evaluación Pedagógica Inteligente</w:t>
              <w:br/>
            </w:r>
          </w:p>
          <w:p>
            <w:pPr>
              <w:spacing w:before="40" w:after="40"/>
            </w:pPr>
            <w:r>
              <w:rPr>
                <w:rFonts w:ascii="Calibri" w:hAnsi="Calibri"/>
                <w:color w:val="2C3E50"/>
                <w:sz w:val="21"/>
              </w:rPr>
              <w:t>• Si el tema está desarrollado en la guía, no importa si el título usa palabras ligeramente distintas (ejemplo: 'Fracciones equivalentes' vs 'Equivalencia de fracciones'). El sistema comprende el significado real y valida el tema como CUBIERTO.</w:t>
            </w:r>
          </w:p>
          <w:p>
            <w:pPr>
              <w:spacing w:before="40" w:after="40"/>
            </w:pPr>
            <w:r>
              <w:rPr>
                <w:rFonts w:ascii="Calibri" w:hAnsi="Calibri"/>
                <w:color w:val="2C3E50"/>
                <w:sz w:val="21"/>
              </w:rPr>
              <w:t>• Solo se penaliza cuando un tema planificado sencillamente NO aparece o no se desarrolla en la guía didáctica.</w:t>
            </w:r>
          </w:p>
        </w:tc>
      </w:tr>
    </w:tbl>
    <w:p>
      <w:pPr>
        <w:spacing w:after="120"/>
      </w:pPr>
    </w:p>
    <w:p>
      <w:pPr>
        <w:pStyle w:val="Heading2"/>
        <w:spacing w:before="200" w:after="80"/>
      </w:pPr>
      <w:r>
        <w:rPr>
          <w:rFonts w:ascii="Calibri" w:hAnsi="Calibri"/>
          <w:b/>
          <w:color w:val="0E968C"/>
          <w:sz w:val="25"/>
        </w:rPr>
        <w:t>3.3 Veredictos claros y visuales</w:t>
      </w:r>
    </w:p>
    <w:p>
      <w:pPr>
        <w:spacing w:after="120" w:line="276" w:lineRule="auto"/>
      </w:pPr>
      <w:r>
        <w:t>El resultado se muestra en pantalla a través de una matriz intuitiva con sellos de color:</w:t>
      </w:r>
    </w:p>
    <w:p>
      <w:pPr>
        <w:pStyle w:val="ListBullet"/>
        <w:spacing w:after="60"/>
      </w:pPr>
      <w:r>
        <w:rPr>
          <w:b/>
          <w:color w:val="228B22"/>
        </w:rPr>
        <w:t xml:space="preserve">🟢 CUMPLE (Sello Verde): </w:t>
      </w:r>
      <w:r>
        <w:t>La semana está adecuadamente desarrollada y cubre el 80% o más de los subtemas planificados.</w:t>
      </w:r>
    </w:p>
    <w:p>
      <w:pPr>
        <w:pStyle w:val="ListBullet"/>
        <w:spacing w:after="60"/>
      </w:pPr>
      <w:r>
        <w:rPr>
          <w:b/>
          <w:color w:val="DAA520"/>
        </w:rPr>
        <w:t xml:space="preserve">🟡 CUMPLE PARCIAL (Sello Amarillo): </w:t>
      </w:r>
      <w:r>
        <w:t>La semana fue incluida, pero la cobertura de temas está entre el 50% y 79%. Se indican los vacíos encontrados.</w:t>
      </w:r>
    </w:p>
    <w:p>
      <w:pPr>
        <w:pStyle w:val="ListBullet"/>
        <w:spacing w:after="120"/>
      </w:pPr>
      <w:r>
        <w:rPr>
          <w:b/>
          <w:color w:val="B22222"/>
        </w:rPr>
        <w:t xml:space="preserve">🔴 NO CUMPLE (Sello Rojo): </w:t>
      </w:r>
      <w:r>
        <w:t>La semana no fue desarrollada en la guía o cubre menos del 50% del contenido previsto.</w:t>
      </w:r>
    </w:p>
    <w:p>
      <w:pPr>
        <w:spacing w:after="160" w:line="276" w:lineRule="auto"/>
      </w:pPr>
      <w:r>
        <w:t>Además, aquellas semanas que obtienen la calificación de 'CUMPLE' quedan automáticamente habilitadas para generar recursos y herramientas didácticas adicionales dentro del sistema.</w:t>
      </w:r>
    </w:p>
    <w:p>
      <w:pPr>
        <w:pStyle w:val="Heading1"/>
        <w:spacing w:before="320" w:after="120"/>
      </w:pPr>
      <w:r>
        <w:rPr>
          <w:rFonts w:ascii="Calibri" w:hAnsi="Calibri"/>
          <w:b/>
          <w:color w:val="0D3A80"/>
          <w:sz w:val="30"/>
        </w:rPr>
        <w:t>4. Módulo 2: Generador de Contenidos Interactivos</w:t>
      </w:r>
    </w:p>
    <w:p>
      <w:pPr>
        <w:spacing w:after="120" w:line="276" w:lineRule="auto"/>
      </w:pPr>
      <w:r>
        <w:t>El Generador de Contenidos permite dar un salto cualitativo en la enseñanza digital: toma una guía de estudio o libro impreso en PDF y lo convierte en un cuaderno digital altamente interactivo y dinámico.</w:t>
      </w:r>
    </w:p>
    <w:p>
      <w:pPr>
        <w:pStyle w:val="Heading2"/>
        <w:spacing w:before="200" w:after="80"/>
      </w:pPr>
      <w:r>
        <w:rPr>
          <w:rFonts w:ascii="Calibri" w:hAnsi="Calibri"/>
          <w:b/>
          <w:color w:val="0E968C"/>
          <w:sz w:val="25"/>
        </w:rPr>
        <w:t>4.1 Transformación automática manteniendo la estructura</w:t>
      </w:r>
    </w:p>
    <w:p>
      <w:pPr>
        <w:spacing w:after="120" w:line="276" w:lineRule="auto"/>
      </w:pPr>
      <w:r>
        <w:t>El docente sube su archivo PDF y el aplicativo analiza cada página respetando fielmente el diseño original: preserva la portada institucional, los títulos, párrafos, tablas de datos e ilustraciones originales sin distorsionarlos.</w:t>
      </w:r>
    </w:p>
    <w:p>
      <w:pPr>
        <w:pStyle w:val="Heading2"/>
        <w:spacing w:before="200" w:after="80"/>
      </w:pPr>
      <w:r>
        <w:rPr>
          <w:rFonts w:ascii="Calibri" w:hAnsi="Calibri"/>
          <w:b/>
          <w:color w:val="0E968C"/>
          <w:sz w:val="25"/>
        </w:rPr>
        <w:t>4.2 Funcionalidades y herramientas para el estudiante</w:t>
      </w:r>
    </w:p>
    <w:p>
      <w:pPr>
        <w:spacing w:after="120" w:line="276" w:lineRule="auto"/>
      </w:pPr>
      <w:r>
        <w:t>La guía resultante ofrece una amplia gama de servicios interactivos: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0D3A80"/>
            <w:tcMar>
              <w:top w:w="120" w:type="dxa"/>
              <w:bottom w:w="120" w:type="dxa"/>
              <w:left w:w="150" w:type="dxa"/>
              <w:right w:w="150" w:type="dxa"/>
            </w:tcMar>
          </w:tcPr>
          <w:p>
            <w:r>
              <w:rPr>
                <w:b/>
                <w:color w:val="FFFFFF"/>
              </w:rPr>
              <w:t>Funcionalidad Interactiva</w:t>
            </w:r>
          </w:p>
        </w:tc>
        <w:tc>
          <w:tcPr>
            <w:tcW w:type="dxa" w:w="4680"/>
            <w:shd w:fill="0D3A80"/>
            <w:tcMar>
              <w:top w:w="120" w:type="dxa"/>
              <w:bottom w:w="120" w:type="dxa"/>
              <w:left w:w="150" w:type="dxa"/>
              <w:right w:w="150" w:type="dxa"/>
            </w:tcMar>
          </w:tcPr>
          <w:p>
            <w:r>
              <w:rPr>
                <w:b/>
                <w:color w:val="FFFFFF"/>
              </w:rPr>
              <w:t>Beneficio y Experiencia del Usuario</w:t>
            </w:r>
          </w:p>
        </w:tc>
      </w:tr>
      <w:tr>
        <w:tc>
          <w:tcPr>
            <w:tcW w:type="dxa" w:w="4680"/>
            <w:shd w:fill="F9FAFB"/>
            <w:tcMar>
              <w:top w:w="90" w:type="dxa"/>
              <w:bottom w:w="90" w:type="dxa"/>
              <w:left w:w="150" w:type="dxa"/>
              <w:right w:w="150" w:type="dxa"/>
            </w:tcMar>
          </w:tcPr>
          <w:p>
            <w:r>
              <w:rPr>
                <w:b/>
                <w:color w:val="0D3A80"/>
                <w:sz w:val="20"/>
              </w:rPr>
              <w:t>✅ Comprobación Automática de Ejercicios</w:t>
            </w:r>
          </w:p>
        </w:tc>
        <w:tc>
          <w:tcPr>
            <w:tcW w:type="dxa" w:w="4680"/>
            <w:shd w:fill="F9FAFB"/>
            <w:tcMar>
              <w:top w:w="90" w:type="dxa"/>
              <w:bottom w:w="90" w:type="dxa"/>
              <w:left w:w="150" w:type="dxa"/>
              <w:right w:w="150" w:type="dxa"/>
            </w:tcMar>
          </w:tcPr>
          <w:p>
            <w:r>
              <w:rPr>
                <w:sz w:val="20"/>
              </w:rPr>
              <w:t>Los ejercicios con respuesta cerrada permiten al estudiante presionar 'Comprobar' y recibir evaluación inmediata con iconos de verificación (✔ / ✘) y puntaje.</w:t>
            </w:r>
          </w:p>
        </w:tc>
      </w:tr>
      <w:tr>
        <w:tc>
          <w:tcPr>
            <w:tcW w:type="dxa" w:w="4680"/>
            <w:shd w:fill="FFFFFF"/>
            <w:tcMar>
              <w:top w:w="90" w:type="dxa"/>
              <w:bottom w:w="90" w:type="dxa"/>
              <w:left w:w="150" w:type="dxa"/>
              <w:right w:w="150" w:type="dxa"/>
            </w:tcMar>
          </w:tcPr>
          <w:p>
            <w:r>
              <w:rPr>
                <w:b/>
                <w:color w:val="0D3A80"/>
                <w:sz w:val="20"/>
              </w:rPr>
              <w:t>⌨️ y ✏️ Zonas de Trabajo Doble (Texto y Dibujo)</w:t>
            </w:r>
          </w:p>
        </w:tc>
        <w:tc>
          <w:tcPr>
            <w:tcW w:type="dxa" w:w="4680"/>
            <w:shd w:fill="FFFFFF"/>
            <w:tcMar>
              <w:top w:w="90" w:type="dxa"/>
              <w:bottom w:w="90" w:type="dxa"/>
              <w:left w:w="150" w:type="dxa"/>
              <w:right w:w="150" w:type="dxa"/>
            </w:tcMar>
          </w:tcPr>
          <w:p>
            <w:r>
              <w:rPr>
                <w:sz w:val="20"/>
              </w:rPr>
              <w:t>En ejercicios abiertos o matemáticos, el alumno puede alternar entre escribir con el teclado o dibujar a mano alzada (lienzo digital con lápiz, borrador y botón de deshacer).</w:t>
            </w:r>
          </w:p>
        </w:tc>
      </w:tr>
      <w:tr>
        <w:tc>
          <w:tcPr>
            <w:tcW w:type="dxa" w:w="4680"/>
            <w:shd w:fill="F9FAFB"/>
            <w:tcMar>
              <w:top w:w="90" w:type="dxa"/>
              <w:bottom w:w="90" w:type="dxa"/>
              <w:left w:w="150" w:type="dxa"/>
              <w:right w:w="150" w:type="dxa"/>
            </w:tcMar>
          </w:tcPr>
          <w:p>
            <w:r>
              <w:rPr>
                <w:b/>
                <w:color w:val="0D3A80"/>
                <w:sz w:val="20"/>
              </w:rPr>
              <w:t>🖍️ Herramientas de Anotación en Lectura</w:t>
            </w:r>
          </w:p>
        </w:tc>
        <w:tc>
          <w:tcPr>
            <w:tcW w:type="dxa" w:w="4680"/>
            <w:shd w:fill="F9FAFB"/>
            <w:tcMar>
              <w:top w:w="90" w:type="dxa"/>
              <w:bottom w:w="90" w:type="dxa"/>
              <w:left w:w="150" w:type="dxa"/>
              <w:right w:w="150" w:type="dxa"/>
            </w:tcMar>
          </w:tcPr>
          <w:p>
            <w:r>
              <w:rPr>
                <w:sz w:val="20"/>
              </w:rPr>
              <w:t>Permite resaltar o subrayar frases importantes directamente en el documento para facilitar el estudio personal.</w:t>
            </w:r>
          </w:p>
        </w:tc>
      </w:tr>
      <w:tr>
        <w:tc>
          <w:tcPr>
            <w:tcW w:type="dxa" w:w="4680"/>
            <w:shd w:fill="FFFFFF"/>
            <w:tcMar>
              <w:top w:w="90" w:type="dxa"/>
              <w:bottom w:w="90" w:type="dxa"/>
              <w:left w:w="150" w:type="dxa"/>
              <w:right w:w="150" w:type="dxa"/>
            </w:tcMar>
          </w:tcPr>
          <w:p>
            <w:r>
              <w:rPr>
                <w:b/>
                <w:color w:val="0D3A80"/>
                <w:sz w:val="20"/>
              </w:rPr>
              <w:t>💾 Autoguardado Inteligente de Avance</w:t>
            </w:r>
          </w:p>
        </w:tc>
        <w:tc>
          <w:tcPr>
            <w:tcW w:type="dxa" w:w="4680"/>
            <w:shd w:fill="FFFFFF"/>
            <w:tcMar>
              <w:top w:w="90" w:type="dxa"/>
              <w:bottom w:w="90" w:type="dxa"/>
              <w:left w:w="150" w:type="dxa"/>
              <w:right w:w="150" w:type="dxa"/>
            </w:tcMar>
          </w:tcPr>
          <w:p>
            <w:r>
              <w:rPr>
                <w:sz w:val="20"/>
              </w:rPr>
              <w:t>Todo lo que responda, escriba o dibuje el estudiante se guarda automáticamente en su propio equipo o dispositivo. Si cierra el navegador, al volver a abrirlo su trabajo continúa intacto.</w:t>
            </w:r>
          </w:p>
        </w:tc>
      </w:tr>
    </w:tbl>
    <w:p>
      <w:pPr>
        <w:spacing w:after="160"/>
      </w:pPr>
    </w:p>
    <w:p>
      <w:pPr>
        <w:pStyle w:val="Heading2"/>
        <w:spacing w:before="200" w:after="80"/>
      </w:pPr>
      <w:r>
        <w:rPr>
          <w:rFonts w:ascii="Calibri" w:hAnsi="Calibri"/>
          <w:b/>
          <w:color w:val="0E968C"/>
          <w:sz w:val="25"/>
        </w:rPr>
        <w:t>4.3 Descarga autónoma y compatibilidad con Canvas LMS</w:t>
      </w:r>
    </w:p>
    <w:p>
      <w:pPr>
        <w:spacing w:after="120" w:line="276" w:lineRule="auto"/>
      </w:pPr>
      <w:r>
        <w:t>Una de las mayores ventajas de esta tecnología es la entrega del resultado final. El sistema genera un único archivo descargable en formato web (.html) que destaca por las siguientes ventajas clave:</w:t>
      </w:r>
    </w:p>
    <w:p>
      <w:pPr>
        <w:pStyle w:val="ListBullet"/>
        <w:spacing w:after="60"/>
      </w:pPr>
      <w:r>
        <w:rPr>
          <w:b/>
        </w:rPr>
        <w:t xml:space="preserve">Funciona 100% Offline (Sin Internet): </w:t>
      </w:r>
      <w:r>
        <w:t>El estudiante puede descargar la guía e interactuar con ella sin necesidad de estar conectado a internet.</w:t>
      </w:r>
    </w:p>
    <w:p>
      <w:pPr>
        <w:pStyle w:val="ListBullet"/>
        <w:spacing w:after="60"/>
      </w:pPr>
      <w:r>
        <w:rPr>
          <w:b/>
        </w:rPr>
        <w:t xml:space="preserve">Fácil de Abrir: </w:t>
      </w:r>
      <w:r>
        <w:t>Basta con dar doble clic en el archivo para que se abra en cualquier navegador de computadora, tablet o celular.</w:t>
      </w:r>
    </w:p>
    <w:p>
      <w:pPr>
        <w:pStyle w:val="ListBullet"/>
        <w:spacing w:after="120"/>
      </w:pPr>
      <w:r>
        <w:rPr>
          <w:b/>
        </w:rPr>
        <w:t xml:space="preserve">Integración directa con Canvas LMS: </w:t>
      </w:r>
      <w:r>
        <w:t>El docente puede incrustar (embeber) esta guía interactiva dentro del aula virtual institucional Canvas de forma rápida y limpia.</w:t>
      </w:r>
    </w:p>
    <w:p>
      <w:pPr>
        <w:pStyle w:val="Heading1"/>
        <w:spacing w:before="320" w:after="120"/>
      </w:pPr>
      <w:r>
        <w:rPr>
          <w:rFonts w:ascii="Calibri" w:hAnsi="Calibri"/>
          <w:b/>
          <w:color w:val="0D3A80"/>
          <w:sz w:val="30"/>
        </w:rPr>
        <w:t>5. Beneficios para la Comunidad Educativa UEI</w:t>
      </w:r>
    </w:p>
    <w:p>
      <w:pPr>
        <w:spacing w:after="120" w:line="276" w:lineRule="auto"/>
      </w:pPr>
      <w:r>
        <w:t>La implementación de este aplicativo aporta valor inmediato a los diferentes actores de la institución:</w:t>
      </w:r>
    </w:p>
    <w:p>
      <w:pPr>
        <w:pStyle w:val="ListBullet"/>
        <w:spacing w:after="60"/>
      </w:pPr>
      <w:r>
        <w:rPr>
          <w:b/>
          <w:color w:val="0D3A80"/>
        </w:rPr>
        <w:t xml:space="preserve">Para los Docentes: </w:t>
      </w:r>
      <w:r>
        <w:t>Ahorran horas de revisión manual de sílabos y crean material educativo interactivo de nivel profesional sin requerir conocimientos de programación.</w:t>
      </w:r>
    </w:p>
    <w:p>
      <w:pPr>
        <w:pStyle w:val="ListBullet"/>
        <w:spacing w:after="60"/>
      </w:pPr>
      <w:r>
        <w:rPr>
          <w:b/>
          <w:color w:val="0D3A80"/>
        </w:rPr>
        <w:t xml:space="preserve">Para los Estudiantes: </w:t>
      </w:r>
      <w:r>
        <w:t>Reciben clases dinámicas, obtienen retroalimentación instantánea sobre sus respuestas y disfrutan de una experiencia de estudio estimulante y autónoma.</w:t>
      </w:r>
    </w:p>
    <w:p>
      <w:pPr>
        <w:pStyle w:val="ListBullet"/>
        <w:spacing w:after="120"/>
      </w:pPr>
      <w:r>
        <w:rPr>
          <w:b/>
          <w:color w:val="0D3A80"/>
        </w:rPr>
        <w:t xml:space="preserve">Para Coordinadores y Directivos: </w:t>
      </w:r>
      <w:r>
        <w:t>Aseguran la estandarización pedagógica y la cobertura del 100% del currículo institucional de forma transparente y documentada.</w:t>
      </w:r>
    </w:p>
    <w:p>
      <w:pPr>
        <w:pStyle w:val="Heading1"/>
        <w:spacing w:before="320" w:after="120"/>
      </w:pPr>
      <w:r>
        <w:rPr>
          <w:rFonts w:ascii="Calibri" w:hAnsi="Calibri"/>
          <w:b/>
          <w:color w:val="0D3A80"/>
          <w:sz w:val="30"/>
        </w:rPr>
        <w:t>6. Preguntas Frecuentes y Guía Rápida</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D3A80"/>
              <w:top w:val="none"/>
              <w:right w:val="none"/>
              <w:bottom w:val="none"/>
            </w:tcBorders>
          </w:tcPr>
          <w:p>
            <w:pPr>
              <w:spacing w:before="40" w:after="80"/>
            </w:pPr>
            <w:r>
              <w:rPr>
                <w:rFonts w:ascii="Calibri" w:hAnsi="Calibri"/>
                <w:b/>
                <w:color w:val="0D3A80"/>
                <w:sz w:val="22"/>
              </w:rPr>
              <w:t>📌 Preguntas de Uso Común</w:t>
              <w:br/>
            </w:r>
          </w:p>
          <w:p>
            <w:pPr>
              <w:spacing w:before="40" w:after="40"/>
            </w:pPr>
            <w:r>
              <w:rPr>
                <w:rFonts w:ascii="Calibri" w:hAnsi="Calibri"/>
                <w:color w:val="2C3E50"/>
                <w:sz w:val="21"/>
              </w:rPr>
              <w:t>¿Se requiere instalar algún programa adicional en la computadora?</w:t>
            </w:r>
          </w:p>
          <w:p>
            <w:pPr>
              <w:spacing w:before="40" w:after="40"/>
            </w:pPr>
            <w:r>
              <w:rPr>
                <w:rFonts w:ascii="Calibri" w:hAnsi="Calibri"/>
                <w:color w:val="2C3E50"/>
                <w:sz w:val="21"/>
              </w:rPr>
              <w:t>No. La plataforma funciona 100% a través de cualquier navegador web (Chrome, Edge, Firefox, Safari).</w:t>
            </w:r>
          </w:p>
          <w:p>
            <w:pPr>
              <w:spacing w:before="40" w:after="40"/>
            </w:pPr>
            <w:r>
              <w:rPr>
                <w:rFonts w:ascii="Calibri" w:hAnsi="Calibri"/>
                <w:color w:val="2C3E50"/>
                <w:sz w:val="21"/>
              </w:rPr>
            </w:r>
          </w:p>
          <w:p>
            <w:pPr>
              <w:spacing w:before="40" w:after="40"/>
            </w:pPr>
            <w:r>
              <w:rPr>
                <w:rFonts w:ascii="Calibri" w:hAnsi="Calibri"/>
                <w:color w:val="2C3E50"/>
                <w:sz w:val="21"/>
              </w:rPr>
              <w:t>¿Qué sucede con los archivos que se suben?</w:t>
            </w:r>
          </w:p>
          <w:p>
            <w:pPr>
              <w:spacing w:before="40" w:after="40"/>
            </w:pPr>
            <w:r>
              <w:rPr>
                <w:rFonts w:ascii="Calibri" w:hAnsi="Calibri"/>
                <w:color w:val="2C3E50"/>
                <w:sz w:val="21"/>
              </w:rPr>
              <w:t>Por seguridad y privacidad académica, los documentos se procesan en el momento y no se almacenan de forma permanente en servidores externos.</w:t>
            </w:r>
          </w:p>
          <w:p>
            <w:pPr>
              <w:spacing w:before="40" w:after="40"/>
            </w:pPr>
            <w:r>
              <w:rPr>
                <w:rFonts w:ascii="Calibri" w:hAnsi="Calibri"/>
                <w:color w:val="2C3E50"/>
                <w:sz w:val="21"/>
              </w:rPr>
            </w:r>
          </w:p>
          <w:p>
            <w:pPr>
              <w:spacing w:before="40" w:after="40"/>
            </w:pPr>
            <w:r>
              <w:rPr>
                <w:rFonts w:ascii="Calibri" w:hAnsi="Calibri"/>
                <w:color w:val="2C3E50"/>
                <w:sz w:val="21"/>
              </w:rPr>
              <w:t>¿Cómo se visualiza el progreso del estudiante?</w:t>
            </w:r>
          </w:p>
          <w:p>
            <w:pPr>
              <w:spacing w:before="40" w:after="40"/>
            </w:pPr>
            <w:r>
              <w:rPr>
                <w:rFonts w:ascii="Calibri" w:hAnsi="Calibri"/>
                <w:color w:val="2C3E50"/>
                <w:sz w:val="21"/>
              </w:rPr>
              <w:t>El estudiante puede exportar su avance en un archivo liviano si el docente lo solicita para revisión, o el docente puede calificar el uso directo en el aula.</w:t>
            </w:r>
          </w:p>
        </w:tc>
      </w:tr>
    </w:tbl>
    <w:p>
      <w:pPr>
        <w:spacing w:after="120"/>
      </w:pPr>
    </w:p>
    <w:p>
      <w:pPr>
        <w:spacing w:before="240" w:after="400" w:line="276" w:lineRule="auto"/>
      </w:pPr>
      <w:r>
        <w:rPr>
          <w:i/>
          <w:color w:val="2C3E50"/>
        </w:rPr>
        <w:t>En resumen, el aplicativo pedagógico de la Unidad Educativa Bilingüe Indoamérica representa una solución integral, moderna y accesible que fortalece los procesos de enseñanza y aprendizaje, promoviendo la excelencia académica con el soporte de herramientas tecnológicas de vanguardia.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