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2A4A"/>
          <w:sz w:val="40"/>
        </w:rPr>
        <w:t>INFORME DE PLANIFICACIÓN FINANCIERA Y PRESUPUESTARIA UEI</w:t>
      </w:r>
    </w:p>
    <w:p>
      <w:pPr>
        <w:spacing w:before="0" w:after="320"/>
      </w:pPr>
      <w:r>
        <w:rPr>
          <w:rFonts w:ascii="Arial" w:hAnsi="Arial"/>
          <w:i/>
          <w:color w:val="1B6B93"/>
          <w:sz w:val="24"/>
        </w:rPr>
        <w:t>Análisis Ejecutivo de Costos Directos, Margen de Contingencia y Asignación de Presupuesto para Sistema Híbrido (90 Docentes)</w:t>
      </w:r>
    </w:p>
    <w:p>
      <w:pPr>
        <w:spacing w:after="240"/>
      </w:pPr>
      <w:r>
        <w:rPr>
          <w:rFonts w:ascii="Calibri" w:hAnsi="Calibri"/>
          <w:color w:val="555555"/>
          <w:sz w:val="19"/>
        </w:rPr>
        <w:t>Destinatario: Dirección Financiera / Coordinación General | Basado en Tarifas Directas Oficiales Google &amp; DeepSeek | Agosto 2026</w:t>
      </w:r>
    </w:p>
    <w:tbl>
      <w:tblPr>
        <w:tblW w:type="auto" w:w="0"/>
        <w:jc w:val="center"/>
        <w:tblLook w:firstColumn="1" w:firstRow="1" w:lastColumn="0" w:lastRow="0" w:noHBand="0" w:noVBand="1" w:val="04A0"/>
      </w:tblPr>
      <w:tblGrid>
        <w:gridCol w:w="9360"/>
      </w:tblGrid>
      <w:tr>
        <w:tc>
          <w:tcPr>
            <w:tcW w:type="dxa" w:w="9360"/>
            <w:shd w:fill="E8F4F8"/>
            <w:tcBorders>
              <w:top w:val="none"/>
              <w:left w:val="single" w:sz="36" w:space="0" w:color="0F2A4A"/>
              <w:bottom w:val="none"/>
              <w:right w:val="none"/>
            </w:tcBorders>
            <w:tcMar>
              <w:top w:w="140" w:type="dxa"/>
              <w:bottom w:w="140" w:type="dxa"/>
              <w:left w:w="180" w:type="dxa"/>
              <w:right w:w="180" w:type="dxa"/>
            </w:tcMar>
          </w:tcPr>
          <w:p>
            <w:pPr>
              <w:spacing w:before="40" w:after="40"/>
            </w:pPr>
            <w:r>
              <w:rPr>
                <w:rFonts w:ascii="Arial" w:hAnsi="Arial"/>
                <w:b/>
                <w:color w:val="0F2A4A"/>
                <w:sz w:val="21"/>
              </w:rPr>
              <w:t>💰 CIFRA FINAL RECOMENDADA PARA ASIGNACIÓN DE PRESUPUESTO</w:t>
              <w:br/>
            </w:r>
            <w:r>
              <w:rPr>
                <w:rFonts w:ascii="Calibri" w:hAnsi="Calibri"/>
                <w:color w:val="222222"/>
                <w:sz w:val="21"/>
              </w:rPr>
              <w:t>Se recomienda la asignación de un PRESUPUESTO MENSUAL TOTAL DE $11.73 USD ($117.30 USD por año lectivo de 10 meses) para atender la demanda operativa de los 90 docentes institucionales. Este monto incluye un Costo Operacional Base de $7.33 USD/mes más un Fondo de Reserva y Contingencia de $4.40 USD/mes (+60%) destinado a cubrir picos de demanda en períodos de exámenes, reintentos de generación y sobrecarga de volumen.</w:t>
            </w:r>
          </w:p>
        </w:tc>
      </w:tr>
    </w:tbl>
    <w:p>
      <w:pPr>
        <w:spacing w:after="80"/>
      </w:pPr>
    </w:p>
    <w:p>
      <w:pPr>
        <w:keepNext/>
        <w:spacing w:before="320" w:after="120"/>
      </w:pPr>
      <w:r>
        <w:rPr>
          <w:rFonts w:ascii="Arial" w:hAnsi="Arial"/>
          <w:b/>
          <w:color w:val="0F2A4A"/>
          <w:sz w:val="28"/>
        </w:rPr>
        <w:t>1. Propósito del Análisis Financiero</w:t>
      </w:r>
    </w:p>
    <w:p>
      <w:pPr>
        <w:spacing w:before="0" w:after="120" w:line="276" w:lineRule="auto"/>
      </w:pPr>
      <w:r>
        <w:rPr>
          <w:rFonts w:ascii="Calibri" w:hAnsi="Calibri"/>
          <w:color w:val="222222"/>
          <w:sz w:val="22"/>
        </w:rPr>
        <w:t>El objetivo del presente informe es establecer la partida presupuestaria necesaria para respaldar el consumo de Inteligencia Artificial del aplicativo UEI bajo una infraestructura Híbrida de alta eficiencia. El análisis excluye terminología técnica de desarrollo y se enfoca exclusivamente en variables financieras, volumen de uso docente, tarifas oficiales de proveedores y gestión de riesgos presupuestarios.</w:t>
      </w:r>
    </w:p>
    <w:p>
      <w:pPr>
        <w:keepNext/>
        <w:spacing w:before="320" w:after="120"/>
      </w:pPr>
      <w:r>
        <w:rPr>
          <w:rFonts w:ascii="Arial" w:hAnsi="Arial"/>
          <w:b/>
          <w:color w:val="0F2A4A"/>
          <w:sz w:val="28"/>
        </w:rPr>
        <w:t>2. Tarifas Directas de Proveedores Oficiales</w:t>
      </w:r>
    </w:p>
    <w:p>
      <w:pPr>
        <w:spacing w:before="0" w:after="120" w:line="276" w:lineRule="auto"/>
      </w:pPr>
      <w:r>
        <w:rPr>
          <w:rFonts w:ascii="Calibri" w:hAnsi="Calibri"/>
          <w:color w:val="222222"/>
          <w:sz w:val="22"/>
        </w:rPr>
        <w:t>Los cálculos presentados en este documento se sustentan estrictamente en las tarifas de facturación publicadas en los portales oficiales de Google Cloud (Gemini API) y DeepSeek Official API:</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120" w:type="dxa"/>
              <w:bottom w:w="120" w:type="dxa"/>
              <w:left w:w="140" w:type="dxa"/>
              <w:right w:w="140" w:type="dxa"/>
            </w:tcMar>
          </w:tcPr>
          <w:p>
            <w:pPr>
              <w:jc w:val="center"/>
            </w:pPr>
            <w:r>
              <w:rPr>
                <w:rFonts w:ascii="Arial" w:hAnsi="Arial"/>
                <w:b/>
                <w:color w:val="FFFFFF"/>
                <w:sz w:val="19"/>
              </w:rPr>
              <w:t>Proveedor Oficial</w:t>
            </w:r>
          </w:p>
        </w:tc>
        <w:tc>
          <w:tcPr>
            <w:tcW w:type="dxa" w:w="2340"/>
            <w:shd w:fill="0F2A4A"/>
            <w:tcMar>
              <w:top w:w="120" w:type="dxa"/>
              <w:bottom w:w="120" w:type="dxa"/>
              <w:left w:w="140" w:type="dxa"/>
              <w:right w:w="140" w:type="dxa"/>
            </w:tcMar>
          </w:tcPr>
          <w:p>
            <w:pPr>
              <w:jc w:val="center"/>
            </w:pPr>
            <w:r>
              <w:rPr>
                <w:rFonts w:ascii="Arial" w:hAnsi="Arial"/>
                <w:b/>
                <w:color w:val="FFFFFF"/>
                <w:sz w:val="19"/>
              </w:rPr>
              <w:t>Modelo Asignado</w:t>
            </w:r>
          </w:p>
        </w:tc>
        <w:tc>
          <w:tcPr>
            <w:tcW w:type="dxa" w:w="2340"/>
            <w:shd w:fill="0F2A4A"/>
            <w:tcMar>
              <w:top w:w="120" w:type="dxa"/>
              <w:bottom w:w="120" w:type="dxa"/>
              <w:left w:w="140" w:type="dxa"/>
              <w:right w:w="140" w:type="dxa"/>
            </w:tcMar>
          </w:tcPr>
          <w:p>
            <w:pPr>
              <w:jc w:val="center"/>
            </w:pPr>
            <w:r>
              <w:rPr>
                <w:rFonts w:ascii="Arial" w:hAnsi="Arial"/>
                <w:b/>
                <w:color w:val="FFFFFF"/>
                <w:sz w:val="19"/>
              </w:rPr>
              <w:t>Tarifa Token Entrada (Input) / 1M</w:t>
            </w:r>
          </w:p>
        </w:tc>
        <w:tc>
          <w:tcPr>
            <w:tcW w:type="dxa" w:w="2340"/>
            <w:shd w:fill="0F2A4A"/>
            <w:tcMar>
              <w:top w:w="120" w:type="dxa"/>
              <w:bottom w:w="120" w:type="dxa"/>
              <w:left w:w="140" w:type="dxa"/>
              <w:right w:w="140" w:type="dxa"/>
            </w:tcMar>
          </w:tcPr>
          <w:p>
            <w:pPr>
              <w:jc w:val="center"/>
            </w:pPr>
            <w:r>
              <w:rPr>
                <w:rFonts w:ascii="Arial" w:hAnsi="Arial"/>
                <w:b/>
                <w:color w:val="FFFFFF"/>
                <w:sz w:val="19"/>
              </w:rPr>
              <w:t>Tarifa Token Salida (Output) / 1M</w:t>
            </w:r>
          </w:p>
        </w:tc>
      </w:tr>
      <w:tr>
        <w:tc>
          <w:tcPr>
            <w:tcW w:type="dxa" w:w="2340"/>
            <w:shd w:fill="F7FAFC"/>
            <w:tcMar>
              <w:top w:w="100" w:type="dxa"/>
              <w:bottom w:w="100" w:type="dxa"/>
              <w:left w:w="140" w:type="dxa"/>
              <w:right w:w="140" w:type="dxa"/>
            </w:tcMar>
          </w:tcPr>
          <w:p>
            <w:pPr>
              <w:jc w:val="left"/>
            </w:pPr>
            <w:r>
              <w:rPr>
                <w:rFonts w:ascii="Calibri" w:hAnsi="Calibri"/>
                <w:b/>
                <w:color w:val="222222"/>
                <w:sz w:val="19"/>
              </w:rPr>
              <w:t>Google Cloud (Gemini API)</w:t>
            </w:r>
          </w:p>
        </w:tc>
        <w:tc>
          <w:tcPr>
            <w:tcW w:type="dxa" w:w="2340"/>
            <w:shd w:fill="F7FAFC"/>
            <w:tcMar>
              <w:top w:w="100" w:type="dxa"/>
              <w:bottom w:w="100" w:type="dxa"/>
              <w:left w:w="140" w:type="dxa"/>
              <w:right w:w="140" w:type="dxa"/>
            </w:tcMar>
          </w:tcPr>
          <w:p>
            <w:pPr>
              <w:jc w:val="center"/>
            </w:pPr>
            <w:r>
              <w:rPr>
                <w:rFonts w:ascii="Calibri" w:hAnsi="Calibri"/>
                <w:color w:val="222222"/>
                <w:sz w:val="19"/>
              </w:rPr>
              <w:t>Gemini 2.5 Flash</w:t>
            </w:r>
          </w:p>
        </w:tc>
        <w:tc>
          <w:tcPr>
            <w:tcW w:type="dxa" w:w="2340"/>
            <w:shd w:fill="F7FAFC"/>
            <w:tcMar>
              <w:top w:w="100" w:type="dxa"/>
              <w:bottom w:w="100" w:type="dxa"/>
              <w:left w:w="140" w:type="dxa"/>
              <w:right w:w="140" w:type="dxa"/>
            </w:tcMar>
          </w:tcPr>
          <w:p>
            <w:pPr>
              <w:jc w:val="center"/>
            </w:pPr>
            <w:r>
              <w:rPr>
                <w:rFonts w:ascii="Calibri" w:hAnsi="Calibri"/>
                <w:color w:val="222222"/>
                <w:sz w:val="19"/>
              </w:rPr>
              <w:t>$0.075 USD</w:t>
            </w:r>
          </w:p>
        </w:tc>
        <w:tc>
          <w:tcPr>
            <w:tcW w:type="dxa" w:w="2340"/>
            <w:shd w:fill="F7FAFC"/>
            <w:tcMar>
              <w:top w:w="100" w:type="dxa"/>
              <w:bottom w:w="100" w:type="dxa"/>
              <w:left w:w="140" w:type="dxa"/>
              <w:right w:w="140" w:type="dxa"/>
            </w:tcMar>
          </w:tcPr>
          <w:p>
            <w:pPr>
              <w:jc w:val="center"/>
            </w:pPr>
            <w:r>
              <w:rPr>
                <w:rFonts w:ascii="Calibri" w:hAnsi="Calibri"/>
                <w:color w:val="222222"/>
                <w:sz w:val="19"/>
              </w:rPr>
              <w:t>$0.300 USD</w:t>
            </w:r>
          </w:p>
        </w:tc>
      </w:tr>
      <w:tr>
        <w:tc>
          <w:tcPr>
            <w:tcW w:type="dxa" w:w="2340"/>
            <w:shd w:fill="FFFFFF"/>
            <w:tcMar>
              <w:top w:w="100" w:type="dxa"/>
              <w:bottom w:w="100" w:type="dxa"/>
              <w:left w:w="140" w:type="dxa"/>
              <w:right w:w="140" w:type="dxa"/>
            </w:tcMar>
          </w:tcPr>
          <w:p>
            <w:pPr>
              <w:jc w:val="left"/>
            </w:pPr>
            <w:r>
              <w:rPr>
                <w:rFonts w:ascii="Calibri" w:hAnsi="Calibri"/>
                <w:b/>
                <w:color w:val="222222"/>
                <w:sz w:val="19"/>
              </w:rPr>
              <w:t>DeepSeek Official API</w:t>
            </w:r>
          </w:p>
        </w:tc>
        <w:tc>
          <w:tcPr>
            <w:tcW w:type="dxa" w:w="2340"/>
            <w:shd w:fill="FFFFFF"/>
            <w:tcMar>
              <w:top w:w="100" w:type="dxa"/>
              <w:bottom w:w="100" w:type="dxa"/>
              <w:left w:w="140" w:type="dxa"/>
              <w:right w:w="140" w:type="dxa"/>
            </w:tcMar>
          </w:tcPr>
          <w:p>
            <w:pPr>
              <w:jc w:val="center"/>
            </w:pPr>
            <w:r>
              <w:rPr>
                <w:rFonts w:ascii="Calibri" w:hAnsi="Calibri"/>
                <w:color w:val="222222"/>
                <w:sz w:val="19"/>
              </w:rPr>
              <w:t>DeepSeek-V3 / Flash</w:t>
            </w:r>
          </w:p>
        </w:tc>
        <w:tc>
          <w:tcPr>
            <w:tcW w:type="dxa" w:w="2340"/>
            <w:shd w:fill="FFFFFF"/>
            <w:tcMar>
              <w:top w:w="100" w:type="dxa"/>
              <w:bottom w:w="100" w:type="dxa"/>
              <w:left w:w="140" w:type="dxa"/>
              <w:right w:w="140" w:type="dxa"/>
            </w:tcMar>
          </w:tcPr>
          <w:p>
            <w:pPr>
              <w:jc w:val="center"/>
            </w:pPr>
            <w:r>
              <w:rPr>
                <w:rFonts w:ascii="Calibri" w:hAnsi="Calibri"/>
                <w:color w:val="222222"/>
                <w:sz w:val="19"/>
              </w:rPr>
              <w:t>$0.140 USD</w:t>
            </w:r>
          </w:p>
        </w:tc>
        <w:tc>
          <w:tcPr>
            <w:tcW w:type="dxa" w:w="2340"/>
            <w:shd w:fill="FFFFFF"/>
            <w:tcMar>
              <w:top w:w="100" w:type="dxa"/>
              <w:bottom w:w="100" w:type="dxa"/>
              <w:left w:w="140" w:type="dxa"/>
              <w:right w:w="140" w:type="dxa"/>
            </w:tcMar>
          </w:tcPr>
          <w:p>
            <w:pPr>
              <w:jc w:val="center"/>
            </w:pPr>
            <w:r>
              <w:rPr>
                <w:rFonts w:ascii="Calibri" w:hAnsi="Calibri"/>
                <w:color w:val="222222"/>
                <w:sz w:val="19"/>
              </w:rPr>
              <w:t>$0.280 USD</w:t>
            </w:r>
          </w:p>
        </w:tc>
      </w:tr>
    </w:tbl>
    <w:p>
      <w:pPr>
        <w:spacing w:after="160"/>
      </w:pPr>
    </w:p>
    <w:p>
      <w:pPr>
        <w:keepNext/>
        <w:spacing w:before="320" w:after="120"/>
      </w:pPr>
      <w:r>
        <w:rPr>
          <w:rFonts w:ascii="Arial" w:hAnsi="Arial"/>
          <w:b/>
          <w:color w:val="0F2A4A"/>
          <w:sz w:val="28"/>
        </w:rPr>
        <w:t>3. Estructura de Costos por Pilar Operativo del Sistema</w:t>
      </w:r>
    </w:p>
    <w:p>
      <w:pPr>
        <w:spacing w:before="0" w:after="120" w:line="276" w:lineRule="auto"/>
      </w:pPr>
      <w:r>
        <w:rPr>
          <w:rFonts w:ascii="Calibri" w:hAnsi="Calibri"/>
          <w:color w:val="222222"/>
          <w:sz w:val="22"/>
        </w:rPr>
        <w:t>El sistema está compuesto por 3 módulos de trabajo diferenciados según el servicio educativo prestado:</w:t>
      </w:r>
    </w:p>
    <w:p>
      <w:pPr>
        <w:keepNext/>
        <w:spacing w:before="240" w:after="80"/>
      </w:pPr>
      <w:r>
        <w:rPr>
          <w:rFonts w:ascii="Arial" w:hAnsi="Arial"/>
          <w:b/>
          <w:color w:val="1B6B93"/>
          <w:sz w:val="23"/>
        </w:rPr>
        <w:t>Pilar 1: El Validador (Concordancia Curricular)</w:t>
      </w:r>
    </w:p>
    <w:p>
      <w:pPr>
        <w:spacing w:before="0" w:after="120" w:line="276" w:lineRule="auto"/>
      </w:pPr>
      <w:r>
        <w:rPr>
          <w:rFonts w:ascii="Calibri" w:hAnsi="Calibri"/>
          <w:color w:val="222222"/>
          <w:sz w:val="22"/>
        </w:rPr>
        <w:t>Analiza los sílabos semanales frente a las guías didácticas y dictamina el cumplimiento de los aprendizajes institucionales. Procesado con DeepSeek Official API.</w:t>
      </w:r>
    </w:p>
    <w:p>
      <w:pPr>
        <w:pStyle w:val="ListBullet"/>
        <w:spacing w:before="0" w:after="60" w:line="276" w:lineRule="auto"/>
      </w:pPr>
      <w:r>
        <w:rPr>
          <w:rFonts w:ascii="Calibri" w:hAnsi="Calibri"/>
          <w:color w:val="222222"/>
          <w:sz w:val="22"/>
        </w:rPr>
        <w:t>Costo Unitario Base por Validación: $0.000882 USD (menos de 1 décimo de centavo).</w:t>
      </w:r>
    </w:p>
    <w:p>
      <w:pPr>
        <w:keepNext/>
        <w:spacing w:before="240" w:after="80"/>
      </w:pPr>
      <w:r>
        <w:rPr>
          <w:rFonts w:ascii="Arial" w:hAnsi="Arial"/>
          <w:b/>
          <w:color w:val="1B6B93"/>
          <w:sz w:val="23"/>
        </w:rPr>
        <w:t>Pilar 2: El Generador (Digitalización de PDFs y Páginas Escaneadas)</w:t>
      </w:r>
    </w:p>
    <w:p>
      <w:pPr>
        <w:spacing w:before="0" w:after="120" w:line="276" w:lineRule="auto"/>
      </w:pPr>
      <w:r>
        <w:rPr>
          <w:rFonts w:ascii="Calibri" w:hAnsi="Calibri"/>
          <w:color w:val="222222"/>
          <w:sz w:val="22"/>
        </w:rPr>
        <w:t>Procesa folletos, libros y documentos en PDF (incluyendo escaneos de pura imagen sin texto reconocible) y los convierte a formato estructurado interactivo. Procesado con Google Gemini API.</w:t>
      </w:r>
    </w:p>
    <w:p>
      <w:pPr>
        <w:pStyle w:val="ListBullet"/>
        <w:spacing w:before="0" w:after="60" w:line="276" w:lineRule="auto"/>
      </w:pPr>
      <w:r>
        <w:rPr>
          <w:rFonts w:ascii="Calibri" w:hAnsi="Calibri"/>
          <w:color w:val="222222"/>
          <w:sz w:val="22"/>
        </w:rPr>
        <w:t>Costo Unitario Base por Página Escaneada OCR a HTML: $0.000615 USD.</w:t>
      </w:r>
    </w:p>
    <w:p>
      <w:pPr>
        <w:keepNext/>
        <w:spacing w:before="240" w:after="80"/>
      </w:pPr>
      <w:r>
        <w:rPr>
          <w:rFonts w:ascii="Arial" w:hAnsi="Arial"/>
          <w:b/>
          <w:color w:val="1B6B93"/>
          <w:sz w:val="23"/>
        </w:rPr>
        <w:t>Pilar 3: El Módulo de Lúdicas (Juegos y Actividades Didácticas)</w:t>
      </w:r>
    </w:p>
    <w:p>
      <w:pPr>
        <w:spacing w:before="0" w:after="120" w:line="276" w:lineRule="auto"/>
      </w:pPr>
      <w:r>
        <w:rPr>
          <w:rFonts w:ascii="Calibri" w:hAnsi="Calibri"/>
          <w:color w:val="222222"/>
          <w:sz w:val="22"/>
        </w:rPr>
        <w:t>Genera la suite de 7 recursos pedagógicos lúdicos (crucigramas, sopas de letras, tarjetas 3D, rompecabezas de lógica, cuestionarios, diagramas y guías de estudio). Procesado con DeepSeek Official API.</w:t>
      </w:r>
    </w:p>
    <w:p>
      <w:pPr>
        <w:pStyle w:val="ListBullet"/>
        <w:spacing w:before="0" w:after="60" w:line="276" w:lineRule="auto"/>
      </w:pPr>
      <w:r>
        <w:rPr>
          <w:rFonts w:ascii="Calibri" w:hAnsi="Calibri"/>
          <w:color w:val="222222"/>
          <w:sz w:val="22"/>
        </w:rPr>
        <w:t>Costo Unitario Base por Recurso Lúdico Generado: $0.000518 USD.</w:t>
      </w:r>
    </w:p>
    <w:p>
      <w:pPr>
        <w:keepNext/>
        <w:spacing w:before="320" w:after="120"/>
      </w:pPr>
      <w:r>
        <w:rPr>
          <w:rFonts w:ascii="Arial" w:hAnsi="Arial"/>
          <w:b/>
          <w:color w:val="0F2A4A"/>
          <w:sz w:val="28"/>
        </w:rPr>
        <w:t>4. Modelo de Consumo Mensual Base (90 Docentes)</w:t>
      </w:r>
    </w:p>
    <w:p>
      <w:pPr>
        <w:spacing w:before="0" w:after="120" w:line="276" w:lineRule="auto"/>
      </w:pPr>
      <w:r>
        <w:rPr>
          <w:rFonts w:ascii="Calibri" w:hAnsi="Calibri"/>
          <w:color w:val="222222"/>
          <w:sz w:val="22"/>
        </w:rPr>
        <w:t>Tomando como referencia el perfil de demanda alta de la institución (90 docentes activos con un promedio mensual de 100 páginas escaneadas, 30 actividades lúdicas y 5 validaciones curriculares por docente):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A4A"/>
            <w:tcMar>
              <w:top w:w="120" w:type="dxa"/>
              <w:bottom w:w="120" w:type="dxa"/>
              <w:left w:w="120" w:type="dxa"/>
              <w:right w:w="120" w:type="dxa"/>
            </w:tcMar>
          </w:tcPr>
          <w:p>
            <w:pPr>
              <w:jc w:val="center"/>
            </w:pPr>
            <w:r>
              <w:rPr>
                <w:rFonts w:ascii="Arial" w:hAnsi="Arial"/>
                <w:b/>
                <w:color w:val="FFFFFF"/>
                <w:sz w:val="18"/>
              </w:rPr>
              <w:t>Pilar Operativo</w:t>
            </w:r>
          </w:p>
        </w:tc>
        <w:tc>
          <w:tcPr>
            <w:tcW w:type="dxa" w:w="1872"/>
            <w:shd w:fill="0F2A4A"/>
            <w:tcMar>
              <w:top w:w="120" w:type="dxa"/>
              <w:bottom w:w="120" w:type="dxa"/>
              <w:left w:w="120" w:type="dxa"/>
              <w:right w:w="120" w:type="dxa"/>
            </w:tcMar>
          </w:tcPr>
          <w:p>
            <w:pPr>
              <w:jc w:val="center"/>
            </w:pPr>
            <w:r>
              <w:rPr>
                <w:rFonts w:ascii="Arial" w:hAnsi="Arial"/>
                <w:b/>
                <w:color w:val="FFFFFF"/>
                <w:sz w:val="18"/>
              </w:rPr>
              <w:t>Proveedor Oficial</w:t>
            </w:r>
          </w:p>
        </w:tc>
        <w:tc>
          <w:tcPr>
            <w:tcW w:type="dxa" w:w="1872"/>
            <w:shd w:fill="0F2A4A"/>
            <w:tcMar>
              <w:top w:w="120" w:type="dxa"/>
              <w:bottom w:w="120" w:type="dxa"/>
              <w:left w:w="120" w:type="dxa"/>
              <w:right w:w="120" w:type="dxa"/>
            </w:tcMar>
          </w:tcPr>
          <w:p>
            <w:pPr>
              <w:jc w:val="center"/>
            </w:pPr>
            <w:r>
              <w:rPr>
                <w:rFonts w:ascii="Arial" w:hAnsi="Arial"/>
                <w:b/>
                <w:color w:val="FFFFFF"/>
                <w:sz w:val="18"/>
              </w:rPr>
              <w:t>Volumen Mensual (90 Docentes)</w:t>
            </w:r>
          </w:p>
        </w:tc>
        <w:tc>
          <w:tcPr>
            <w:tcW w:type="dxa" w:w="1872"/>
            <w:shd w:fill="0F2A4A"/>
            <w:tcMar>
              <w:top w:w="120" w:type="dxa"/>
              <w:bottom w:w="120" w:type="dxa"/>
              <w:left w:w="120" w:type="dxa"/>
              <w:right w:w="120" w:type="dxa"/>
            </w:tcMar>
          </w:tcPr>
          <w:p>
            <w:pPr>
              <w:jc w:val="center"/>
            </w:pPr>
            <w:r>
              <w:rPr>
                <w:rFonts w:ascii="Arial" w:hAnsi="Arial"/>
                <w:b/>
                <w:color w:val="FFFFFF"/>
                <w:sz w:val="18"/>
              </w:rPr>
              <w:t>Costo Unitario</w:t>
            </w:r>
          </w:p>
        </w:tc>
        <w:tc>
          <w:tcPr>
            <w:tcW w:type="dxa" w:w="1872"/>
            <w:shd w:fill="0F2A4A"/>
            <w:tcMar>
              <w:top w:w="120" w:type="dxa"/>
              <w:bottom w:w="120" w:type="dxa"/>
              <w:left w:w="120" w:type="dxa"/>
              <w:right w:w="120" w:type="dxa"/>
            </w:tcMar>
          </w:tcPr>
          <w:p>
            <w:pPr>
              <w:jc w:val="center"/>
            </w:pPr>
            <w:r>
              <w:rPr>
                <w:rFonts w:ascii="Arial" w:hAnsi="Arial"/>
                <w:b/>
                <w:color w:val="FFFFFF"/>
                <w:sz w:val="18"/>
              </w:rPr>
              <w:t>Costo Mensual Base</w:t>
            </w:r>
          </w:p>
        </w:tc>
      </w:tr>
      <w:tr>
        <w:tc>
          <w:tcPr>
            <w:tcW w:type="dxa" w:w="1872"/>
            <w:shd w:fill="F7FAFC"/>
            <w:tcMar>
              <w:top w:w="90" w:type="dxa"/>
              <w:bottom w:w="90" w:type="dxa"/>
              <w:left w:w="100" w:type="dxa"/>
              <w:right w:w="100" w:type="dxa"/>
            </w:tcMar>
          </w:tcPr>
          <w:p>
            <w:pPr>
              <w:jc w:val="left"/>
            </w:pPr>
            <w:r>
              <w:rPr>
                <w:rFonts w:ascii="Calibri" w:hAnsi="Calibri"/>
                <w:color w:val="222222"/>
                <w:sz w:val="18"/>
              </w:rPr>
              <w:t>1. El Validador</w:t>
            </w:r>
          </w:p>
        </w:tc>
        <w:tc>
          <w:tcPr>
            <w:tcW w:type="dxa" w:w="1872"/>
            <w:shd w:fill="F7FAFC"/>
            <w:tcMar>
              <w:top w:w="90" w:type="dxa"/>
              <w:bottom w:w="90" w:type="dxa"/>
              <w:left w:w="100" w:type="dxa"/>
              <w:right w:w="100" w:type="dxa"/>
            </w:tcMar>
          </w:tcPr>
          <w:p>
            <w:pPr>
              <w:jc w:val="left"/>
            </w:pPr>
            <w:r>
              <w:rPr>
                <w:rFonts w:ascii="Calibri" w:hAnsi="Calibri"/>
                <w:color w:val="222222"/>
                <w:sz w:val="18"/>
              </w:rPr>
              <w:t>DeepSeek Official</w:t>
            </w:r>
          </w:p>
        </w:tc>
        <w:tc>
          <w:tcPr>
            <w:tcW w:type="dxa" w:w="1872"/>
            <w:shd w:fill="F7FAFC"/>
            <w:tcMar>
              <w:top w:w="90" w:type="dxa"/>
              <w:bottom w:w="90" w:type="dxa"/>
              <w:left w:w="100" w:type="dxa"/>
              <w:right w:w="100" w:type="dxa"/>
            </w:tcMar>
          </w:tcPr>
          <w:p>
            <w:pPr>
              <w:jc w:val="center"/>
            </w:pPr>
            <w:r>
              <w:rPr>
                <w:rFonts w:ascii="Calibri" w:hAnsi="Calibri"/>
                <w:color w:val="222222"/>
                <w:sz w:val="18"/>
              </w:rPr>
              <w:t>450 validaciones / mes</w:t>
            </w:r>
          </w:p>
        </w:tc>
        <w:tc>
          <w:tcPr>
            <w:tcW w:type="dxa" w:w="1872"/>
            <w:shd w:fill="F7FAFC"/>
            <w:tcMar>
              <w:top w:w="90" w:type="dxa"/>
              <w:bottom w:w="90" w:type="dxa"/>
              <w:left w:w="100" w:type="dxa"/>
              <w:right w:w="100" w:type="dxa"/>
            </w:tcMar>
          </w:tcPr>
          <w:p>
            <w:pPr>
              <w:jc w:val="center"/>
            </w:pPr>
            <w:r>
              <w:rPr>
                <w:rFonts w:ascii="Calibri" w:hAnsi="Calibri"/>
                <w:color w:val="222222"/>
                <w:sz w:val="18"/>
              </w:rPr>
              <w:t>$0.000882 USD</w:t>
            </w:r>
          </w:p>
        </w:tc>
        <w:tc>
          <w:tcPr>
            <w:tcW w:type="dxa" w:w="1872"/>
            <w:shd w:fill="F7FAFC"/>
            <w:tcMar>
              <w:top w:w="90" w:type="dxa"/>
              <w:bottom w:w="90" w:type="dxa"/>
              <w:left w:w="100" w:type="dxa"/>
              <w:right w:w="100" w:type="dxa"/>
            </w:tcMar>
          </w:tcPr>
          <w:p>
            <w:pPr>
              <w:jc w:val="center"/>
            </w:pPr>
            <w:r>
              <w:rPr>
                <w:rFonts w:ascii="Calibri" w:hAnsi="Calibri"/>
                <w:b/>
                <w:color w:val="0F2A4A"/>
                <w:sz w:val="18"/>
              </w:rPr>
              <w:t>$0.397 USD</w:t>
            </w:r>
          </w:p>
        </w:tc>
      </w:tr>
      <w:tr>
        <w:tc>
          <w:tcPr>
            <w:tcW w:type="dxa" w:w="1872"/>
            <w:shd w:fill="FFFFFF"/>
            <w:tcMar>
              <w:top w:w="90" w:type="dxa"/>
              <w:bottom w:w="90" w:type="dxa"/>
              <w:left w:w="100" w:type="dxa"/>
              <w:right w:w="100" w:type="dxa"/>
            </w:tcMar>
          </w:tcPr>
          <w:p>
            <w:pPr>
              <w:jc w:val="left"/>
            </w:pPr>
            <w:r>
              <w:rPr>
                <w:rFonts w:ascii="Calibri" w:hAnsi="Calibri"/>
                <w:color w:val="222222"/>
                <w:sz w:val="18"/>
              </w:rPr>
              <w:t>2. El Generador (PDF Escaneados)</w:t>
            </w:r>
          </w:p>
        </w:tc>
        <w:tc>
          <w:tcPr>
            <w:tcW w:type="dxa" w:w="1872"/>
            <w:shd w:fill="FFFFFF"/>
            <w:tcMar>
              <w:top w:w="90" w:type="dxa"/>
              <w:bottom w:w="90" w:type="dxa"/>
              <w:left w:w="100" w:type="dxa"/>
              <w:right w:w="100" w:type="dxa"/>
            </w:tcMar>
          </w:tcPr>
          <w:p>
            <w:pPr>
              <w:jc w:val="left"/>
            </w:pPr>
            <w:r>
              <w:rPr>
                <w:rFonts w:ascii="Calibri" w:hAnsi="Calibri"/>
                <w:color w:val="222222"/>
                <w:sz w:val="18"/>
              </w:rPr>
              <w:t>Google Gemini API</w:t>
            </w:r>
          </w:p>
        </w:tc>
        <w:tc>
          <w:tcPr>
            <w:tcW w:type="dxa" w:w="1872"/>
            <w:shd w:fill="FFFFFF"/>
            <w:tcMar>
              <w:top w:w="90" w:type="dxa"/>
              <w:bottom w:w="90" w:type="dxa"/>
              <w:left w:w="100" w:type="dxa"/>
              <w:right w:w="100" w:type="dxa"/>
            </w:tcMar>
          </w:tcPr>
          <w:p>
            <w:pPr>
              <w:jc w:val="center"/>
            </w:pPr>
            <w:r>
              <w:rPr>
                <w:rFonts w:ascii="Calibri" w:hAnsi="Calibri"/>
                <w:color w:val="222222"/>
                <w:sz w:val="18"/>
              </w:rPr>
              <w:t>9,000 páginas / mes</w:t>
            </w:r>
          </w:p>
        </w:tc>
        <w:tc>
          <w:tcPr>
            <w:tcW w:type="dxa" w:w="1872"/>
            <w:shd w:fill="FFFFFF"/>
            <w:tcMar>
              <w:top w:w="90" w:type="dxa"/>
              <w:bottom w:w="90" w:type="dxa"/>
              <w:left w:w="100" w:type="dxa"/>
              <w:right w:w="100" w:type="dxa"/>
            </w:tcMar>
          </w:tcPr>
          <w:p>
            <w:pPr>
              <w:jc w:val="center"/>
            </w:pPr>
            <w:r>
              <w:rPr>
                <w:rFonts w:ascii="Calibri" w:hAnsi="Calibri"/>
                <w:color w:val="222222"/>
                <w:sz w:val="18"/>
              </w:rPr>
              <w:t>$0.000615 USD</w:t>
            </w:r>
          </w:p>
        </w:tc>
        <w:tc>
          <w:tcPr>
            <w:tcW w:type="dxa" w:w="1872"/>
            <w:shd w:fill="FFFFFF"/>
            <w:tcMar>
              <w:top w:w="90" w:type="dxa"/>
              <w:bottom w:w="90" w:type="dxa"/>
              <w:left w:w="100" w:type="dxa"/>
              <w:right w:w="100" w:type="dxa"/>
            </w:tcMar>
          </w:tcPr>
          <w:p>
            <w:pPr>
              <w:jc w:val="center"/>
            </w:pPr>
            <w:r>
              <w:rPr>
                <w:rFonts w:ascii="Calibri" w:hAnsi="Calibri"/>
                <w:b/>
                <w:color w:val="0F2A4A"/>
                <w:sz w:val="18"/>
              </w:rPr>
              <w:t>$5.535 USD</w:t>
            </w:r>
          </w:p>
        </w:tc>
      </w:tr>
      <w:tr>
        <w:tc>
          <w:tcPr>
            <w:tcW w:type="dxa" w:w="1872"/>
            <w:shd w:fill="F7FAFC"/>
            <w:tcMar>
              <w:top w:w="90" w:type="dxa"/>
              <w:bottom w:w="90" w:type="dxa"/>
              <w:left w:w="100" w:type="dxa"/>
              <w:right w:w="100" w:type="dxa"/>
            </w:tcMar>
          </w:tcPr>
          <w:p>
            <w:pPr>
              <w:jc w:val="left"/>
            </w:pPr>
            <w:r>
              <w:rPr>
                <w:rFonts w:ascii="Calibri" w:hAnsi="Calibri"/>
                <w:color w:val="222222"/>
                <w:sz w:val="18"/>
              </w:rPr>
              <w:t>3. El de Lúdicas (MCP)</w:t>
            </w:r>
          </w:p>
        </w:tc>
        <w:tc>
          <w:tcPr>
            <w:tcW w:type="dxa" w:w="1872"/>
            <w:shd w:fill="F7FAFC"/>
            <w:tcMar>
              <w:top w:w="90" w:type="dxa"/>
              <w:bottom w:w="90" w:type="dxa"/>
              <w:left w:w="100" w:type="dxa"/>
              <w:right w:w="100" w:type="dxa"/>
            </w:tcMar>
          </w:tcPr>
          <w:p>
            <w:pPr>
              <w:jc w:val="left"/>
            </w:pPr>
            <w:r>
              <w:rPr>
                <w:rFonts w:ascii="Calibri" w:hAnsi="Calibri"/>
                <w:color w:val="222222"/>
                <w:sz w:val="18"/>
              </w:rPr>
              <w:t>DeepSeek Official</w:t>
            </w:r>
          </w:p>
        </w:tc>
        <w:tc>
          <w:tcPr>
            <w:tcW w:type="dxa" w:w="1872"/>
            <w:shd w:fill="F7FAFC"/>
            <w:tcMar>
              <w:top w:w="90" w:type="dxa"/>
              <w:bottom w:w="90" w:type="dxa"/>
              <w:left w:w="100" w:type="dxa"/>
              <w:right w:w="100" w:type="dxa"/>
            </w:tcMar>
          </w:tcPr>
          <w:p>
            <w:pPr>
              <w:jc w:val="center"/>
            </w:pPr>
            <w:r>
              <w:rPr>
                <w:rFonts w:ascii="Calibri" w:hAnsi="Calibri"/>
                <w:color w:val="222222"/>
                <w:sz w:val="18"/>
              </w:rPr>
              <w:t>2,700 recursos / mes</w:t>
            </w:r>
          </w:p>
        </w:tc>
        <w:tc>
          <w:tcPr>
            <w:tcW w:type="dxa" w:w="1872"/>
            <w:shd w:fill="F7FAFC"/>
            <w:tcMar>
              <w:top w:w="90" w:type="dxa"/>
              <w:bottom w:w="90" w:type="dxa"/>
              <w:left w:w="100" w:type="dxa"/>
              <w:right w:w="100" w:type="dxa"/>
            </w:tcMar>
          </w:tcPr>
          <w:p>
            <w:pPr>
              <w:jc w:val="center"/>
            </w:pPr>
            <w:r>
              <w:rPr>
                <w:rFonts w:ascii="Calibri" w:hAnsi="Calibri"/>
                <w:color w:val="222222"/>
                <w:sz w:val="18"/>
              </w:rPr>
              <w:t>$0.000518 USD</w:t>
            </w:r>
          </w:p>
        </w:tc>
        <w:tc>
          <w:tcPr>
            <w:tcW w:type="dxa" w:w="1872"/>
            <w:shd w:fill="F7FAFC"/>
            <w:tcMar>
              <w:top w:w="90" w:type="dxa"/>
              <w:bottom w:w="90" w:type="dxa"/>
              <w:left w:w="100" w:type="dxa"/>
              <w:right w:w="100" w:type="dxa"/>
            </w:tcMar>
          </w:tcPr>
          <w:p>
            <w:pPr>
              <w:jc w:val="center"/>
            </w:pPr>
            <w:r>
              <w:rPr>
                <w:rFonts w:ascii="Calibri" w:hAnsi="Calibri"/>
                <w:b/>
                <w:color w:val="0F2A4A"/>
                <w:sz w:val="18"/>
              </w:rPr>
              <w:t>$1.399 USD</w:t>
            </w:r>
          </w:p>
        </w:tc>
      </w:tr>
      <w:tr>
        <w:tc>
          <w:tcPr>
            <w:tcW w:type="dxa" w:w="1872"/>
            <w:shd w:fill="E8F4F8"/>
            <w:tcMar>
              <w:top w:w="90" w:type="dxa"/>
              <w:bottom w:w="90" w:type="dxa"/>
              <w:left w:w="100" w:type="dxa"/>
              <w:right w:w="100" w:type="dxa"/>
            </w:tcMar>
          </w:tcPr>
          <w:p>
            <w:pPr>
              <w:jc w:val="left"/>
            </w:pPr>
            <w:r>
              <w:rPr>
                <w:rFonts w:ascii="Calibri" w:hAnsi="Calibri"/>
                <w:b/>
                <w:color w:val="0F2A4A"/>
                <w:sz w:val="18"/>
              </w:rPr>
              <w:t>TOTAL OPERACIONAL NETO BASE</w:t>
            </w:r>
          </w:p>
        </w:tc>
        <w:tc>
          <w:tcPr>
            <w:tcW w:type="dxa" w:w="1872"/>
            <w:shd w:fill="E8F4F8"/>
            <w:tcMar>
              <w:top w:w="90" w:type="dxa"/>
              <w:bottom w:w="90" w:type="dxa"/>
              <w:left w:w="100" w:type="dxa"/>
              <w:right w:w="100" w:type="dxa"/>
            </w:tcMar>
          </w:tcPr>
          <w:p>
            <w:pPr>
              <w:jc w:val="left"/>
            </w:pPr>
            <w:r>
              <w:rPr>
                <w:rFonts w:ascii="Calibri" w:hAnsi="Calibri"/>
                <w:b/>
                <w:color w:val="0F2A4A"/>
                <w:sz w:val="18"/>
              </w:rPr>
              <w:t>Sistema Híbrido</w:t>
            </w:r>
          </w:p>
        </w:tc>
        <w:tc>
          <w:tcPr>
            <w:tcW w:type="dxa" w:w="1872"/>
            <w:shd w:fill="E8F4F8"/>
            <w:tcMar>
              <w:top w:w="90" w:type="dxa"/>
              <w:bottom w:w="90" w:type="dxa"/>
              <w:left w:w="100" w:type="dxa"/>
              <w:right w:w="100" w:type="dxa"/>
            </w:tcMar>
          </w:tcPr>
          <w:p>
            <w:pPr>
              <w:jc w:val="center"/>
            </w:pPr>
            <w:r>
              <w:rPr>
                <w:rFonts w:ascii="Calibri" w:hAnsi="Calibri"/>
                <w:b/>
                <w:color w:val="0F2A4A"/>
                <w:sz w:val="18"/>
              </w:rPr>
              <w:t>12,150 operaciones / mes</w:t>
            </w:r>
          </w:p>
        </w:tc>
        <w:tc>
          <w:tcPr>
            <w:tcW w:type="dxa" w:w="1872"/>
            <w:shd w:fill="E8F4F8"/>
            <w:tcMar>
              <w:top w:w="90" w:type="dxa"/>
              <w:bottom w:w="90" w:type="dxa"/>
              <w:left w:w="100" w:type="dxa"/>
              <w:right w:w="100" w:type="dxa"/>
            </w:tcMar>
          </w:tcPr>
          <w:p>
            <w:pPr>
              <w:jc w:val="center"/>
            </w:pPr>
            <w:r>
              <w:rPr>
                <w:rFonts w:ascii="Calibri" w:hAnsi="Calibri"/>
                <w:b/>
                <w:color w:val="0F2A4A"/>
                <w:sz w:val="18"/>
              </w:rPr>
              <w:t>-</w:t>
            </w:r>
          </w:p>
        </w:tc>
        <w:tc>
          <w:tcPr>
            <w:tcW w:type="dxa" w:w="1872"/>
            <w:shd w:fill="E8F4F8"/>
            <w:tcMar>
              <w:top w:w="90" w:type="dxa"/>
              <w:bottom w:w="90" w:type="dxa"/>
              <w:left w:w="100" w:type="dxa"/>
              <w:right w:w="100" w:type="dxa"/>
            </w:tcMar>
          </w:tcPr>
          <w:p>
            <w:pPr>
              <w:jc w:val="center"/>
            </w:pPr>
            <w:r>
              <w:rPr>
                <w:rFonts w:ascii="Calibri" w:hAnsi="Calibri"/>
                <w:b/>
                <w:color w:val="0F2A4A"/>
                <w:sz w:val="18"/>
              </w:rPr>
              <w:t>$7.331 USD / mes</w:t>
            </w:r>
          </w:p>
        </w:tc>
      </w:tr>
    </w:tbl>
    <w:p>
      <w:pPr>
        <w:spacing w:after="200"/>
      </w:pPr>
    </w:p>
    <w:p>
      <w:pPr>
        <w:keepNext/>
        <w:spacing w:before="320" w:after="120"/>
      </w:pPr>
      <w:r>
        <w:rPr>
          <w:rFonts w:ascii="Arial" w:hAnsi="Arial"/>
          <w:b/>
          <w:color w:val="0F2A4A"/>
          <w:sz w:val="28"/>
        </w:rPr>
        <w:t>5. Análisis de Riesgo y Reserva de Contingencia (+60%)</w:t>
      </w:r>
    </w:p>
    <w:p>
      <w:pPr>
        <w:spacing w:before="0" w:after="120" w:line="276" w:lineRule="auto"/>
      </w:pPr>
      <w:r>
        <w:rPr>
          <w:rFonts w:ascii="Calibri" w:hAnsi="Calibri"/>
          <w:color w:val="222222"/>
          <w:sz w:val="22"/>
        </w:rPr>
        <w:t>Para garantizar que la institución nunca experimente interrupciones por agotamiento de saldo en las cuentas de API, se establece un Margen de Reserva y Contingencia Financiera del +60% fundamentado en 3 factores de riesgo operativo:</w:t>
      </w:r>
    </w:p>
    <w:p>
      <w:pPr>
        <w:pStyle w:val="ListBullet"/>
        <w:spacing w:before="0" w:after="60" w:line="276" w:lineRule="auto"/>
      </w:pPr>
      <w:r>
        <w:rPr>
          <w:rFonts w:ascii="Calibri" w:hAnsi="Calibri"/>
          <w:b/>
          <w:color w:val="222222"/>
          <w:sz w:val="22"/>
        </w:rPr>
        <w:t>A. Picos de Demanda Quimestral (+30%):</w:t>
      </w:r>
      <w:r>
        <w:rPr>
          <w:rFonts w:ascii="Calibri" w:hAnsi="Calibri"/>
          <w:color w:val="222222"/>
          <w:sz w:val="22"/>
        </w:rPr>
        <w:t xml:space="preserve"> Períodos de cierres quimestrales y exámenes finales donde los docentes duplican la producción de materiales.</w:t>
      </w:r>
    </w:p>
    <w:p>
      <w:pPr>
        <w:pStyle w:val="ListBullet"/>
        <w:spacing w:before="0" w:after="60" w:line="276" w:lineRule="auto"/>
      </w:pPr>
      <w:r>
        <w:rPr>
          <w:rFonts w:ascii="Calibri" w:hAnsi="Calibri"/>
          <w:b/>
          <w:color w:val="222222"/>
          <w:sz w:val="22"/>
        </w:rPr>
        <w:t>B. Reintentos y Ajustes del Docente (+15%):</w:t>
      </w:r>
      <w:r>
        <w:rPr>
          <w:rFonts w:ascii="Calibri" w:hAnsi="Calibri"/>
          <w:color w:val="222222"/>
          <w:sz w:val="22"/>
        </w:rPr>
        <w:t xml:space="preserve"> Solicitudes de regeneración por parte del profesorado al ajustar parámetros didácticos.</w:t>
      </w:r>
    </w:p>
    <w:p>
      <w:pPr>
        <w:pStyle w:val="ListBullet"/>
        <w:spacing w:before="0" w:after="60" w:line="276" w:lineRule="auto"/>
      </w:pPr>
      <w:r>
        <w:rPr>
          <w:rFonts w:ascii="Calibri" w:hAnsi="Calibri"/>
          <w:b/>
          <w:color w:val="222222"/>
          <w:sz w:val="22"/>
        </w:rPr>
        <w:t>C. Variabilidad de Extensión en Contenidos (+15%):</w:t>
      </w:r>
      <w:r>
        <w:rPr>
          <w:rFonts w:ascii="Calibri" w:hAnsi="Calibri"/>
          <w:color w:val="222222"/>
          <w:sz w:val="22"/>
        </w:rPr>
        <w:t xml:space="preserve"> Transcripción de documentos escaneados con calidad compleja o longitud extendida.</w:t>
      </w:r>
    </w:p>
    <w:p>
      <w:pPr>
        <w:spacing w:before="0" w:after="160" w:line="276" w:lineRule="auto"/>
      </w:pPr>
      <w:r>
        <w:rPr>
          <w:rFonts w:ascii="Calibri" w:hAnsi="Calibri"/>
          <w:color w:val="222222"/>
          <w:sz w:val="22"/>
        </w:rPr>
        <w:t>La suma de la operación base ($7.33 USD) más el fondo de contingencia ($4.40 USD) constituye el monto definitivo sugerido para aprobación presupuestaria.</w:t>
      </w:r>
    </w:p>
    <w:p>
      <w:pPr>
        <w:keepNext/>
        <w:spacing w:before="320" w:after="120"/>
      </w:pPr>
      <w:r>
        <w:rPr>
          <w:rFonts w:ascii="Arial" w:hAnsi="Arial"/>
          <w:b/>
          <w:color w:val="0F2A4A"/>
          <w:sz w:val="28"/>
        </w:rPr>
        <w:t>6. Proyección Temporal para Asignación de Presupuesto Institucional</w:t>
      </w:r>
    </w:p>
    <w:p>
      <w:pPr>
        <w:spacing w:before="0" w:after="120" w:line="276" w:lineRule="auto"/>
      </w:pPr>
      <w:r>
        <w:rPr>
          <w:rFonts w:ascii="Calibri" w:hAnsi="Calibri"/>
          <w:color w:val="222222"/>
          <w:sz w:val="22"/>
        </w:rPr>
        <w:t>A continuación se presenta la tabla de asignación presupuestaria final recomendada para su aprobación por parte de la Dirección Financiera:</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120" w:type="dxa"/>
              <w:bottom w:w="120" w:type="dxa"/>
              <w:left w:w="140" w:type="dxa"/>
              <w:right w:w="140" w:type="dxa"/>
            </w:tcMar>
          </w:tcPr>
          <w:p>
            <w:pPr>
              <w:jc w:val="center"/>
            </w:pPr>
            <w:r>
              <w:rPr>
                <w:rFonts w:ascii="Arial" w:hAnsi="Arial"/>
                <w:b/>
                <w:color w:val="FFFFFF"/>
                <w:sz w:val="19"/>
              </w:rPr>
              <w:t>Período de Asignación</w:t>
            </w:r>
          </w:p>
        </w:tc>
        <w:tc>
          <w:tcPr>
            <w:tcW w:type="dxa" w:w="2340"/>
            <w:shd w:fill="0F2A4A"/>
            <w:tcMar>
              <w:top w:w="120" w:type="dxa"/>
              <w:bottom w:w="120" w:type="dxa"/>
              <w:left w:w="140" w:type="dxa"/>
              <w:right w:w="140" w:type="dxa"/>
            </w:tcMar>
          </w:tcPr>
          <w:p>
            <w:pPr>
              <w:jc w:val="center"/>
            </w:pPr>
            <w:r>
              <w:rPr>
                <w:rFonts w:ascii="Arial" w:hAnsi="Arial"/>
                <w:b/>
                <w:color w:val="FFFFFF"/>
                <w:sz w:val="19"/>
              </w:rPr>
              <w:t>Costo Operacional Base</w:t>
            </w:r>
          </w:p>
        </w:tc>
        <w:tc>
          <w:tcPr>
            <w:tcW w:type="dxa" w:w="2340"/>
            <w:shd w:fill="0F2A4A"/>
            <w:tcMar>
              <w:top w:w="120" w:type="dxa"/>
              <w:bottom w:w="120" w:type="dxa"/>
              <w:left w:w="140" w:type="dxa"/>
              <w:right w:w="140" w:type="dxa"/>
            </w:tcMar>
          </w:tcPr>
          <w:p>
            <w:pPr>
              <w:jc w:val="center"/>
            </w:pPr>
            <w:r>
              <w:rPr>
                <w:rFonts w:ascii="Arial" w:hAnsi="Arial"/>
                <w:b/>
                <w:color w:val="FFFFFF"/>
                <w:sz w:val="19"/>
              </w:rPr>
              <w:t>Reserva de Contingencia (+60%)</w:t>
            </w:r>
          </w:p>
        </w:tc>
        <w:tc>
          <w:tcPr>
            <w:tcW w:type="dxa" w:w="2340"/>
            <w:shd w:fill="0F2A4A"/>
            <w:tcMar>
              <w:top w:w="120" w:type="dxa"/>
              <w:bottom w:w="120" w:type="dxa"/>
              <w:left w:w="140" w:type="dxa"/>
              <w:right w:w="140" w:type="dxa"/>
            </w:tcMar>
          </w:tcPr>
          <w:p>
            <w:pPr>
              <w:jc w:val="center"/>
            </w:pPr>
            <w:r>
              <w:rPr>
                <w:rFonts w:ascii="Arial" w:hAnsi="Arial"/>
                <w:b/>
                <w:color w:val="FFFFFF"/>
                <w:sz w:val="19"/>
              </w:rPr>
              <w:t>PRESUPUESTO TOTAL RECOMENDADO</w:t>
            </w:r>
          </w:p>
        </w:tc>
      </w:tr>
      <w:tr>
        <w:tc>
          <w:tcPr>
            <w:tcW w:type="dxa" w:w="2340"/>
            <w:shd w:fill="F7FAFC"/>
            <w:tcMar>
              <w:top w:w="100" w:type="dxa"/>
              <w:bottom w:w="100" w:type="dxa"/>
              <w:left w:w="140" w:type="dxa"/>
              <w:right w:w="140" w:type="dxa"/>
            </w:tcMar>
          </w:tcPr>
          <w:p>
            <w:pPr>
              <w:jc w:val="left"/>
            </w:pPr>
            <w:r>
              <w:rPr>
                <w:rFonts w:ascii="Calibri" w:hAnsi="Calibri"/>
                <w:color w:val="222222"/>
                <w:sz w:val="19"/>
              </w:rPr>
              <w:t>Presupuesto Mensual</w:t>
            </w:r>
          </w:p>
        </w:tc>
        <w:tc>
          <w:tcPr>
            <w:tcW w:type="dxa" w:w="2340"/>
            <w:shd w:fill="F7FAFC"/>
            <w:tcMar>
              <w:top w:w="100" w:type="dxa"/>
              <w:bottom w:w="100" w:type="dxa"/>
              <w:left w:w="140" w:type="dxa"/>
              <w:right w:w="140" w:type="dxa"/>
            </w:tcMar>
          </w:tcPr>
          <w:p>
            <w:pPr>
              <w:jc w:val="center"/>
            </w:pPr>
            <w:r>
              <w:rPr>
                <w:rFonts w:ascii="Calibri" w:hAnsi="Calibri"/>
                <w:color w:val="222222"/>
                <w:sz w:val="19"/>
              </w:rPr>
              <w:t>$7.33 USD</w:t>
            </w:r>
          </w:p>
        </w:tc>
        <w:tc>
          <w:tcPr>
            <w:tcW w:type="dxa" w:w="2340"/>
            <w:shd w:fill="F7FAFC"/>
            <w:tcMar>
              <w:top w:w="100" w:type="dxa"/>
              <w:bottom w:w="100" w:type="dxa"/>
              <w:left w:w="140" w:type="dxa"/>
              <w:right w:w="140" w:type="dxa"/>
            </w:tcMar>
          </w:tcPr>
          <w:p>
            <w:pPr>
              <w:jc w:val="center"/>
            </w:pPr>
            <w:r>
              <w:rPr>
                <w:rFonts w:ascii="Calibri" w:hAnsi="Calibri"/>
                <w:color w:val="222222"/>
                <w:sz w:val="19"/>
              </w:rPr>
              <w:t>$4.40 USD</w:t>
            </w:r>
          </w:p>
        </w:tc>
        <w:tc>
          <w:tcPr>
            <w:tcW w:type="dxa" w:w="2340"/>
            <w:shd w:fill="F7FAFC"/>
            <w:tcMar>
              <w:top w:w="100" w:type="dxa"/>
              <w:bottom w:w="100" w:type="dxa"/>
              <w:left w:w="140" w:type="dxa"/>
              <w:right w:w="140" w:type="dxa"/>
            </w:tcMar>
          </w:tcPr>
          <w:p>
            <w:pPr>
              <w:jc w:val="center"/>
            </w:pPr>
            <w:r>
              <w:rPr>
                <w:rFonts w:ascii="Calibri" w:hAnsi="Calibri"/>
                <w:b/>
                <w:color w:val="1B6B93"/>
                <w:sz w:val="19"/>
              </w:rPr>
              <w:t>$11.73 USD / mes</w:t>
            </w:r>
          </w:p>
        </w:tc>
      </w:tr>
      <w:tr>
        <w:tc>
          <w:tcPr>
            <w:tcW w:type="dxa" w:w="2340"/>
            <w:shd w:fill="FFFFFF"/>
            <w:tcMar>
              <w:top w:w="100" w:type="dxa"/>
              <w:bottom w:w="100" w:type="dxa"/>
              <w:left w:w="140" w:type="dxa"/>
              <w:right w:w="140" w:type="dxa"/>
            </w:tcMar>
          </w:tcPr>
          <w:p>
            <w:pPr>
              <w:jc w:val="left"/>
            </w:pPr>
            <w:r>
              <w:rPr>
                <w:rFonts w:ascii="Calibri" w:hAnsi="Calibri"/>
                <w:color w:val="222222"/>
                <w:sz w:val="19"/>
              </w:rPr>
              <w:t>Presupuesto Trimestral</w:t>
            </w:r>
          </w:p>
        </w:tc>
        <w:tc>
          <w:tcPr>
            <w:tcW w:type="dxa" w:w="2340"/>
            <w:shd w:fill="FFFFFF"/>
            <w:tcMar>
              <w:top w:w="100" w:type="dxa"/>
              <w:bottom w:w="100" w:type="dxa"/>
              <w:left w:w="140" w:type="dxa"/>
              <w:right w:w="140" w:type="dxa"/>
            </w:tcMar>
          </w:tcPr>
          <w:p>
            <w:pPr>
              <w:jc w:val="center"/>
            </w:pPr>
            <w:r>
              <w:rPr>
                <w:rFonts w:ascii="Calibri" w:hAnsi="Calibri"/>
                <w:color w:val="222222"/>
                <w:sz w:val="19"/>
              </w:rPr>
              <w:t>$21.99 USD</w:t>
            </w:r>
          </w:p>
        </w:tc>
        <w:tc>
          <w:tcPr>
            <w:tcW w:type="dxa" w:w="2340"/>
            <w:shd w:fill="FFFFFF"/>
            <w:tcMar>
              <w:top w:w="100" w:type="dxa"/>
              <w:bottom w:w="100" w:type="dxa"/>
              <w:left w:w="140" w:type="dxa"/>
              <w:right w:w="140" w:type="dxa"/>
            </w:tcMar>
          </w:tcPr>
          <w:p>
            <w:pPr>
              <w:jc w:val="center"/>
            </w:pPr>
            <w:r>
              <w:rPr>
                <w:rFonts w:ascii="Calibri" w:hAnsi="Calibri"/>
                <w:color w:val="222222"/>
                <w:sz w:val="19"/>
              </w:rPr>
              <w:t>$13.20 USD</w:t>
            </w:r>
          </w:p>
        </w:tc>
        <w:tc>
          <w:tcPr>
            <w:tcW w:type="dxa" w:w="2340"/>
            <w:shd w:fill="FFFFFF"/>
            <w:tcMar>
              <w:top w:w="100" w:type="dxa"/>
              <w:bottom w:w="100" w:type="dxa"/>
              <w:left w:w="140" w:type="dxa"/>
              <w:right w:w="140" w:type="dxa"/>
            </w:tcMar>
          </w:tcPr>
          <w:p>
            <w:pPr>
              <w:jc w:val="center"/>
            </w:pPr>
            <w:r>
              <w:rPr>
                <w:rFonts w:ascii="Calibri" w:hAnsi="Calibri"/>
                <w:b/>
                <w:color w:val="1B6B93"/>
                <w:sz w:val="19"/>
              </w:rPr>
              <w:t>$35.19 USD / trimestre</w:t>
            </w:r>
          </w:p>
        </w:tc>
      </w:tr>
      <w:tr>
        <w:tc>
          <w:tcPr>
            <w:tcW w:type="dxa" w:w="2340"/>
            <w:shd w:fill="F7FAFC"/>
            <w:tcMar>
              <w:top w:w="100" w:type="dxa"/>
              <w:bottom w:w="100" w:type="dxa"/>
              <w:left w:w="140" w:type="dxa"/>
              <w:right w:w="140" w:type="dxa"/>
            </w:tcMar>
          </w:tcPr>
          <w:p>
            <w:pPr>
              <w:jc w:val="left"/>
            </w:pPr>
            <w:r>
              <w:rPr>
                <w:rFonts w:ascii="Calibri" w:hAnsi="Calibri"/>
                <w:color w:val="222222"/>
                <w:sz w:val="19"/>
              </w:rPr>
              <w:t>Presupuesto Anual Lectivo (10 Meses)</w:t>
            </w:r>
          </w:p>
        </w:tc>
        <w:tc>
          <w:tcPr>
            <w:tcW w:type="dxa" w:w="2340"/>
            <w:shd w:fill="F7FAFC"/>
            <w:tcMar>
              <w:top w:w="100" w:type="dxa"/>
              <w:bottom w:w="100" w:type="dxa"/>
              <w:left w:w="140" w:type="dxa"/>
              <w:right w:w="140" w:type="dxa"/>
            </w:tcMar>
          </w:tcPr>
          <w:p>
            <w:pPr>
              <w:jc w:val="center"/>
            </w:pPr>
            <w:r>
              <w:rPr>
                <w:rFonts w:ascii="Calibri" w:hAnsi="Calibri"/>
                <w:color w:val="222222"/>
                <w:sz w:val="19"/>
              </w:rPr>
              <w:t>$73.30 USD</w:t>
            </w:r>
          </w:p>
        </w:tc>
        <w:tc>
          <w:tcPr>
            <w:tcW w:type="dxa" w:w="2340"/>
            <w:shd w:fill="F7FAFC"/>
            <w:tcMar>
              <w:top w:w="100" w:type="dxa"/>
              <w:bottom w:w="100" w:type="dxa"/>
              <w:left w:w="140" w:type="dxa"/>
              <w:right w:w="140" w:type="dxa"/>
            </w:tcMar>
          </w:tcPr>
          <w:p>
            <w:pPr>
              <w:jc w:val="center"/>
            </w:pPr>
            <w:r>
              <w:rPr>
                <w:rFonts w:ascii="Calibri" w:hAnsi="Calibri"/>
                <w:color w:val="222222"/>
                <w:sz w:val="19"/>
              </w:rPr>
              <w:t>$44.00 USD</w:t>
            </w:r>
          </w:p>
        </w:tc>
        <w:tc>
          <w:tcPr>
            <w:tcW w:type="dxa" w:w="2340"/>
            <w:shd w:fill="F7FAFC"/>
            <w:tcMar>
              <w:top w:w="100" w:type="dxa"/>
              <w:bottom w:w="100" w:type="dxa"/>
              <w:left w:w="140" w:type="dxa"/>
              <w:right w:w="140" w:type="dxa"/>
            </w:tcMar>
          </w:tcPr>
          <w:p>
            <w:pPr>
              <w:jc w:val="center"/>
            </w:pPr>
            <w:r>
              <w:rPr>
                <w:rFonts w:ascii="Calibri" w:hAnsi="Calibri"/>
                <w:b/>
                <w:color w:val="1B6B93"/>
                <w:sz w:val="19"/>
              </w:rPr>
              <w:t>$117.30 USD / año lectivo</w:t>
            </w:r>
          </w:p>
        </w:tc>
      </w:tr>
    </w:tbl>
    <w:p>
      <w:pPr>
        <w:spacing w:after="200"/>
      </w:pPr>
    </w:p>
    <w:p>
      <w:pPr>
        <w:keepNext/>
        <w:spacing w:before="320" w:after="120"/>
      </w:pPr>
      <w:r>
        <w:rPr>
          <w:rFonts w:ascii="Arial" w:hAnsi="Arial"/>
          <w:b/>
          <w:color w:val="0F2A4A"/>
          <w:sz w:val="28"/>
        </w:rPr>
        <w:t>7. Retorno de Inversión y Comparativa de Ahorro Institucional</w:t>
      </w:r>
    </w:p>
    <w:p>
      <w:pPr>
        <w:spacing w:before="0" w:after="120" w:line="276" w:lineRule="auto"/>
      </w:pPr>
      <w:r>
        <w:rPr>
          <w:rFonts w:ascii="Calibri" w:hAnsi="Calibri"/>
          <w:color w:val="222222"/>
          <w:sz w:val="22"/>
        </w:rPr>
        <w:t>Frente al modelo actual basado en Claude Sonnet (cuyo costo anual asciende a $4,800.00 USD para esta misma carga), la implementación del Sistema Híbrido permite un ahorro económico directo del 97.6%:</w:t>
      </w:r>
    </w:p>
    <w:p>
      <w:pPr>
        <w:pStyle w:val="ListBullet"/>
        <w:spacing w:before="0" w:after="60" w:line="276" w:lineRule="auto"/>
      </w:pPr>
      <w:r>
        <w:rPr>
          <w:rFonts w:ascii="Calibri" w:hAnsi="Calibri"/>
          <w:color w:val="222222"/>
          <w:sz w:val="22"/>
        </w:rPr>
        <w:t>Gasto Anual Proyectado con Claude Sonnet: ~$4,800.00 USD / año lectivo.</w:t>
      </w:r>
    </w:p>
    <w:p>
      <w:pPr>
        <w:pStyle w:val="ListBullet"/>
        <w:spacing w:before="0" w:after="60" w:line="276" w:lineRule="auto"/>
      </w:pPr>
      <w:r>
        <w:rPr>
          <w:rFonts w:ascii="Calibri" w:hAnsi="Calibri"/>
          <w:color w:val="222222"/>
          <w:sz w:val="22"/>
        </w:rPr>
        <w:t>Presupuesto Anual Sistema Híbrido (Con 60% Contingencia Incluido): $117.30 USD / año lectivo.</w:t>
      </w:r>
    </w:p>
    <w:p>
      <w:pPr>
        <w:pStyle w:val="ListBullet"/>
        <w:spacing w:before="0" w:after="60" w:line="276" w:lineRule="auto"/>
      </w:pPr>
      <w:r>
        <w:rPr>
          <w:rFonts w:ascii="Calibri" w:hAnsi="Calibri"/>
          <w:color w:val="222222"/>
          <w:sz w:val="22"/>
        </w:rPr>
        <w:t>AHORRO FINANCIERO NETO ANUAL PARA LA INSTITUCIÓN: $4,682.70 USD / año.</w:t>
      </w:r>
    </w:p>
    <w:tbl>
      <w:tblPr>
        <w:tblW w:type="auto" w:w="0"/>
        <w:jc w:val="center"/>
        <w:tblLook w:firstColumn="1" w:firstRow="1" w:lastColumn="0" w:lastRow="0" w:noHBand="0" w:noVBand="1" w:val="04A0"/>
      </w:tblPr>
      <w:tblGrid>
        <w:gridCol w:w="9360"/>
      </w:tblGrid>
      <w:tr>
        <w:tc>
          <w:tcPr>
            <w:tcW w:type="dxa" w:w="9360"/>
            <w:shd w:fill="E8F4F8"/>
            <w:tcBorders>
              <w:top w:val="none"/>
              <w:left w:val="single" w:sz="36" w:space="0" w:color="0F2A4A"/>
              <w:bottom w:val="none"/>
              <w:right w:val="none"/>
            </w:tcBorders>
            <w:tcMar>
              <w:top w:w="140" w:type="dxa"/>
              <w:bottom w:w="140" w:type="dxa"/>
              <w:left w:w="180" w:type="dxa"/>
              <w:right w:w="180" w:type="dxa"/>
            </w:tcMar>
          </w:tcPr>
          <w:p>
            <w:pPr>
              <w:spacing w:before="40" w:after="40"/>
            </w:pPr>
            <w:r>
              <w:rPr>
                <w:rFonts w:ascii="Arial" w:hAnsi="Arial"/>
                <w:b/>
                <w:color w:val="0F2A4A"/>
                <w:sz w:val="21"/>
              </w:rPr>
              <w:t>💰 CONCLUSIÓN DE GESTIÓN PRESUPUESTARIA</w:t>
              <w:br/>
            </w:r>
            <w:r>
              <w:rPr>
                <w:rFonts w:ascii="Calibri" w:hAnsi="Calibri"/>
                <w:color w:val="222222"/>
                <w:sz w:val="21"/>
              </w:rPr>
              <w:t>Aprobar la asignación mensual de $11.73 USD garantiza la sostenibilidad financiera absoluta del aplicativo UEI para los 90 docentes, protegiendo a la institución ante cualquier sobrecarga de uso y logrando una eficiencia presupuestaria del 97.6%.</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