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B727" w14:textId="1EAA996E" w:rsidR="002066AD" w:rsidRPr="00D51F12" w:rsidRDefault="002066AD" w:rsidP="00D51F12">
      <w:pPr>
        <w:pStyle w:val="NormalWeb"/>
        <w:spacing w:line="480" w:lineRule="auto"/>
        <w:jc w:val="center"/>
        <w:rPr>
          <w:b/>
          <w:bCs/>
          <w:color w:val="000000"/>
        </w:rPr>
      </w:pPr>
      <w:r w:rsidRPr="002066AD">
        <w:rPr>
          <w:b/>
          <w:bCs/>
          <w:i/>
          <w:iCs/>
          <w:color w:val="000000"/>
        </w:rPr>
        <w:t>Post-Hoc</w:t>
      </w:r>
      <w:r w:rsidRPr="002066AD">
        <w:rPr>
          <w:b/>
          <w:bCs/>
          <w:color w:val="000000"/>
        </w:rPr>
        <w:t xml:space="preserve"> Sensitivity Analysis</w:t>
      </w:r>
    </w:p>
    <w:p w14:paraId="2E8B33A2" w14:textId="7E349804" w:rsidR="003C0D6E" w:rsidRPr="009B4D83" w:rsidRDefault="003C0D6E" w:rsidP="00D51F12">
      <w:pPr>
        <w:pStyle w:val="NormalWeb"/>
        <w:spacing w:line="480" w:lineRule="auto"/>
        <w:jc w:val="both"/>
        <w:rPr>
          <w:color w:val="000000"/>
        </w:rPr>
      </w:pPr>
      <w:r w:rsidRPr="009B4D83">
        <w:rPr>
          <w:color w:val="000000"/>
        </w:rPr>
        <w:t xml:space="preserve">As noted by the reviewers, this study included 777 eyes from 638 subjects, </w:t>
      </w:r>
      <w:r w:rsidR="000301BA">
        <w:rPr>
          <w:color w:val="000000"/>
        </w:rPr>
        <w:t>meaning</w:t>
      </w:r>
      <w:r w:rsidRPr="009B4D83">
        <w:rPr>
          <w:color w:val="000000"/>
        </w:rPr>
        <w:t xml:space="preserve"> that some participants contributed data from both eyes. This raises an important methodological consideration, as most statistical approaches assume independence of observations. Studies that include both eyes without explicitly accounting for inter-eye correlation may underestimate the true variance of their measurements</w:t>
      </w:r>
      <w:r w:rsidR="00D51F12">
        <w:rPr>
          <w:color w:val="000000"/>
        </w:rPr>
        <w:t xml:space="preserve"> </w:t>
      </w:r>
      <w:r w:rsidR="00D51F12">
        <w:rPr>
          <w:color w:val="000000"/>
        </w:rPr>
        <w:fldChar w:fldCharType="begin"/>
      </w:r>
      <w:r w:rsidR="00D51F12">
        <w:rPr>
          <w:color w:val="000000"/>
        </w:rPr>
        <w:instrText xml:space="preserve"> ADDIN ZOTERO_ITEM CSL_CITATION {"citationID":"PFb3ghiQ","properties":{"formattedCitation":"(1)","plainCitation":"(1)","noteIndex":0},"citationItems":[{"id":1097,"uris":["http://zotero.org/users/15549944/items/RHHNP7K9"],"itemData":{"id":1097,"type":"article-journal","abstract":"PURPOSE: Measurements obtained from the right and left eye of a subject are often correlated whereas many statistical tests assume observations in a sample are independent. Hence, data collected from both eyes cannot be combined without taking this correlation into account. Current practice is reviewed with reference to articles published in three optometry journals, viz., Ophthalmic and Physiological Optics (OPO), Optometry and Vision Science (OVS), Clinical and Experimental Optometry (CEO) during the period 2009-2012.\nRECENT FINDINGS: Of the 230 articles reviewed, 148/230 (64%) obtained data from one eye and 82/230 (36%) from both eyes. Of the 148 one-eye articles, the right eye, left eye, a randomly selected eye, the better eye, the worse or diseased eye, or the dominant eye were all used as selection criteria. Of the 82 two-eye articles, the analysis utilized data from: (1) one eye only rejecting data from the adjacent eye, (2) both eyes separately, (3) both eyes taking into account the correlation between eyes, or (4) both eyes using one eye as a treated or diseased eye, the other acting as a control. In a proportion of studies, data were combined from both eyes without correction.\nSUMMARY: It is suggested that: (1) investigators should consider whether it is advantageous to collect data from both eyes, (2) if one eye is studied and both are eligible, then it should be chosen at random, and (3) two-eye data can be analysed incorporating eyes as a 'within subjects' factor.","container-title":"Ophthalmic &amp; Physiological Optics: The Journal of the British College of Ophthalmic Opticians","DOI":"10.1111/opo.12009","ISSN":"1475-1313","issue":"1","journalAbbreviation":"Ophthalmic Physiol Opt","language":"eng","page":"7-14","PMID":"23252852","publisher-place":"Optometrists","source":"PubMed","title":"Statistical guidelines for the analysis of data obtained from one or both eyes","volume":"33","author":[{"family":"Armstrong","given":"Richard A."}],"issued":{"date-parts":[["2013",1]]}}}],"schema":"https://github.com/citation-style-language/schema/raw/master/csl-citation.json"} </w:instrText>
      </w:r>
      <w:r w:rsidR="00D51F12">
        <w:rPr>
          <w:color w:val="000000"/>
        </w:rPr>
        <w:fldChar w:fldCharType="separate"/>
      </w:r>
      <w:r w:rsidR="00D51F12">
        <w:rPr>
          <w:noProof/>
          <w:color w:val="000000"/>
        </w:rPr>
        <w:t>(1)</w:t>
      </w:r>
      <w:r w:rsidR="00D51F12">
        <w:rPr>
          <w:color w:val="000000"/>
        </w:rPr>
        <w:fldChar w:fldCharType="end"/>
      </w:r>
      <w:r w:rsidRPr="009B4D83">
        <w:rPr>
          <w:color w:val="000000"/>
        </w:rPr>
        <w:t>. This occurs because the variability between two eyes from the same individual is inherently smaller than that between eyes from different individuals, reflecting shared physiological, genetic, and structural determinants of vision</w:t>
      </w:r>
      <w:r w:rsidR="00D51F12">
        <w:rPr>
          <w:color w:val="000000"/>
        </w:rPr>
        <w:t xml:space="preserve"> </w:t>
      </w:r>
      <w:r w:rsidR="00D51F12">
        <w:rPr>
          <w:color w:val="000000"/>
        </w:rPr>
        <w:fldChar w:fldCharType="begin"/>
      </w:r>
      <w:r w:rsidR="00D51F12">
        <w:rPr>
          <w:color w:val="000000"/>
        </w:rPr>
        <w:instrText xml:space="preserve"> ADDIN ZOTERO_ITEM CSL_CITATION {"citationID":"y4bFAxUl","properties":{"formattedCitation":"(1)","plainCitation":"(1)","noteIndex":0},"citationItems":[{"id":1097,"uris":["http://zotero.org/users/15549944/items/RHHNP7K9"],"itemData":{"id":1097,"type":"article-journal","abstract":"PURPOSE: Measurements obtained from the right and left eye of a subject are often correlated whereas many statistical tests assume observations in a sample are independent. Hence, data collected from both eyes cannot be combined without taking this correlation into account. Current practice is reviewed with reference to articles published in three optometry journals, viz., Ophthalmic and Physiological Optics (OPO), Optometry and Vision Science (OVS), Clinical and Experimental Optometry (CEO) during the period 2009-2012.\nRECENT FINDINGS: Of the 230 articles reviewed, 148/230 (64%) obtained data from one eye and 82/230 (36%) from both eyes. Of the 148 one-eye articles, the right eye, left eye, a randomly selected eye, the better eye, the worse or diseased eye, or the dominant eye were all used as selection criteria. Of the 82 two-eye articles, the analysis utilized data from: (1) one eye only rejecting data from the adjacent eye, (2) both eyes separately, (3) both eyes taking into account the correlation between eyes, or (4) both eyes using one eye as a treated or diseased eye, the other acting as a control. In a proportion of studies, data were combined from both eyes without correction.\nSUMMARY: It is suggested that: (1) investigators should consider whether it is advantageous to collect data from both eyes, (2) if one eye is studied and both are eligible, then it should be chosen at random, and (3) two-eye data can be analysed incorporating eyes as a 'within subjects' factor.","container-title":"Ophthalmic &amp; Physiological Optics: The Journal of the British College of Ophthalmic Opticians","DOI":"10.1111/opo.12009","ISSN":"1475-1313","issue":"1","journalAbbreviation":"Ophthalmic Physiol Opt","language":"eng","page":"7-14","PMID":"23252852","publisher-place":"Optometrists","source":"PubMed","title":"Statistical guidelines for the analysis of data obtained from one or both eyes","volume":"33","author":[{"family":"Armstrong","given":"Richard A."}],"issued":{"date-parts":[["2013",1]]}}}],"schema":"https://github.com/citation-style-language/schema/raw/master/csl-citation.json"} </w:instrText>
      </w:r>
      <w:r w:rsidR="00D51F12">
        <w:rPr>
          <w:color w:val="000000"/>
        </w:rPr>
        <w:fldChar w:fldCharType="separate"/>
      </w:r>
      <w:r w:rsidR="00D51F12">
        <w:rPr>
          <w:noProof/>
          <w:color w:val="000000"/>
        </w:rPr>
        <w:t>(1)</w:t>
      </w:r>
      <w:r w:rsidR="00D51F12">
        <w:rPr>
          <w:color w:val="000000"/>
        </w:rPr>
        <w:fldChar w:fldCharType="end"/>
      </w:r>
      <w:r w:rsidRPr="009B4D83">
        <w:rPr>
          <w:color w:val="000000"/>
        </w:rPr>
        <w:t>.</w:t>
      </w:r>
    </w:p>
    <w:p w14:paraId="2D48AA04" w14:textId="3EDBE877" w:rsidR="003C0D6E" w:rsidRPr="009B4D83" w:rsidRDefault="003C0D6E" w:rsidP="00D51F12">
      <w:pPr>
        <w:pStyle w:val="NormalWeb"/>
        <w:spacing w:line="480" w:lineRule="auto"/>
        <w:jc w:val="both"/>
        <w:rPr>
          <w:color w:val="000000"/>
        </w:rPr>
      </w:pPr>
      <w:r w:rsidRPr="009B4D83">
        <w:rPr>
          <w:color w:val="000000"/>
        </w:rPr>
        <w:t>As a consequence, failure to account for this correlation can lead to artificially narrow confidence intervals</w:t>
      </w:r>
      <w:r w:rsidR="00D51F12">
        <w:rPr>
          <w:color w:val="000000"/>
        </w:rPr>
        <w:t xml:space="preserve"> </w:t>
      </w:r>
      <w:r w:rsidR="00D51F12">
        <w:rPr>
          <w:color w:val="000000"/>
        </w:rPr>
        <w:fldChar w:fldCharType="begin"/>
      </w:r>
      <w:r w:rsidR="00D51F12">
        <w:rPr>
          <w:color w:val="000000"/>
        </w:rPr>
        <w:instrText xml:space="preserve"> ADDIN ZOTERO_ITEM CSL_CITATION {"citationID":"lGgTrvTG","properties":{"formattedCitation":"(1)","plainCitation":"(1)","noteIndex":0},"citationItems":[{"id":1097,"uris":["http://zotero.org/users/15549944/items/RHHNP7K9"],"itemData":{"id":1097,"type":"article-journal","abstract":"PURPOSE: Measurements obtained from the right and left eye of a subject are often correlated whereas many statistical tests assume observations in a sample are independent. Hence, data collected from both eyes cannot be combined without taking this correlation into account. Current practice is reviewed with reference to articles published in three optometry journals, viz., Ophthalmic and Physiological Optics (OPO), Optometry and Vision Science (OVS), Clinical and Experimental Optometry (CEO) during the period 2009-2012.\nRECENT FINDINGS: Of the 230 articles reviewed, 148/230 (64%) obtained data from one eye and 82/230 (36%) from both eyes. Of the 148 one-eye articles, the right eye, left eye, a randomly selected eye, the better eye, the worse or diseased eye, or the dominant eye were all used as selection criteria. Of the 82 two-eye articles, the analysis utilized data from: (1) one eye only rejecting data from the adjacent eye, (2) both eyes separately, (3) both eyes taking into account the correlation between eyes, or (4) both eyes using one eye as a treated or diseased eye, the other acting as a control. In a proportion of studies, data were combined from both eyes without correction.\nSUMMARY: It is suggested that: (1) investigators should consider whether it is advantageous to collect data from both eyes, (2) if one eye is studied and both are eligible, then it should be chosen at random, and (3) two-eye data can be analysed incorporating eyes as a 'within subjects' factor.","container-title":"Ophthalmic &amp; Physiological Optics: The Journal of the British College of Ophthalmic Opticians","DOI":"10.1111/opo.12009","ISSN":"1475-1313","issue":"1","journalAbbreviation":"Ophthalmic Physiol Opt","language":"eng","page":"7-14","PMID":"23252852","publisher-place":"Optometrists","source":"PubMed","title":"Statistical guidelines for the analysis of data obtained from one or both eyes","volume":"33","author":[{"family":"Armstrong","given":"Richard A."}],"issued":{"date-parts":[["2013",1]]}}}],"schema":"https://github.com/citation-style-language/schema/raw/master/csl-citation.json"} </w:instrText>
      </w:r>
      <w:r w:rsidR="00D51F12">
        <w:rPr>
          <w:color w:val="000000"/>
        </w:rPr>
        <w:fldChar w:fldCharType="separate"/>
      </w:r>
      <w:r w:rsidR="00D51F12">
        <w:rPr>
          <w:noProof/>
          <w:color w:val="000000"/>
        </w:rPr>
        <w:t>(1)</w:t>
      </w:r>
      <w:r w:rsidR="00D51F12">
        <w:rPr>
          <w:color w:val="000000"/>
        </w:rPr>
        <w:fldChar w:fldCharType="end"/>
      </w:r>
      <w:r w:rsidRPr="009B4D83">
        <w:rPr>
          <w:color w:val="000000"/>
        </w:rPr>
        <w:t xml:space="preserve">. Moreover, it </w:t>
      </w:r>
      <w:r w:rsidR="00D51F12">
        <w:rPr>
          <w:color w:val="000000"/>
        </w:rPr>
        <w:t xml:space="preserve">artificially </w:t>
      </w:r>
      <w:r w:rsidRPr="009B4D83">
        <w:rPr>
          <w:color w:val="000000"/>
        </w:rPr>
        <w:t xml:space="preserve">inflates the sample size, as a study contributing 200 eyes from 100 participants does not provide the same amount of </w:t>
      </w:r>
      <w:r>
        <w:rPr>
          <w:color w:val="000000"/>
        </w:rPr>
        <w:t xml:space="preserve">effective </w:t>
      </w:r>
      <w:r w:rsidRPr="009B4D83">
        <w:rPr>
          <w:color w:val="000000"/>
        </w:rPr>
        <w:t>information as 200 observations from distinct individuals</w:t>
      </w:r>
      <w:r>
        <w:rPr>
          <w:color w:val="000000"/>
        </w:rPr>
        <w:t>,</w:t>
      </w:r>
      <w:r w:rsidRPr="009B4D83">
        <w:rPr>
          <w:color w:val="000000"/>
        </w:rPr>
        <w:t xml:space="preserve"> due to clustering at the subject level</w:t>
      </w:r>
      <w:r w:rsidR="00D51F12">
        <w:rPr>
          <w:color w:val="000000"/>
        </w:rPr>
        <w:t xml:space="preserve"> </w:t>
      </w:r>
      <w:r w:rsidR="00D51F12">
        <w:rPr>
          <w:color w:val="000000"/>
        </w:rPr>
        <w:fldChar w:fldCharType="begin"/>
      </w:r>
      <w:r w:rsidR="00D51F12">
        <w:rPr>
          <w:color w:val="000000"/>
        </w:rPr>
        <w:instrText xml:space="preserve"> ADDIN ZOTERO_ITEM CSL_CITATION {"citationID":"2s87kjMX","properties":{"formattedCitation":"(1)","plainCitation":"(1)","noteIndex":0},"citationItems":[{"id":1097,"uris":["http://zotero.org/users/15549944/items/RHHNP7K9"],"itemData":{"id":1097,"type":"article-journal","abstract":"PURPOSE: Measurements obtained from the right and left eye of a subject are often correlated whereas many statistical tests assume observations in a sample are independent. Hence, data collected from both eyes cannot be combined without taking this correlation into account. Current practice is reviewed with reference to articles published in three optometry journals, viz., Ophthalmic and Physiological Optics (OPO), Optometry and Vision Science (OVS), Clinical and Experimental Optometry (CEO) during the period 2009-2012.\nRECENT FINDINGS: Of the 230 articles reviewed, 148/230 (64%) obtained data from one eye and 82/230 (36%) from both eyes. Of the 148 one-eye articles, the right eye, left eye, a randomly selected eye, the better eye, the worse or diseased eye, or the dominant eye were all used as selection criteria. Of the 82 two-eye articles, the analysis utilized data from: (1) one eye only rejecting data from the adjacent eye, (2) both eyes separately, (3) both eyes taking into account the correlation between eyes, or (4) both eyes using one eye as a treated or diseased eye, the other acting as a control. In a proportion of studies, data were combined from both eyes without correction.\nSUMMARY: It is suggested that: (1) investigators should consider whether it is advantageous to collect data from both eyes, (2) if one eye is studied and both are eligible, then it should be chosen at random, and (3) two-eye data can be analysed incorporating eyes as a 'within subjects' factor.","container-title":"Ophthalmic &amp; Physiological Optics: The Journal of the British College of Ophthalmic Opticians","DOI":"10.1111/opo.12009","ISSN":"1475-1313","issue":"1","journalAbbreviation":"Ophthalmic Physiol Opt","language":"eng","page":"7-14","PMID":"23252852","publisher-place":"Optometrists","source":"PubMed","title":"Statistical guidelines for the analysis of data obtained from one or both eyes","volume":"33","author":[{"family":"Armstrong","given":"Richard A."}],"issued":{"date-parts":[["2013",1]]}}}],"schema":"https://github.com/citation-style-language/schema/raw/master/csl-citation.json"} </w:instrText>
      </w:r>
      <w:r w:rsidR="00D51F12">
        <w:rPr>
          <w:color w:val="000000"/>
        </w:rPr>
        <w:fldChar w:fldCharType="separate"/>
      </w:r>
      <w:r w:rsidR="00D51F12">
        <w:rPr>
          <w:noProof/>
          <w:color w:val="000000"/>
        </w:rPr>
        <w:t>(1)</w:t>
      </w:r>
      <w:r w:rsidR="00D51F12">
        <w:rPr>
          <w:color w:val="000000"/>
        </w:rPr>
        <w:fldChar w:fldCharType="end"/>
      </w:r>
      <w:r w:rsidRPr="009B4D83">
        <w:rPr>
          <w:color w:val="000000"/>
        </w:rPr>
        <w:t>.</w:t>
      </w:r>
    </w:p>
    <w:p w14:paraId="57AF1EF6" w14:textId="24A3AC87" w:rsidR="003C0D6E" w:rsidRPr="009B4D83" w:rsidRDefault="00D51F12" w:rsidP="00D51F12">
      <w:pPr>
        <w:pStyle w:val="NormalWeb"/>
        <w:spacing w:line="480" w:lineRule="auto"/>
        <w:jc w:val="both"/>
        <w:rPr>
          <w:color w:val="000000"/>
        </w:rPr>
      </w:pPr>
      <w:r w:rsidRPr="009B4D83">
        <w:rPr>
          <w:color w:val="000000" w:themeColor="text1"/>
        </w:rPr>
        <w:drawing>
          <wp:anchor distT="0" distB="0" distL="114300" distR="114300" simplePos="0" relativeHeight="251659264" behindDoc="0" locked="0" layoutInCell="1" allowOverlap="1" wp14:anchorId="52A7B306" wp14:editId="3DFDF5D3">
            <wp:simplePos x="0" y="0"/>
            <wp:positionH relativeFrom="column">
              <wp:posOffset>0</wp:posOffset>
            </wp:positionH>
            <wp:positionV relativeFrom="paragraph">
              <wp:posOffset>1542415</wp:posOffset>
            </wp:positionV>
            <wp:extent cx="5932025" cy="2014101"/>
            <wp:effectExtent l="0" t="0" r="0" b="0"/>
            <wp:wrapNone/>
            <wp:docPr id="20568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1167" name=""/>
                    <pic:cNvPicPr/>
                  </pic:nvPicPr>
                  <pic:blipFill>
                    <a:blip r:embed="rId4"/>
                    <a:stretch>
                      <a:fillRect/>
                    </a:stretch>
                  </pic:blipFill>
                  <pic:spPr>
                    <a:xfrm>
                      <a:off x="0" y="0"/>
                      <a:ext cx="5932025" cy="2014101"/>
                    </a:xfrm>
                    <a:prstGeom prst="rect">
                      <a:avLst/>
                    </a:prstGeom>
                  </pic:spPr>
                </pic:pic>
              </a:graphicData>
            </a:graphic>
            <wp14:sizeRelH relativeFrom="page">
              <wp14:pctWidth>0</wp14:pctWidth>
            </wp14:sizeRelH>
            <wp14:sizeRelV relativeFrom="page">
              <wp14:pctHeight>0</wp14:pctHeight>
            </wp14:sizeRelV>
          </wp:anchor>
        </w:drawing>
      </w:r>
      <w:r w:rsidR="003C0D6E" w:rsidRPr="009B4D83">
        <w:rPr>
          <w:color w:val="000000"/>
        </w:rPr>
        <w:t xml:space="preserve">To address this issue, we </w:t>
      </w:r>
      <w:r>
        <w:rPr>
          <w:color w:val="000000"/>
        </w:rPr>
        <w:t>reviewed</w:t>
      </w:r>
      <w:r w:rsidR="003C0D6E" w:rsidRPr="009B4D83">
        <w:rPr>
          <w:color w:val="000000"/>
        </w:rPr>
        <w:t xml:space="preserve"> the primary studies included in our analysis, quantified the proportion of data derived from studies reporting one eye per participant versus both eyes, and examined the methods used for eye selection in studies reporting a single eye. These findings are summarized in the table below.</w:t>
      </w:r>
    </w:p>
    <w:p w14:paraId="7443B674" w14:textId="7786B519" w:rsidR="003C0D6E" w:rsidRPr="009B4D83" w:rsidRDefault="003C0D6E" w:rsidP="00D51F12">
      <w:pPr>
        <w:pStyle w:val="ListParagraph"/>
        <w:spacing w:after="0" w:line="480" w:lineRule="auto"/>
        <w:ind w:left="1560"/>
        <w:jc w:val="both"/>
        <w:rPr>
          <w:rFonts w:ascii="Times New Roman" w:eastAsia="Times New Roman" w:hAnsi="Times New Roman" w:cs="Times New Roman"/>
          <w:color w:val="000000" w:themeColor="text1"/>
          <w:kern w:val="0"/>
          <w14:ligatures w14:val="none"/>
        </w:rPr>
      </w:pPr>
    </w:p>
    <w:p w14:paraId="64BB8057" w14:textId="77777777" w:rsidR="003C0D6E" w:rsidRPr="009B4D83" w:rsidRDefault="003C0D6E" w:rsidP="00D51F12">
      <w:pPr>
        <w:pStyle w:val="ListParagraph"/>
        <w:spacing w:after="0" w:line="480" w:lineRule="auto"/>
        <w:ind w:left="1560"/>
        <w:jc w:val="both"/>
        <w:rPr>
          <w:rFonts w:ascii="Times New Roman" w:eastAsia="Times New Roman" w:hAnsi="Times New Roman" w:cs="Times New Roman"/>
          <w:color w:val="000000" w:themeColor="text1"/>
          <w:kern w:val="0"/>
          <w14:ligatures w14:val="none"/>
        </w:rPr>
      </w:pPr>
    </w:p>
    <w:p w14:paraId="083781B8" w14:textId="77777777" w:rsidR="003C0D6E" w:rsidRPr="009B4D83" w:rsidRDefault="003C0D6E" w:rsidP="00D51F12">
      <w:pPr>
        <w:pStyle w:val="ListParagraph"/>
        <w:spacing w:after="0" w:line="480" w:lineRule="auto"/>
        <w:ind w:left="1560"/>
        <w:jc w:val="both"/>
        <w:rPr>
          <w:rFonts w:ascii="Times New Roman" w:eastAsia="Times New Roman" w:hAnsi="Times New Roman" w:cs="Times New Roman"/>
          <w:color w:val="000000" w:themeColor="text1"/>
          <w:kern w:val="0"/>
          <w14:ligatures w14:val="none"/>
        </w:rPr>
      </w:pPr>
    </w:p>
    <w:p w14:paraId="547829D6" w14:textId="77777777" w:rsidR="003C0D6E" w:rsidRPr="009B4D83" w:rsidRDefault="003C0D6E" w:rsidP="00D51F12">
      <w:pPr>
        <w:pStyle w:val="ListParagraph"/>
        <w:spacing w:after="0" w:line="480" w:lineRule="auto"/>
        <w:ind w:left="1560"/>
        <w:jc w:val="both"/>
        <w:rPr>
          <w:rFonts w:ascii="Times New Roman" w:eastAsia="Times New Roman" w:hAnsi="Times New Roman" w:cs="Times New Roman"/>
          <w:color w:val="000000" w:themeColor="text1"/>
          <w:kern w:val="0"/>
          <w14:ligatures w14:val="none"/>
        </w:rPr>
      </w:pPr>
    </w:p>
    <w:p w14:paraId="7B34B45F" w14:textId="331FC606"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r w:rsidRPr="009B4D83">
        <w:rPr>
          <w:rFonts w:ascii="Times New Roman" w:eastAsia="Times New Roman" w:hAnsi="Times New Roman" w:cs="Times New Roman"/>
          <w:color w:val="000000" w:themeColor="text1"/>
          <w:kern w:val="0"/>
          <w14:ligatures w14:val="none"/>
        </w:rPr>
        <w:lastRenderedPageBreak/>
        <w:t xml:space="preserve">Approximately 60% of the information for </w:t>
      </w:r>
      <w:r w:rsidR="00D01AED">
        <w:rPr>
          <w:rFonts w:ascii="Times New Roman" w:eastAsia="Times New Roman" w:hAnsi="Times New Roman" w:cs="Times New Roman"/>
          <w:color w:val="000000" w:themeColor="text1"/>
          <w:kern w:val="0"/>
          <w14:ligatures w14:val="none"/>
        </w:rPr>
        <w:t>this work</w:t>
      </w:r>
      <w:r w:rsidRPr="009B4D83">
        <w:rPr>
          <w:rFonts w:ascii="Times New Roman" w:eastAsia="Times New Roman" w:hAnsi="Times New Roman" w:cs="Times New Roman"/>
          <w:color w:val="000000" w:themeColor="text1"/>
          <w:kern w:val="0"/>
          <w14:ligatures w14:val="none"/>
        </w:rPr>
        <w:t xml:space="preserve"> was derived from studies reporting one eye per participant, while approximately 40% derived from studies reporting both eyes.</w:t>
      </w:r>
    </w:p>
    <w:p w14:paraId="2FF889B6" w14:textId="77777777" w:rsidR="003C0D6E" w:rsidRPr="007C6EC8" w:rsidRDefault="003C0D6E" w:rsidP="00D51F12">
      <w:pPr>
        <w:spacing w:after="0" w:line="480" w:lineRule="auto"/>
        <w:ind w:right="4"/>
        <w:jc w:val="both"/>
        <w:rPr>
          <w:rFonts w:ascii="Times New Roman" w:eastAsia="Times New Roman" w:hAnsi="Times New Roman" w:cs="Times New Roman"/>
          <w:color w:val="000000" w:themeColor="text1"/>
          <w:kern w:val="0"/>
          <w:lang w:val="en-MX"/>
          <w14:ligatures w14:val="none"/>
        </w:rPr>
      </w:pPr>
    </w:p>
    <w:p w14:paraId="6CC7E5DA" w14:textId="0D2D0376"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r w:rsidRPr="009B4D83">
        <w:rPr>
          <w:rFonts w:ascii="Times New Roman" w:eastAsia="Times New Roman" w:hAnsi="Times New Roman" w:cs="Times New Roman"/>
          <w:color w:val="000000" w:themeColor="text1"/>
          <w:kern w:val="0"/>
          <w14:ligatures w14:val="none"/>
        </w:rPr>
        <w:t xml:space="preserve">Quantifying the inter-eye correlation is disease-dependent and varies across conditions. For glaucoma specifically, the inter-eye correlation for the perimetric Mean Deviation varies; however, evidence drawn from publications places this value at </w:t>
      </w:r>
      <w:r>
        <w:rPr>
          <w:rFonts w:ascii="Times New Roman" w:eastAsia="Times New Roman" w:hAnsi="Times New Roman" w:cs="Times New Roman"/>
          <w:color w:val="000000" w:themeColor="text1"/>
          <w:kern w:val="0"/>
          <w14:ligatures w14:val="none"/>
        </w:rPr>
        <w:sym w:font="Symbol" w:char="F07E"/>
      </w:r>
      <w:r w:rsidRPr="009B4D83">
        <w:rPr>
          <w:rFonts w:ascii="Times New Roman" w:eastAsia="Times New Roman" w:hAnsi="Times New Roman" w:cs="Times New Roman"/>
          <w:color w:val="000000" w:themeColor="text1"/>
          <w:kern w:val="0"/>
          <w14:ligatures w14:val="none"/>
        </w:rPr>
        <w:t>0.7</w:t>
      </w:r>
      <w:r w:rsidR="00ED375E">
        <w:rPr>
          <w:rFonts w:ascii="Times New Roman" w:eastAsia="Times New Roman" w:hAnsi="Times New Roman" w:cs="Times New Roman"/>
          <w:color w:val="000000" w:themeColor="text1"/>
          <w:kern w:val="0"/>
          <w14:ligatures w14:val="none"/>
        </w:rPr>
        <w:t xml:space="preserve"> </w:t>
      </w:r>
      <w:r w:rsidR="00ED375E">
        <w:rPr>
          <w:rFonts w:ascii="Times New Roman" w:eastAsia="Times New Roman" w:hAnsi="Times New Roman" w:cs="Times New Roman"/>
          <w:color w:val="000000" w:themeColor="text1"/>
          <w:kern w:val="0"/>
          <w14:ligatures w14:val="none"/>
        </w:rPr>
        <w:fldChar w:fldCharType="begin"/>
      </w:r>
      <w:r w:rsidR="00ED375E">
        <w:rPr>
          <w:rFonts w:ascii="Times New Roman" w:eastAsia="Times New Roman" w:hAnsi="Times New Roman" w:cs="Times New Roman"/>
          <w:color w:val="000000" w:themeColor="text1"/>
          <w:kern w:val="0"/>
          <w14:ligatures w14:val="none"/>
        </w:rPr>
        <w:instrText xml:space="preserve"> ADDIN ZOTERO_ITEM CSL_CITATION {"citationID":"zlvdPEeI","properties":{"formattedCitation":"(2)","plainCitation":"(2)","noteIndex":0},"citationItems":[{"id":1170,"uris":["http://zotero.org/users/15549944/items/SADUQ4PT"],"itemData":{"id":1170,"type":"article-journal","abstract":"Purpose\nTo investigate intereye associations of visual field (VF) defects.\n\nMethods\nWe selected 24-2 VF pairs of both eyes from 63,604 patients tested on the same date with mean deviation (MD) ≥ −12 dB. VFs were decomposed into one normal and 15 defect patterns previously identified using archetypal analysis. VF pattern weighting coefficients were correlated between the worse and better eyes, as defined by MD. VF defect patterns (weighting coefficients &gt; 10%) in the better eye were predicted from weighting coefficients of the worse eye by logistic regression models, which were evaluated by area under the receiver operating characteristic curve (AUC).\n\nResults\nIntereye correlations of archetypal VF patterns were strongest for the same defect pattern between fellow eyes. The AUCs for predicting the presence of 15 defect patterns in the better eye based on the worse eye ranged from 0.69 (superior nasal step) to 0.92 (near total loss). The AUC for predicting superior paracentral loss was 0.89. Superior paracentral loss in the better eye was positively correlated with coefficients of superior paracentral loss, central scotoma, superior altitudinal defect, nasal hemianopia, and inferior paracentral loss in the worse eye, and negatively correlated with coefficients of the normal VF, superior peripheral defect, concentric peripheral defect, and temporal wedge. The parameters are presented in the descending order of statistical significance.\n\nConclusions\nVF patterns of the worse eye are predictive of VF defects in the better eye.\n\nTranslational Relevance\nOur models can potentially assist clinicians to better interpret VF loss under measurement uncertainty.","container-title":"Translational Vision Science &amp; Technology","DOI":"10.1167/tvst.9.12.22","ISSN":"2164-2591","issue":"12","journalAbbreviation":"Transl Vis Sci Technol","page":"22","PMID":"33244442","PMCID":"PMC7683854","source":"PubMed Central","title":"Inter-Eye Association of Visual Field Defects in Glaucoma and Its Clinical Utility","volume":"9","author":[{"family":"Teng","given":"Bettina"},{"family":"Li","given":"Dian"},{"family":"Choi","given":"Eun Young"},{"family":"Shen","given":"Lucy Q."},{"family":"Pasquale","given":"Louis R."},{"family":"Boland","given":"Michael V."},{"family":"Ramulu","given":"Pradeep"},{"family":"Wellik","given":"Sarah R."},{"family":"De Moraes","given":"Carlos Gustavo"},{"family":"Myers","given":"Jonathan S."},{"family":"Yousefi","given":"Siamak"},{"family":"Nguyen","given":"Thao"},{"family":"Fan","given":"Yuying"},{"family":"Wang","given":"Hui"},{"family":"Bex","given":"Peter J."},{"family":"Elze","given":"Tobias"},{"family":"Wang","given":"Mengyu"}],"issued":{"date-parts":[["2020",11,17]]}}}],"schema":"https://github.com/citation-style-language/schema/raw/master/csl-citation.json"} </w:instrText>
      </w:r>
      <w:r w:rsidR="00ED375E">
        <w:rPr>
          <w:rFonts w:ascii="Times New Roman" w:eastAsia="Times New Roman" w:hAnsi="Times New Roman" w:cs="Times New Roman"/>
          <w:color w:val="000000" w:themeColor="text1"/>
          <w:kern w:val="0"/>
          <w14:ligatures w14:val="none"/>
        </w:rPr>
        <w:fldChar w:fldCharType="separate"/>
      </w:r>
      <w:r w:rsidR="00ED375E">
        <w:rPr>
          <w:rFonts w:ascii="Times New Roman" w:eastAsia="Times New Roman" w:hAnsi="Times New Roman" w:cs="Times New Roman"/>
          <w:noProof/>
          <w:color w:val="000000" w:themeColor="text1"/>
          <w:kern w:val="0"/>
          <w14:ligatures w14:val="none"/>
        </w:rPr>
        <w:t>(2)</w:t>
      </w:r>
      <w:r w:rsidR="00ED375E">
        <w:rPr>
          <w:rFonts w:ascii="Times New Roman" w:eastAsia="Times New Roman" w:hAnsi="Times New Roman" w:cs="Times New Roman"/>
          <w:color w:val="000000" w:themeColor="text1"/>
          <w:kern w:val="0"/>
          <w14:ligatures w14:val="none"/>
        </w:rPr>
        <w:fldChar w:fldCharType="end"/>
      </w:r>
      <w:r w:rsidRPr="009B4D83">
        <w:rPr>
          <w:rFonts w:ascii="Times New Roman" w:eastAsia="Times New Roman" w:hAnsi="Times New Roman" w:cs="Times New Roman"/>
          <w:color w:val="000000" w:themeColor="text1"/>
          <w:kern w:val="0"/>
          <w14:ligatures w14:val="none"/>
        </w:rPr>
        <w:t>.</w:t>
      </w:r>
    </w:p>
    <w:p w14:paraId="4BC9DB20" w14:textId="77777777"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19E828ED" w14:textId="77777777" w:rsidR="003C0D6E"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r w:rsidRPr="009B4D83">
        <w:rPr>
          <w:rFonts w:ascii="Times New Roman" w:eastAsia="Times New Roman" w:hAnsi="Times New Roman" w:cs="Times New Roman"/>
          <w:color w:val="000000" w:themeColor="text1"/>
          <w:kern w:val="0"/>
          <w14:ligatures w14:val="none"/>
        </w:rPr>
        <w:t>To evaluate the robustness of our findings, we performed a sensitivity analysis on the pooled estimates for mean difference in testing time, MD, and PSD. We recalculated these effect sizes by applying an effective sample size correction to studies reporting bilateral data, testing a range of scenarios to account for varying degrees of possible inter-eye correlation.</w:t>
      </w:r>
    </w:p>
    <w:p w14:paraId="7A76DED1" w14:textId="5F501667" w:rsidR="003C0D6E"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3D4EE625" w14:textId="561D3572" w:rsidR="003C0D6E" w:rsidRDefault="00537899"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r w:rsidRPr="009B4D83">
        <w:rPr>
          <w:rFonts w:ascii="Times New Roman" w:eastAsia="Times New Roman" w:hAnsi="Times New Roman" w:cs="Times New Roman"/>
          <w:color w:val="000000" w:themeColor="text1"/>
          <w:kern w:val="0"/>
          <w14:ligatures w14:val="none"/>
        </w:rPr>
        <w:drawing>
          <wp:anchor distT="0" distB="0" distL="114300" distR="114300" simplePos="0" relativeHeight="251660288" behindDoc="0" locked="0" layoutInCell="1" allowOverlap="1" wp14:anchorId="3F07F254" wp14:editId="1D959621">
            <wp:simplePos x="0" y="0"/>
            <wp:positionH relativeFrom="column">
              <wp:posOffset>0</wp:posOffset>
            </wp:positionH>
            <wp:positionV relativeFrom="paragraph">
              <wp:posOffset>11508</wp:posOffset>
            </wp:positionV>
            <wp:extent cx="5876144" cy="1522397"/>
            <wp:effectExtent l="0" t="0" r="4445" b="0"/>
            <wp:wrapNone/>
            <wp:docPr id="113801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10911" name=""/>
                    <pic:cNvPicPr/>
                  </pic:nvPicPr>
                  <pic:blipFill>
                    <a:blip r:embed="rId5"/>
                    <a:stretch>
                      <a:fillRect/>
                    </a:stretch>
                  </pic:blipFill>
                  <pic:spPr>
                    <a:xfrm>
                      <a:off x="0" y="0"/>
                      <a:ext cx="5876144" cy="1522397"/>
                    </a:xfrm>
                    <a:prstGeom prst="rect">
                      <a:avLst/>
                    </a:prstGeom>
                  </pic:spPr>
                </pic:pic>
              </a:graphicData>
            </a:graphic>
            <wp14:sizeRelH relativeFrom="page">
              <wp14:pctWidth>0</wp14:pctWidth>
            </wp14:sizeRelH>
            <wp14:sizeRelV relativeFrom="page">
              <wp14:pctHeight>0</wp14:pctHeight>
            </wp14:sizeRelV>
          </wp:anchor>
        </w:drawing>
      </w:r>
    </w:p>
    <w:p w14:paraId="16DFFAC7" w14:textId="0D6AECF3" w:rsidR="003C0D6E"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29A455E6" w14:textId="69C852D3"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20801579" w14:textId="3F4BB2F5"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6CC49048" w14:textId="77777777"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4BE00561" w14:textId="77777777"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p>
    <w:p w14:paraId="0D1B1449" w14:textId="77777777" w:rsidR="003C0D6E" w:rsidRPr="009B4D83" w:rsidRDefault="003C0D6E" w:rsidP="00D51F12">
      <w:pPr>
        <w:pStyle w:val="ListParagraph"/>
        <w:spacing w:after="0" w:line="480" w:lineRule="auto"/>
        <w:ind w:left="0" w:right="4"/>
        <w:jc w:val="both"/>
        <w:rPr>
          <w:rFonts w:ascii="Times New Roman" w:eastAsia="Times New Roman" w:hAnsi="Times New Roman" w:cs="Times New Roman"/>
          <w:color w:val="000000" w:themeColor="text1"/>
          <w:kern w:val="0"/>
          <w14:ligatures w14:val="none"/>
        </w:rPr>
      </w:pPr>
      <w:r w:rsidRPr="009B4D83">
        <w:rPr>
          <w:rFonts w:ascii="Times New Roman" w:eastAsia="Times New Roman" w:hAnsi="Times New Roman" w:cs="Times New Roman"/>
          <w:color w:val="000000" w:themeColor="text1"/>
          <w:kern w:val="0"/>
          <w14:ligatures w14:val="none"/>
        </w:rPr>
        <w:t xml:space="preserve">Scenario 1 serves as the unadjusted reference, assuming an inter-eye correlation of zero and treating all eyes as fully independent observations. Under this assumption, no statistical penalty is applied to studies reporting both eyes, and their reported sample sizes and standard errors are retained without modification (the same way the meta-analysis was conducted). Scenario 2 assumes a mild inter-eye correlation of 0.3, corresponding to a standard error multiplier of 1.14 </w:t>
      </w:r>
      <w:r w:rsidRPr="009B4D83">
        <w:rPr>
          <w:rFonts w:ascii="Times New Roman" w:eastAsia="Times New Roman" w:hAnsi="Times New Roman" w:cs="Times New Roman"/>
          <w:color w:val="000000" w:themeColor="text1"/>
          <w:kern w:val="0"/>
          <w14:ligatures w14:val="none"/>
        </w:rPr>
        <w:lastRenderedPageBreak/>
        <w:t>and a retention of approximately 77% of the nominal sample size, representing a small penalty to studies reporting both eyes. Scenario 3 assumes a moderate inter-eye correlation of 0.5, with a standard error multiplier of 1.22 and retaining approximately 67% of the nominal sample size. Scenario 4 assumes a strong inter-eye correlation of 0.7, producing a standard error multiplier of 1.30 and retaining approximately 59% of the nominal sample size, representing an adjustment appropriate for conditions with high bilateral symmetry, among which glaucoma could be included. Finally, Scenario 6 represents the theoretical upper bound, assuming perfect inter-eye correlation of 1.0, under which the two eyes of a single participant carry no more independent statistical information than a single eye alone. This yields a standard error multiplier of 1.41, retains 50% of the nominal sample size, and is mathematically equivalent to analysing only one eye per participant. We believe this approach allows the committee to appreciate the potential magnitude of bias introduced by treating clustered ocular data as independent, and the robustness of the pooled estimates across the spectrum of plausible inter-eye correlations.</w:t>
      </w:r>
    </w:p>
    <w:p w14:paraId="62E5E153" w14:textId="5D96F4F1"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28021ED2" w14:textId="11FD6F2F"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746526D1" w14:textId="58F18AF3"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678F1988" w14:textId="277FC01D"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77D36F1D" w14:textId="3274A6BA"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055A9D48" w14:textId="59DF8B5D"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00507C4C" w14:textId="7E0DB2E6"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2ABD185F" w14:textId="3674A509" w:rsidR="003C0D6E"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61FAA5EE" w14:textId="11C69901"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246DE5E1"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792D391E" w14:textId="07B6BF41"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r w:rsidRPr="009B4D83">
        <w:rPr>
          <w:rFonts w:ascii="Times New Roman" w:hAnsi="Times New Roman" w:cs="Times New Roman"/>
        </w:rPr>
        <w:lastRenderedPageBreak/>
        <w:drawing>
          <wp:anchor distT="0" distB="0" distL="114300" distR="114300" simplePos="0" relativeHeight="251662336" behindDoc="0" locked="0" layoutInCell="1" allowOverlap="1" wp14:anchorId="22B128CD" wp14:editId="5BB83FDD">
            <wp:simplePos x="0" y="0"/>
            <wp:positionH relativeFrom="column">
              <wp:posOffset>-117461</wp:posOffset>
            </wp:positionH>
            <wp:positionV relativeFrom="paragraph">
              <wp:posOffset>-505153</wp:posOffset>
            </wp:positionV>
            <wp:extent cx="6107413" cy="2392070"/>
            <wp:effectExtent l="0" t="0" r="1905" b="0"/>
            <wp:wrapNone/>
            <wp:docPr id="202162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2526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07413" cy="2392070"/>
                    </a:xfrm>
                    <a:prstGeom prst="rect">
                      <a:avLst/>
                    </a:prstGeom>
                  </pic:spPr>
                </pic:pic>
              </a:graphicData>
            </a:graphic>
            <wp14:sizeRelH relativeFrom="page">
              <wp14:pctWidth>0</wp14:pctWidth>
            </wp14:sizeRelH>
            <wp14:sizeRelV relativeFrom="page">
              <wp14:pctHeight>0</wp14:pctHeight>
            </wp14:sizeRelV>
          </wp:anchor>
        </w:drawing>
      </w:r>
    </w:p>
    <w:p w14:paraId="199FE6D1"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48E6BFF1"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5B035163"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66BE8677"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53329C02" w14:textId="77777777" w:rsidR="00537899"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514B8352" w14:textId="08D3D212" w:rsidR="003C0D6E" w:rsidRPr="00537899" w:rsidRDefault="003C0D6E" w:rsidP="00D51F12">
      <w:pPr>
        <w:spacing w:after="0" w:line="480" w:lineRule="auto"/>
        <w:ind w:right="4"/>
        <w:jc w:val="both"/>
        <w:rPr>
          <w:rFonts w:ascii="Times New Roman" w:hAnsi="Times New Roman" w:cs="Times New Roman"/>
        </w:rPr>
      </w:pPr>
      <w:proofErr w:type="spellStart"/>
      <w:r w:rsidRPr="009B4D83">
        <w:rPr>
          <w:rFonts w:ascii="Times New Roman" w:eastAsia="Times New Roman" w:hAnsi="Times New Roman" w:cs="Times New Roman"/>
          <w:b/>
          <w:bCs/>
          <w:color w:val="000000" w:themeColor="text1"/>
          <w:kern w:val="0"/>
          <w14:ligatures w14:val="none"/>
        </w:rPr>
        <w:t>Sensitiviy</w:t>
      </w:r>
      <w:proofErr w:type="spellEnd"/>
      <w:r w:rsidRPr="009B4D83">
        <w:rPr>
          <w:rFonts w:ascii="Times New Roman" w:eastAsia="Times New Roman" w:hAnsi="Times New Roman" w:cs="Times New Roman"/>
          <w:b/>
          <w:bCs/>
          <w:color w:val="000000" w:themeColor="text1"/>
          <w:kern w:val="0"/>
          <w14:ligatures w14:val="none"/>
        </w:rPr>
        <w:t xml:space="preserve"> Analysis 1:</w:t>
      </w:r>
      <w:r w:rsidRPr="009B4D83">
        <w:rPr>
          <w:rFonts w:ascii="Times New Roman" w:eastAsia="Times New Roman" w:hAnsi="Times New Roman" w:cs="Times New Roman"/>
          <w:color w:val="000000" w:themeColor="text1"/>
          <w:kern w:val="0"/>
          <w14:ligatures w14:val="none"/>
        </w:rPr>
        <w:t xml:space="preserve"> Pooled absolute mean difference in testing time (minutes) between Melbourne Rapid Fields (MRF) and Humphrey Field Analyzer (HFA) across varying assumptions of inter-eye correlation (ρ). The pooled estimate remains consistent, at approximately -1.33 minutes (95% CI: -1.74 to -0.93).</w:t>
      </w:r>
    </w:p>
    <w:p w14:paraId="58F9CF28" w14:textId="50D8B5F5"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028D20BB" w14:textId="24C95A29" w:rsidR="003C0D6E" w:rsidRPr="009B4D83" w:rsidRDefault="00537899" w:rsidP="00D51F12">
      <w:pPr>
        <w:spacing w:after="0" w:line="480" w:lineRule="auto"/>
        <w:ind w:right="4"/>
        <w:jc w:val="both"/>
        <w:rPr>
          <w:rFonts w:ascii="Times New Roman" w:eastAsia="Times New Roman" w:hAnsi="Times New Roman" w:cs="Times New Roman"/>
          <w:color w:val="000000" w:themeColor="text1"/>
          <w:kern w:val="0"/>
          <w14:ligatures w14:val="none"/>
        </w:rPr>
      </w:pPr>
      <w:r w:rsidRPr="009B4D83">
        <w:rPr>
          <w:rFonts w:ascii="Times New Roman" w:hAnsi="Times New Roman" w:cs="Times New Roman"/>
        </w:rPr>
        <w:drawing>
          <wp:anchor distT="0" distB="0" distL="114300" distR="114300" simplePos="0" relativeHeight="251663360" behindDoc="0" locked="0" layoutInCell="1" allowOverlap="1" wp14:anchorId="5E7F0651" wp14:editId="23F3D17C">
            <wp:simplePos x="0" y="0"/>
            <wp:positionH relativeFrom="column">
              <wp:posOffset>-9525</wp:posOffset>
            </wp:positionH>
            <wp:positionV relativeFrom="paragraph">
              <wp:posOffset>77622</wp:posOffset>
            </wp:positionV>
            <wp:extent cx="6141493" cy="2286000"/>
            <wp:effectExtent l="0" t="0" r="5715" b="0"/>
            <wp:wrapNone/>
            <wp:docPr id="18952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2464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1493" cy="2286000"/>
                    </a:xfrm>
                    <a:prstGeom prst="rect">
                      <a:avLst/>
                    </a:prstGeom>
                  </pic:spPr>
                </pic:pic>
              </a:graphicData>
            </a:graphic>
            <wp14:sizeRelH relativeFrom="page">
              <wp14:pctWidth>0</wp14:pctWidth>
            </wp14:sizeRelH>
            <wp14:sizeRelV relativeFrom="page">
              <wp14:pctHeight>0</wp14:pctHeight>
            </wp14:sizeRelV>
          </wp:anchor>
        </w:drawing>
      </w:r>
    </w:p>
    <w:p w14:paraId="7B2D4853"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133C804F"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13130D2D"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5CED2CD8"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11DE4ED6"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18831E98" w14:textId="77777777" w:rsidR="003C0D6E" w:rsidRPr="009B4D83" w:rsidRDefault="003C0D6E" w:rsidP="00D51F12">
      <w:pPr>
        <w:spacing w:after="0" w:line="480" w:lineRule="auto"/>
        <w:ind w:right="4"/>
        <w:jc w:val="both"/>
        <w:rPr>
          <w:rFonts w:ascii="Times New Roman" w:eastAsia="Times New Roman" w:hAnsi="Times New Roman" w:cs="Times New Roman"/>
          <w:color w:val="000000" w:themeColor="text1"/>
          <w:kern w:val="0"/>
          <w14:ligatures w14:val="none"/>
        </w:rPr>
      </w:pPr>
    </w:p>
    <w:p w14:paraId="60CCABF8" w14:textId="48021EFC" w:rsidR="003C0D6E" w:rsidRPr="009B4D83" w:rsidRDefault="003C0D6E" w:rsidP="00D51F12">
      <w:pPr>
        <w:pStyle w:val="ListParagraph"/>
        <w:spacing w:after="0" w:line="480" w:lineRule="auto"/>
        <w:ind w:left="0" w:right="4"/>
        <w:jc w:val="both"/>
        <w:rPr>
          <w:rFonts w:ascii="Times New Roman" w:hAnsi="Times New Roman" w:cs="Times New Roman"/>
        </w:rPr>
      </w:pPr>
      <w:r w:rsidRPr="009B4D83">
        <w:rPr>
          <w:rFonts w:ascii="Times New Roman" w:hAnsi="Times New Roman" w:cs="Times New Roman"/>
          <w:b/>
          <w:bCs/>
        </w:rPr>
        <w:t>Sensitivity analysis 2:</w:t>
      </w:r>
      <w:r w:rsidRPr="009B4D83">
        <w:rPr>
          <w:rFonts w:ascii="Times New Roman" w:hAnsi="Times New Roman" w:cs="Times New Roman"/>
        </w:rPr>
        <w:t xml:space="preserve"> Pooled absolute mean difference in MD (dB) between Melbourne Rapid Fields (MRF) and Humphrey Field Analyzer (HFA) with varying assumptions of inter-eye correlation (ρ). The pooled estimate remains consistent at 2.09-2.11 dB. Scenario 5, utilizes only single-eye studies (60% of data, with an estimate of 2.29 dB (95% CI: 1.59 to 2.98).</w:t>
      </w:r>
    </w:p>
    <w:p w14:paraId="1DFD601A"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1C5C9878" w14:textId="77777777" w:rsidR="003C0D6E" w:rsidRPr="009B4D83" w:rsidRDefault="003C0D6E" w:rsidP="00D51F12">
      <w:pPr>
        <w:pStyle w:val="ListParagraph"/>
        <w:spacing w:after="0" w:line="480" w:lineRule="auto"/>
        <w:ind w:left="0" w:right="4"/>
        <w:jc w:val="both"/>
        <w:rPr>
          <w:rFonts w:ascii="Times New Roman" w:hAnsi="Times New Roman" w:cs="Times New Roman"/>
        </w:rPr>
      </w:pPr>
      <w:r w:rsidRPr="009B4D83">
        <w:rPr>
          <w:rFonts w:ascii="Times New Roman" w:eastAsia="Times New Roman" w:hAnsi="Times New Roman" w:cs="Times New Roman"/>
          <w:color w:val="0070C0"/>
          <w:kern w:val="0"/>
          <w14:ligatures w14:val="none"/>
        </w:rPr>
        <w:lastRenderedPageBreak/>
        <w:drawing>
          <wp:anchor distT="0" distB="0" distL="114300" distR="114300" simplePos="0" relativeHeight="251661312" behindDoc="0" locked="0" layoutInCell="1" allowOverlap="1" wp14:anchorId="25F9D056" wp14:editId="2F6D95D3">
            <wp:simplePos x="0" y="0"/>
            <wp:positionH relativeFrom="column">
              <wp:posOffset>84583</wp:posOffset>
            </wp:positionH>
            <wp:positionV relativeFrom="paragraph">
              <wp:posOffset>-365838</wp:posOffset>
            </wp:positionV>
            <wp:extent cx="5943600" cy="2443480"/>
            <wp:effectExtent l="0" t="0" r="0" b="0"/>
            <wp:wrapNone/>
            <wp:docPr id="4666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50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43480"/>
                    </a:xfrm>
                    <a:prstGeom prst="rect">
                      <a:avLst/>
                    </a:prstGeom>
                  </pic:spPr>
                </pic:pic>
              </a:graphicData>
            </a:graphic>
            <wp14:sizeRelH relativeFrom="page">
              <wp14:pctWidth>0</wp14:pctWidth>
            </wp14:sizeRelH>
            <wp14:sizeRelV relativeFrom="page">
              <wp14:pctHeight>0</wp14:pctHeight>
            </wp14:sizeRelV>
          </wp:anchor>
        </w:drawing>
      </w:r>
    </w:p>
    <w:p w14:paraId="2751F0F6"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0D95DE25"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4977DD93"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167C29B8"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5ED69851" w14:textId="77777777" w:rsidR="003C0D6E" w:rsidRPr="009B4D83" w:rsidRDefault="003C0D6E" w:rsidP="00D51F12">
      <w:pPr>
        <w:pStyle w:val="ListParagraph"/>
        <w:spacing w:after="0" w:line="480" w:lineRule="auto"/>
        <w:ind w:left="0" w:right="4"/>
        <w:jc w:val="both"/>
        <w:rPr>
          <w:rFonts w:ascii="Times New Roman" w:hAnsi="Times New Roman" w:cs="Times New Roman"/>
        </w:rPr>
      </w:pPr>
    </w:p>
    <w:p w14:paraId="1930466C" w14:textId="1A198736" w:rsidR="003C0D6E" w:rsidRDefault="003C0D6E" w:rsidP="00D51F12">
      <w:pPr>
        <w:pStyle w:val="ListParagraph"/>
        <w:spacing w:after="0" w:line="480" w:lineRule="auto"/>
        <w:ind w:left="0" w:right="4"/>
        <w:jc w:val="both"/>
        <w:rPr>
          <w:rFonts w:ascii="Times New Roman" w:eastAsia="Times New Roman" w:hAnsi="Times New Roman" w:cs="Times New Roman"/>
          <w:color w:val="000000"/>
          <w:kern w:val="0"/>
          <w14:ligatures w14:val="none"/>
        </w:rPr>
      </w:pPr>
      <w:r w:rsidRPr="009B4D83">
        <w:rPr>
          <w:rFonts w:ascii="Times New Roman" w:eastAsia="Times New Roman" w:hAnsi="Times New Roman" w:cs="Times New Roman"/>
          <w:b/>
          <w:bCs/>
          <w:color w:val="000000"/>
          <w:kern w:val="0"/>
          <w14:ligatures w14:val="none"/>
        </w:rPr>
        <w:t>Sensitivity analysis 3.</w:t>
      </w:r>
      <w:r w:rsidRPr="009B4D83">
        <w:rPr>
          <w:rFonts w:ascii="Times New Roman" w:eastAsia="Times New Roman" w:hAnsi="Times New Roman" w:cs="Times New Roman"/>
          <w:color w:val="000000"/>
          <w:kern w:val="0"/>
          <w14:ligatures w14:val="none"/>
        </w:rPr>
        <w:t xml:space="preserve"> Pooled mean difference in PSD (dB) between Melbourne Rapid Fields (MRF) and Humphrey Field Analyzer (HFA) across varying assumptions of inter-eye correlation (ρ). The pooled estimate was consistently around 0.77 dB (95% CI: 0.10 to 1.44) across all correlation scenarios, except for Scenario 5, which included only studies reporting a single eye per participant (losing approximately 40% of the total data).</w:t>
      </w:r>
    </w:p>
    <w:p w14:paraId="1A25297C" w14:textId="77777777" w:rsidR="00537899" w:rsidRPr="009B4D83" w:rsidRDefault="00537899" w:rsidP="00D51F12">
      <w:pPr>
        <w:pStyle w:val="ListParagraph"/>
        <w:spacing w:after="0" w:line="480" w:lineRule="auto"/>
        <w:ind w:left="0" w:right="4"/>
        <w:jc w:val="both"/>
        <w:rPr>
          <w:rFonts w:ascii="Times New Roman" w:eastAsia="Times New Roman" w:hAnsi="Times New Roman" w:cs="Times New Roman"/>
          <w:color w:val="000000"/>
          <w:kern w:val="0"/>
          <w14:ligatures w14:val="none"/>
        </w:rPr>
      </w:pPr>
    </w:p>
    <w:p w14:paraId="296F0A88" w14:textId="0DE53C69" w:rsidR="00537899" w:rsidRDefault="003C0D6E" w:rsidP="00537899">
      <w:pPr>
        <w:pStyle w:val="ListParagraph"/>
        <w:spacing w:after="0" w:line="480" w:lineRule="auto"/>
        <w:ind w:left="0" w:right="4"/>
        <w:jc w:val="both"/>
        <w:rPr>
          <w:rFonts w:ascii="Times New Roman" w:eastAsia="Times New Roman" w:hAnsi="Times New Roman" w:cs="Times New Roman"/>
          <w:color w:val="000000"/>
          <w:kern w:val="0"/>
          <w14:ligatures w14:val="none"/>
        </w:rPr>
      </w:pPr>
      <w:r w:rsidRPr="009B4D83">
        <w:rPr>
          <w:rFonts w:ascii="Times New Roman" w:eastAsia="Times New Roman" w:hAnsi="Times New Roman" w:cs="Times New Roman"/>
          <w:color w:val="000000"/>
          <w:kern w:val="0"/>
          <w14:ligatures w14:val="none"/>
        </w:rPr>
        <w:t>Results of this post-hoc sensitivity analysis, conducted in response to</w:t>
      </w:r>
      <w:r>
        <w:rPr>
          <w:rFonts w:ascii="Times New Roman" w:eastAsia="Times New Roman" w:hAnsi="Times New Roman" w:cs="Times New Roman"/>
          <w:color w:val="000000"/>
          <w:kern w:val="0"/>
          <w14:ligatures w14:val="none"/>
        </w:rPr>
        <w:t xml:space="preserve"> the</w:t>
      </w:r>
      <w:r w:rsidRPr="009B4D83">
        <w:rPr>
          <w:rFonts w:ascii="Times New Roman" w:eastAsia="Times New Roman" w:hAnsi="Times New Roman" w:cs="Times New Roman"/>
          <w:color w:val="000000"/>
          <w:kern w:val="0"/>
          <w14:ligatures w14:val="none"/>
        </w:rPr>
        <w:t xml:space="preserve"> review</w:t>
      </w:r>
      <w:r>
        <w:rPr>
          <w:rFonts w:ascii="Times New Roman" w:eastAsia="Times New Roman" w:hAnsi="Times New Roman" w:cs="Times New Roman"/>
          <w:color w:val="000000"/>
          <w:kern w:val="0"/>
          <w14:ligatures w14:val="none"/>
        </w:rPr>
        <w:t>ers’ comments,</w:t>
      </w:r>
      <w:r w:rsidRPr="009B4D83">
        <w:rPr>
          <w:rFonts w:ascii="Times New Roman" w:eastAsia="Times New Roman" w:hAnsi="Times New Roman" w:cs="Times New Roman"/>
          <w:color w:val="000000"/>
          <w:kern w:val="0"/>
          <w14:ligatures w14:val="none"/>
        </w:rPr>
        <w:t xml:space="preserve"> indicate with a reasonable degree of certainty that the pooled effect sizes remain consistent in direction and magnitude. This suggests that the primary findings described in the original manuscript are robust and consistent, despite the potential for variance shrinkage introduced by bilateral data without appropriate clustering adjustments.</w:t>
      </w:r>
    </w:p>
    <w:p w14:paraId="789DB741" w14:textId="77777777" w:rsidR="00E95CAF" w:rsidRPr="00537899" w:rsidRDefault="00E95CAF" w:rsidP="00537899">
      <w:pPr>
        <w:pStyle w:val="ListParagraph"/>
        <w:spacing w:after="0" w:line="480" w:lineRule="auto"/>
        <w:ind w:left="0" w:right="4"/>
        <w:jc w:val="both"/>
        <w:rPr>
          <w:rFonts w:ascii="Times New Roman" w:eastAsia="Times New Roman" w:hAnsi="Times New Roman" w:cs="Times New Roman"/>
          <w:color w:val="000000"/>
          <w:kern w:val="0"/>
          <w14:ligatures w14:val="none"/>
        </w:rPr>
      </w:pPr>
    </w:p>
    <w:p w14:paraId="3F3CDE26" w14:textId="77777777" w:rsidR="00E95CAF" w:rsidRDefault="00537899" w:rsidP="00E95CAF">
      <w:pPr>
        <w:pStyle w:val="ListParagraph"/>
        <w:spacing w:after="0" w:line="480" w:lineRule="auto"/>
        <w:ind w:left="0" w:right="4"/>
        <w:jc w:val="both"/>
        <w:rPr>
          <w:rFonts w:ascii="Times New Roman" w:eastAsia="Times New Roman" w:hAnsi="Times New Roman" w:cs="Times New Roman"/>
          <w:b/>
          <w:bCs/>
          <w:color w:val="000000"/>
          <w:kern w:val="0"/>
          <w14:ligatures w14:val="none"/>
        </w:rPr>
      </w:pPr>
      <w:r w:rsidRPr="00537899">
        <w:rPr>
          <w:rFonts w:ascii="Times New Roman" w:eastAsia="Times New Roman" w:hAnsi="Times New Roman" w:cs="Times New Roman"/>
          <w:b/>
          <w:bCs/>
          <w:color w:val="000000"/>
          <w:kern w:val="0"/>
          <w14:ligatures w14:val="none"/>
        </w:rPr>
        <w:t>References:</w:t>
      </w:r>
    </w:p>
    <w:p w14:paraId="11261EF3" w14:textId="43CEA537" w:rsidR="00537899" w:rsidRPr="00E95CAF" w:rsidRDefault="00537899" w:rsidP="00E95CAF">
      <w:pPr>
        <w:pStyle w:val="ListParagraph"/>
        <w:spacing w:after="0" w:line="480" w:lineRule="auto"/>
        <w:ind w:left="0" w:right="4"/>
        <w:rPr>
          <w:rFonts w:ascii="Times New Roman" w:eastAsia="Times New Roman" w:hAnsi="Times New Roman" w:cs="Times New Roman"/>
          <w:b/>
          <w:bCs/>
          <w:color w:val="000000"/>
          <w:kern w:val="0"/>
          <w14:ligatures w14:val="none"/>
        </w:rPr>
      </w:pPr>
      <w:r w:rsidRPr="00537899">
        <w:rPr>
          <w:color w:val="000000"/>
          <w:sz w:val="20"/>
          <w:szCs w:val="20"/>
          <w:lang w:val="en-AU"/>
        </w:rPr>
        <w:fldChar w:fldCharType="begin"/>
      </w:r>
      <w:r w:rsidRPr="00537899">
        <w:rPr>
          <w:color w:val="000000"/>
          <w:sz w:val="20"/>
          <w:szCs w:val="20"/>
          <w:lang w:val="en-AU"/>
        </w:rPr>
        <w:instrText xml:space="preserve"> ADDIN ZOTERO_BIBL {"uncited":[],"omitted":[],"custom":[]} CSL_BIBLIOGRAPHY </w:instrText>
      </w:r>
      <w:r w:rsidRPr="00537899">
        <w:rPr>
          <w:color w:val="000000"/>
          <w:sz w:val="20"/>
          <w:szCs w:val="20"/>
          <w:lang w:val="en-AU"/>
        </w:rPr>
        <w:fldChar w:fldCharType="separate"/>
      </w:r>
      <w:r w:rsidRPr="00537899">
        <w:rPr>
          <w:rFonts w:ascii="Times New Roman" w:hAnsi="Times New Roman" w:cs="Times New Roman"/>
          <w:color w:val="000000"/>
          <w:sz w:val="20"/>
          <w:szCs w:val="20"/>
          <w:lang w:val="en-US"/>
        </w:rPr>
        <w:t>1.</w:t>
      </w:r>
      <w:r w:rsidRPr="00537899">
        <w:rPr>
          <w:rFonts w:ascii="Times New Roman" w:hAnsi="Times New Roman" w:cs="Times New Roman"/>
          <w:color w:val="000000"/>
          <w:sz w:val="20"/>
          <w:szCs w:val="20"/>
          <w:lang w:val="en-US"/>
        </w:rPr>
        <w:tab/>
        <w:t>Armstrong RA. Statistical guidelines for the analysis of data obtained from one or both eyes. Ophthalmic</w:t>
      </w:r>
      <w:r w:rsidR="00E95CAF">
        <w:rPr>
          <w:rFonts w:ascii="Times New Roman" w:hAnsi="Times New Roman" w:cs="Times New Roman"/>
          <w:color w:val="000000"/>
          <w:sz w:val="20"/>
          <w:szCs w:val="20"/>
          <w:lang w:val="en-US"/>
        </w:rPr>
        <w:t xml:space="preserve"> </w:t>
      </w:r>
      <w:proofErr w:type="spellStart"/>
      <w:r w:rsidRPr="00537899">
        <w:rPr>
          <w:rFonts w:ascii="Times New Roman" w:hAnsi="Times New Roman" w:cs="Times New Roman"/>
          <w:color w:val="000000"/>
          <w:sz w:val="20"/>
          <w:szCs w:val="20"/>
          <w:lang w:val="en-US"/>
        </w:rPr>
        <w:t>Physiol</w:t>
      </w:r>
      <w:proofErr w:type="spellEnd"/>
      <w:r w:rsidRPr="00537899">
        <w:rPr>
          <w:rFonts w:ascii="Times New Roman" w:hAnsi="Times New Roman" w:cs="Times New Roman"/>
          <w:color w:val="000000"/>
          <w:sz w:val="20"/>
          <w:szCs w:val="20"/>
          <w:lang w:val="en-US"/>
        </w:rPr>
        <w:t xml:space="preserve"> Opt. 2013 Jan;33(1):7–14. doi:10.1111/opo.12009 PubMed PMID: 23252852.</w:t>
      </w:r>
    </w:p>
    <w:p w14:paraId="7E7E0998" w14:textId="77777777" w:rsidR="00537899" w:rsidRPr="00537899" w:rsidRDefault="00537899" w:rsidP="00E95CAF">
      <w:pPr>
        <w:pStyle w:val="Bibliography"/>
        <w:rPr>
          <w:rFonts w:ascii="Times New Roman" w:hAnsi="Times New Roman" w:cs="Times New Roman"/>
          <w:color w:val="000000"/>
          <w:sz w:val="20"/>
          <w:szCs w:val="20"/>
          <w:lang w:val="en-US"/>
        </w:rPr>
      </w:pPr>
      <w:r w:rsidRPr="00537899">
        <w:rPr>
          <w:rFonts w:ascii="Times New Roman" w:hAnsi="Times New Roman" w:cs="Times New Roman"/>
          <w:color w:val="000000"/>
          <w:sz w:val="20"/>
          <w:szCs w:val="20"/>
          <w:lang w:val="en-US"/>
        </w:rPr>
        <w:t>2.</w:t>
      </w:r>
      <w:r w:rsidRPr="00537899">
        <w:rPr>
          <w:rFonts w:ascii="Times New Roman" w:hAnsi="Times New Roman" w:cs="Times New Roman"/>
          <w:color w:val="000000"/>
          <w:sz w:val="20"/>
          <w:szCs w:val="20"/>
          <w:lang w:val="en-US"/>
        </w:rPr>
        <w:tab/>
        <w:t xml:space="preserve">Teng B, Li D, Choi EY, Shen LQ, Pasquale LR, Boland MV, et al. Inter-Eye Association of Visual Field Defects in Glaucoma and Its Clinical Utility. </w:t>
      </w:r>
      <w:proofErr w:type="spellStart"/>
      <w:r w:rsidRPr="00537899">
        <w:rPr>
          <w:rFonts w:ascii="Times New Roman" w:hAnsi="Times New Roman" w:cs="Times New Roman"/>
          <w:color w:val="000000"/>
          <w:sz w:val="20"/>
          <w:szCs w:val="20"/>
          <w:lang w:val="en-US"/>
        </w:rPr>
        <w:t>Transl</w:t>
      </w:r>
      <w:proofErr w:type="spellEnd"/>
      <w:r w:rsidRPr="00537899">
        <w:rPr>
          <w:rFonts w:ascii="Times New Roman" w:hAnsi="Times New Roman" w:cs="Times New Roman"/>
          <w:color w:val="000000"/>
          <w:sz w:val="20"/>
          <w:szCs w:val="20"/>
          <w:lang w:val="en-US"/>
        </w:rPr>
        <w:t xml:space="preserve"> Vis Sci Technol. 2020 Nov 17;9(12):22. doi:10.1167/tvst.9.12.22 PubMed PMID: 33244442; PubMed Central PMCID: PMC7683854.</w:t>
      </w:r>
    </w:p>
    <w:p w14:paraId="116A16FB" w14:textId="6A2BDC0C" w:rsidR="00B36AA9" w:rsidRPr="00537899" w:rsidRDefault="00537899" w:rsidP="00537899">
      <w:pPr>
        <w:pStyle w:val="NormalWeb"/>
        <w:ind w:right="4"/>
        <w:jc w:val="both"/>
        <w:rPr>
          <w:color w:val="000000"/>
        </w:rPr>
      </w:pPr>
      <w:r w:rsidRPr="00537899">
        <w:rPr>
          <w:color w:val="000000"/>
          <w:sz w:val="20"/>
          <w:szCs w:val="20"/>
          <w:lang w:val="en-AU"/>
        </w:rPr>
        <w:fldChar w:fldCharType="end"/>
      </w:r>
    </w:p>
    <w:sectPr w:rsidR="00B36AA9" w:rsidRPr="00537899" w:rsidSect="003C0D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3" w:usb1="1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6E"/>
    <w:rsid w:val="000039CE"/>
    <w:rsid w:val="0001013A"/>
    <w:rsid w:val="00010542"/>
    <w:rsid w:val="00010AC3"/>
    <w:rsid w:val="00010C71"/>
    <w:rsid w:val="000141B6"/>
    <w:rsid w:val="000143A9"/>
    <w:rsid w:val="00015B47"/>
    <w:rsid w:val="00017EB8"/>
    <w:rsid w:val="00020662"/>
    <w:rsid w:val="000216A7"/>
    <w:rsid w:val="000222DD"/>
    <w:rsid w:val="000222FC"/>
    <w:rsid w:val="00025304"/>
    <w:rsid w:val="000300DC"/>
    <w:rsid w:val="000301BA"/>
    <w:rsid w:val="00030A36"/>
    <w:rsid w:val="00030CAF"/>
    <w:rsid w:val="00031BE7"/>
    <w:rsid w:val="000326FD"/>
    <w:rsid w:val="00033B3B"/>
    <w:rsid w:val="00033D32"/>
    <w:rsid w:val="00034908"/>
    <w:rsid w:val="00035A35"/>
    <w:rsid w:val="000372CB"/>
    <w:rsid w:val="00037520"/>
    <w:rsid w:val="00043314"/>
    <w:rsid w:val="000454BC"/>
    <w:rsid w:val="0004590F"/>
    <w:rsid w:val="00052AE4"/>
    <w:rsid w:val="00065CD2"/>
    <w:rsid w:val="00066D4E"/>
    <w:rsid w:val="00067025"/>
    <w:rsid w:val="00067BE5"/>
    <w:rsid w:val="00071B8C"/>
    <w:rsid w:val="00071D6A"/>
    <w:rsid w:val="00074D45"/>
    <w:rsid w:val="00077658"/>
    <w:rsid w:val="0008257C"/>
    <w:rsid w:val="00082AE0"/>
    <w:rsid w:val="00085E78"/>
    <w:rsid w:val="000870E5"/>
    <w:rsid w:val="0009698D"/>
    <w:rsid w:val="000971A4"/>
    <w:rsid w:val="0009742F"/>
    <w:rsid w:val="000A0AA6"/>
    <w:rsid w:val="000A195D"/>
    <w:rsid w:val="000A359F"/>
    <w:rsid w:val="000A624E"/>
    <w:rsid w:val="000A67D6"/>
    <w:rsid w:val="000A79B2"/>
    <w:rsid w:val="000B0A3C"/>
    <w:rsid w:val="000B3DF4"/>
    <w:rsid w:val="000B4065"/>
    <w:rsid w:val="000B46E2"/>
    <w:rsid w:val="000B4C34"/>
    <w:rsid w:val="000C6E46"/>
    <w:rsid w:val="000C752F"/>
    <w:rsid w:val="000D19D3"/>
    <w:rsid w:val="000D1C6E"/>
    <w:rsid w:val="000D2980"/>
    <w:rsid w:val="000D4427"/>
    <w:rsid w:val="000D5BDA"/>
    <w:rsid w:val="000D74AB"/>
    <w:rsid w:val="000F0054"/>
    <w:rsid w:val="000F14ED"/>
    <w:rsid w:val="000F25C0"/>
    <w:rsid w:val="000F5855"/>
    <w:rsid w:val="000F6EF2"/>
    <w:rsid w:val="00100A33"/>
    <w:rsid w:val="0010168C"/>
    <w:rsid w:val="001021E9"/>
    <w:rsid w:val="0010366E"/>
    <w:rsid w:val="00104920"/>
    <w:rsid w:val="00106E3E"/>
    <w:rsid w:val="0011240C"/>
    <w:rsid w:val="00117547"/>
    <w:rsid w:val="00120AAC"/>
    <w:rsid w:val="00121440"/>
    <w:rsid w:val="00123F95"/>
    <w:rsid w:val="00124433"/>
    <w:rsid w:val="0012554D"/>
    <w:rsid w:val="0012596D"/>
    <w:rsid w:val="00131FF3"/>
    <w:rsid w:val="0013580A"/>
    <w:rsid w:val="001359EA"/>
    <w:rsid w:val="00137CF0"/>
    <w:rsid w:val="00141356"/>
    <w:rsid w:val="00141B4E"/>
    <w:rsid w:val="00153BE7"/>
    <w:rsid w:val="0015443A"/>
    <w:rsid w:val="00154808"/>
    <w:rsid w:val="001573B9"/>
    <w:rsid w:val="00157A70"/>
    <w:rsid w:val="00163998"/>
    <w:rsid w:val="00170CFA"/>
    <w:rsid w:val="00170E53"/>
    <w:rsid w:val="0017266E"/>
    <w:rsid w:val="001745BB"/>
    <w:rsid w:val="00180B26"/>
    <w:rsid w:val="00186906"/>
    <w:rsid w:val="0019032B"/>
    <w:rsid w:val="00192378"/>
    <w:rsid w:val="001939B9"/>
    <w:rsid w:val="00196B80"/>
    <w:rsid w:val="001A6E56"/>
    <w:rsid w:val="001A7C20"/>
    <w:rsid w:val="001A7C64"/>
    <w:rsid w:val="001A7C73"/>
    <w:rsid w:val="001A7D3F"/>
    <w:rsid w:val="001B1EF6"/>
    <w:rsid w:val="001B2C41"/>
    <w:rsid w:val="001B2CEC"/>
    <w:rsid w:val="001B36BA"/>
    <w:rsid w:val="001B36FE"/>
    <w:rsid w:val="001B39F1"/>
    <w:rsid w:val="001B6509"/>
    <w:rsid w:val="001B68F8"/>
    <w:rsid w:val="001C0521"/>
    <w:rsid w:val="001C133C"/>
    <w:rsid w:val="001C4861"/>
    <w:rsid w:val="001C4977"/>
    <w:rsid w:val="001C643E"/>
    <w:rsid w:val="001D23C0"/>
    <w:rsid w:val="001D347A"/>
    <w:rsid w:val="001D7730"/>
    <w:rsid w:val="001D7891"/>
    <w:rsid w:val="001E046A"/>
    <w:rsid w:val="001E10D2"/>
    <w:rsid w:val="001F5A1C"/>
    <w:rsid w:val="00202096"/>
    <w:rsid w:val="00202655"/>
    <w:rsid w:val="00203D87"/>
    <w:rsid w:val="002066AD"/>
    <w:rsid w:val="00211987"/>
    <w:rsid w:val="00214E0F"/>
    <w:rsid w:val="00215493"/>
    <w:rsid w:val="0022058D"/>
    <w:rsid w:val="00221C8D"/>
    <w:rsid w:val="00224A3A"/>
    <w:rsid w:val="00227B6F"/>
    <w:rsid w:val="002302C9"/>
    <w:rsid w:val="0024019B"/>
    <w:rsid w:val="00241549"/>
    <w:rsid w:val="00242BA9"/>
    <w:rsid w:val="00243F87"/>
    <w:rsid w:val="00244142"/>
    <w:rsid w:val="0024720F"/>
    <w:rsid w:val="00250E48"/>
    <w:rsid w:val="00250F8D"/>
    <w:rsid w:val="00252FB9"/>
    <w:rsid w:val="00257991"/>
    <w:rsid w:val="00263478"/>
    <w:rsid w:val="002711F0"/>
    <w:rsid w:val="00272A48"/>
    <w:rsid w:val="00275195"/>
    <w:rsid w:val="00275C7B"/>
    <w:rsid w:val="00276054"/>
    <w:rsid w:val="00276743"/>
    <w:rsid w:val="00276AB7"/>
    <w:rsid w:val="0028267B"/>
    <w:rsid w:val="002855F9"/>
    <w:rsid w:val="002865A5"/>
    <w:rsid w:val="00295D91"/>
    <w:rsid w:val="00296C6E"/>
    <w:rsid w:val="00297327"/>
    <w:rsid w:val="00297C52"/>
    <w:rsid w:val="002A1710"/>
    <w:rsid w:val="002A29B9"/>
    <w:rsid w:val="002A38E3"/>
    <w:rsid w:val="002A55F7"/>
    <w:rsid w:val="002A6248"/>
    <w:rsid w:val="002A77D7"/>
    <w:rsid w:val="002B01BF"/>
    <w:rsid w:val="002B264E"/>
    <w:rsid w:val="002B4492"/>
    <w:rsid w:val="002B6D06"/>
    <w:rsid w:val="002C35AA"/>
    <w:rsid w:val="002C68CA"/>
    <w:rsid w:val="002C7E4F"/>
    <w:rsid w:val="002D0F1D"/>
    <w:rsid w:val="002D1E2A"/>
    <w:rsid w:val="002D57A8"/>
    <w:rsid w:val="002E2810"/>
    <w:rsid w:val="002E2EDE"/>
    <w:rsid w:val="002E47B9"/>
    <w:rsid w:val="002E4E62"/>
    <w:rsid w:val="002E5B41"/>
    <w:rsid w:val="002F23DF"/>
    <w:rsid w:val="002F573A"/>
    <w:rsid w:val="002F5951"/>
    <w:rsid w:val="002F670F"/>
    <w:rsid w:val="002F6CFB"/>
    <w:rsid w:val="002F7661"/>
    <w:rsid w:val="003004B3"/>
    <w:rsid w:val="00300EFF"/>
    <w:rsid w:val="00301C5A"/>
    <w:rsid w:val="003052CF"/>
    <w:rsid w:val="003111FB"/>
    <w:rsid w:val="00311612"/>
    <w:rsid w:val="00312A07"/>
    <w:rsid w:val="0031584E"/>
    <w:rsid w:val="00320EF8"/>
    <w:rsid w:val="00337351"/>
    <w:rsid w:val="00337718"/>
    <w:rsid w:val="003403EC"/>
    <w:rsid w:val="00346224"/>
    <w:rsid w:val="00346F3D"/>
    <w:rsid w:val="0034716F"/>
    <w:rsid w:val="0035032B"/>
    <w:rsid w:val="0035109B"/>
    <w:rsid w:val="00360A07"/>
    <w:rsid w:val="00376AB6"/>
    <w:rsid w:val="00380306"/>
    <w:rsid w:val="00384131"/>
    <w:rsid w:val="0038650B"/>
    <w:rsid w:val="00390BC3"/>
    <w:rsid w:val="00392C70"/>
    <w:rsid w:val="003A1922"/>
    <w:rsid w:val="003A7819"/>
    <w:rsid w:val="003A79D0"/>
    <w:rsid w:val="003B4B36"/>
    <w:rsid w:val="003B5515"/>
    <w:rsid w:val="003C0409"/>
    <w:rsid w:val="003C0D6E"/>
    <w:rsid w:val="003C10BF"/>
    <w:rsid w:val="003C1CBE"/>
    <w:rsid w:val="003C1DF5"/>
    <w:rsid w:val="003C23F7"/>
    <w:rsid w:val="003C29BF"/>
    <w:rsid w:val="003C71AB"/>
    <w:rsid w:val="003D384C"/>
    <w:rsid w:val="003D4358"/>
    <w:rsid w:val="003D5179"/>
    <w:rsid w:val="003D51BC"/>
    <w:rsid w:val="003D5AF9"/>
    <w:rsid w:val="003E057D"/>
    <w:rsid w:val="003E0DF1"/>
    <w:rsid w:val="003E1F1A"/>
    <w:rsid w:val="003E6B96"/>
    <w:rsid w:val="003F35B3"/>
    <w:rsid w:val="003F569D"/>
    <w:rsid w:val="003F7348"/>
    <w:rsid w:val="004011E6"/>
    <w:rsid w:val="004026E3"/>
    <w:rsid w:val="00404B73"/>
    <w:rsid w:val="00405344"/>
    <w:rsid w:val="004108E9"/>
    <w:rsid w:val="00412FB5"/>
    <w:rsid w:val="004207B2"/>
    <w:rsid w:val="0042188C"/>
    <w:rsid w:val="00426CCC"/>
    <w:rsid w:val="00426F54"/>
    <w:rsid w:val="00430ECD"/>
    <w:rsid w:val="00432E25"/>
    <w:rsid w:val="00433A99"/>
    <w:rsid w:val="0043454B"/>
    <w:rsid w:val="00436243"/>
    <w:rsid w:val="00436761"/>
    <w:rsid w:val="004474C8"/>
    <w:rsid w:val="004500CB"/>
    <w:rsid w:val="004501DB"/>
    <w:rsid w:val="00451778"/>
    <w:rsid w:val="004521CD"/>
    <w:rsid w:val="0045518D"/>
    <w:rsid w:val="00457A75"/>
    <w:rsid w:val="004612CD"/>
    <w:rsid w:val="004622B5"/>
    <w:rsid w:val="004644BD"/>
    <w:rsid w:val="004648F2"/>
    <w:rsid w:val="00467BE8"/>
    <w:rsid w:val="00467C08"/>
    <w:rsid w:val="004702CA"/>
    <w:rsid w:val="00470EA3"/>
    <w:rsid w:val="0047123D"/>
    <w:rsid w:val="004733EA"/>
    <w:rsid w:val="00473EFA"/>
    <w:rsid w:val="00481BAE"/>
    <w:rsid w:val="00483BD1"/>
    <w:rsid w:val="004846E7"/>
    <w:rsid w:val="0048633C"/>
    <w:rsid w:val="00487D20"/>
    <w:rsid w:val="0049091F"/>
    <w:rsid w:val="00491B5E"/>
    <w:rsid w:val="0049235A"/>
    <w:rsid w:val="004940D7"/>
    <w:rsid w:val="00494403"/>
    <w:rsid w:val="004955C8"/>
    <w:rsid w:val="00495C61"/>
    <w:rsid w:val="004A29E8"/>
    <w:rsid w:val="004A755F"/>
    <w:rsid w:val="004A7DF3"/>
    <w:rsid w:val="004B0C94"/>
    <w:rsid w:val="004B0CB0"/>
    <w:rsid w:val="004B0E2C"/>
    <w:rsid w:val="004B40F9"/>
    <w:rsid w:val="004B745B"/>
    <w:rsid w:val="004D21EB"/>
    <w:rsid w:val="004D3275"/>
    <w:rsid w:val="004D3F4D"/>
    <w:rsid w:val="004D42B5"/>
    <w:rsid w:val="004D4F24"/>
    <w:rsid w:val="004D55CA"/>
    <w:rsid w:val="004D7C8E"/>
    <w:rsid w:val="004E158A"/>
    <w:rsid w:val="004E22EC"/>
    <w:rsid w:val="004E3188"/>
    <w:rsid w:val="004E3253"/>
    <w:rsid w:val="004E3814"/>
    <w:rsid w:val="004E70FC"/>
    <w:rsid w:val="004E7D30"/>
    <w:rsid w:val="004F07FA"/>
    <w:rsid w:val="004F18F0"/>
    <w:rsid w:val="004F2CC7"/>
    <w:rsid w:val="004F452D"/>
    <w:rsid w:val="004F4FF5"/>
    <w:rsid w:val="004F6CFD"/>
    <w:rsid w:val="004F7650"/>
    <w:rsid w:val="004F7997"/>
    <w:rsid w:val="00501919"/>
    <w:rsid w:val="005025F1"/>
    <w:rsid w:val="00503C2D"/>
    <w:rsid w:val="00503E9C"/>
    <w:rsid w:val="005043D6"/>
    <w:rsid w:val="005048FE"/>
    <w:rsid w:val="00510AB8"/>
    <w:rsid w:val="00511E78"/>
    <w:rsid w:val="0051549A"/>
    <w:rsid w:val="005200C8"/>
    <w:rsid w:val="00520191"/>
    <w:rsid w:val="005221E9"/>
    <w:rsid w:val="00522AA7"/>
    <w:rsid w:val="00523D1B"/>
    <w:rsid w:val="00527F67"/>
    <w:rsid w:val="00530BB7"/>
    <w:rsid w:val="00531424"/>
    <w:rsid w:val="00531CB1"/>
    <w:rsid w:val="00532563"/>
    <w:rsid w:val="005332F2"/>
    <w:rsid w:val="00533501"/>
    <w:rsid w:val="0053360A"/>
    <w:rsid w:val="0053565A"/>
    <w:rsid w:val="00536495"/>
    <w:rsid w:val="00537899"/>
    <w:rsid w:val="005400EB"/>
    <w:rsid w:val="00541639"/>
    <w:rsid w:val="00552638"/>
    <w:rsid w:val="00556602"/>
    <w:rsid w:val="00557139"/>
    <w:rsid w:val="00561568"/>
    <w:rsid w:val="005630CC"/>
    <w:rsid w:val="005643E7"/>
    <w:rsid w:val="00566055"/>
    <w:rsid w:val="005671AC"/>
    <w:rsid w:val="005720BB"/>
    <w:rsid w:val="00573A42"/>
    <w:rsid w:val="0057680E"/>
    <w:rsid w:val="00577372"/>
    <w:rsid w:val="005773D5"/>
    <w:rsid w:val="005806C4"/>
    <w:rsid w:val="005832AB"/>
    <w:rsid w:val="005846D7"/>
    <w:rsid w:val="00590180"/>
    <w:rsid w:val="0059282A"/>
    <w:rsid w:val="005A146C"/>
    <w:rsid w:val="005A1A18"/>
    <w:rsid w:val="005A2CF7"/>
    <w:rsid w:val="005A5863"/>
    <w:rsid w:val="005B07AA"/>
    <w:rsid w:val="005B0D72"/>
    <w:rsid w:val="005B0F3E"/>
    <w:rsid w:val="005B208A"/>
    <w:rsid w:val="005B2855"/>
    <w:rsid w:val="005B4DCA"/>
    <w:rsid w:val="005C05BA"/>
    <w:rsid w:val="005C48DD"/>
    <w:rsid w:val="005C4C43"/>
    <w:rsid w:val="005C7707"/>
    <w:rsid w:val="005C7850"/>
    <w:rsid w:val="005D084E"/>
    <w:rsid w:val="005D2567"/>
    <w:rsid w:val="005D2B2A"/>
    <w:rsid w:val="005D3778"/>
    <w:rsid w:val="005D3F4B"/>
    <w:rsid w:val="005D74A0"/>
    <w:rsid w:val="005E0691"/>
    <w:rsid w:val="005E6045"/>
    <w:rsid w:val="005F0F41"/>
    <w:rsid w:val="005F60F9"/>
    <w:rsid w:val="005F722E"/>
    <w:rsid w:val="00601B43"/>
    <w:rsid w:val="00602FE1"/>
    <w:rsid w:val="00605170"/>
    <w:rsid w:val="00606DE6"/>
    <w:rsid w:val="006104A1"/>
    <w:rsid w:val="00611A70"/>
    <w:rsid w:val="00611C8C"/>
    <w:rsid w:val="006127B4"/>
    <w:rsid w:val="00615CC3"/>
    <w:rsid w:val="0061623A"/>
    <w:rsid w:val="00621786"/>
    <w:rsid w:val="0062567C"/>
    <w:rsid w:val="006259DF"/>
    <w:rsid w:val="0062642D"/>
    <w:rsid w:val="006271AF"/>
    <w:rsid w:val="00627719"/>
    <w:rsid w:val="00627857"/>
    <w:rsid w:val="006301D8"/>
    <w:rsid w:val="00632B48"/>
    <w:rsid w:val="00636714"/>
    <w:rsid w:val="00643A1A"/>
    <w:rsid w:val="006455B0"/>
    <w:rsid w:val="00645F8F"/>
    <w:rsid w:val="006462E8"/>
    <w:rsid w:val="00647725"/>
    <w:rsid w:val="006520B6"/>
    <w:rsid w:val="00652901"/>
    <w:rsid w:val="00653687"/>
    <w:rsid w:val="00654CA6"/>
    <w:rsid w:val="00662C4A"/>
    <w:rsid w:val="00666972"/>
    <w:rsid w:val="00667707"/>
    <w:rsid w:val="00672FC8"/>
    <w:rsid w:val="00680DB9"/>
    <w:rsid w:val="00680FDE"/>
    <w:rsid w:val="00682226"/>
    <w:rsid w:val="00682837"/>
    <w:rsid w:val="00685871"/>
    <w:rsid w:val="0069089B"/>
    <w:rsid w:val="00690E1E"/>
    <w:rsid w:val="006948F1"/>
    <w:rsid w:val="006951C2"/>
    <w:rsid w:val="006959DB"/>
    <w:rsid w:val="0069669B"/>
    <w:rsid w:val="006978CD"/>
    <w:rsid w:val="006A0A3B"/>
    <w:rsid w:val="006B11EC"/>
    <w:rsid w:val="006C0955"/>
    <w:rsid w:val="006C25B2"/>
    <w:rsid w:val="006C2C6A"/>
    <w:rsid w:val="006C7E54"/>
    <w:rsid w:val="006D0A24"/>
    <w:rsid w:val="006D235E"/>
    <w:rsid w:val="006D3517"/>
    <w:rsid w:val="006D4118"/>
    <w:rsid w:val="006D57BF"/>
    <w:rsid w:val="006D6762"/>
    <w:rsid w:val="006E0413"/>
    <w:rsid w:val="006E1B05"/>
    <w:rsid w:val="006E3DD7"/>
    <w:rsid w:val="006F2210"/>
    <w:rsid w:val="006F22B2"/>
    <w:rsid w:val="006F282B"/>
    <w:rsid w:val="006F5525"/>
    <w:rsid w:val="006F5C12"/>
    <w:rsid w:val="006F6228"/>
    <w:rsid w:val="006F65DA"/>
    <w:rsid w:val="007011BA"/>
    <w:rsid w:val="00702C1F"/>
    <w:rsid w:val="00705292"/>
    <w:rsid w:val="0071398C"/>
    <w:rsid w:val="007158A2"/>
    <w:rsid w:val="0071600C"/>
    <w:rsid w:val="00721DA4"/>
    <w:rsid w:val="00724991"/>
    <w:rsid w:val="007345D3"/>
    <w:rsid w:val="00736CEB"/>
    <w:rsid w:val="00736DFF"/>
    <w:rsid w:val="00740B49"/>
    <w:rsid w:val="00741EC5"/>
    <w:rsid w:val="007425DC"/>
    <w:rsid w:val="0074461C"/>
    <w:rsid w:val="007473BC"/>
    <w:rsid w:val="00747691"/>
    <w:rsid w:val="00747F1E"/>
    <w:rsid w:val="00747F4D"/>
    <w:rsid w:val="00752EA3"/>
    <w:rsid w:val="00754D3F"/>
    <w:rsid w:val="00755BD4"/>
    <w:rsid w:val="007560C3"/>
    <w:rsid w:val="007579A2"/>
    <w:rsid w:val="007616B9"/>
    <w:rsid w:val="00761A61"/>
    <w:rsid w:val="00763382"/>
    <w:rsid w:val="007640F6"/>
    <w:rsid w:val="00764378"/>
    <w:rsid w:val="007659BB"/>
    <w:rsid w:val="00766CA6"/>
    <w:rsid w:val="00767DCF"/>
    <w:rsid w:val="00773718"/>
    <w:rsid w:val="007764EA"/>
    <w:rsid w:val="00777060"/>
    <w:rsid w:val="00777D4F"/>
    <w:rsid w:val="00780F91"/>
    <w:rsid w:val="00783FF6"/>
    <w:rsid w:val="00784113"/>
    <w:rsid w:val="007846D7"/>
    <w:rsid w:val="00785334"/>
    <w:rsid w:val="00785D02"/>
    <w:rsid w:val="00790650"/>
    <w:rsid w:val="00791458"/>
    <w:rsid w:val="00792871"/>
    <w:rsid w:val="00793623"/>
    <w:rsid w:val="00795E8E"/>
    <w:rsid w:val="007A042E"/>
    <w:rsid w:val="007A1A61"/>
    <w:rsid w:val="007A5097"/>
    <w:rsid w:val="007A5CFA"/>
    <w:rsid w:val="007B0482"/>
    <w:rsid w:val="007B0AC4"/>
    <w:rsid w:val="007B3362"/>
    <w:rsid w:val="007B749D"/>
    <w:rsid w:val="007C0660"/>
    <w:rsid w:val="007C1CC9"/>
    <w:rsid w:val="007C2525"/>
    <w:rsid w:val="007C3947"/>
    <w:rsid w:val="007C5A64"/>
    <w:rsid w:val="007C65A0"/>
    <w:rsid w:val="007C6EC8"/>
    <w:rsid w:val="007D07C4"/>
    <w:rsid w:val="007D455E"/>
    <w:rsid w:val="007D46D5"/>
    <w:rsid w:val="007D4A1F"/>
    <w:rsid w:val="007D61EF"/>
    <w:rsid w:val="007E060B"/>
    <w:rsid w:val="007E1F7F"/>
    <w:rsid w:val="007E5B94"/>
    <w:rsid w:val="007F0C25"/>
    <w:rsid w:val="007F1802"/>
    <w:rsid w:val="007F2921"/>
    <w:rsid w:val="007F5AAC"/>
    <w:rsid w:val="007F6983"/>
    <w:rsid w:val="007F6E03"/>
    <w:rsid w:val="007F7DB3"/>
    <w:rsid w:val="0080094D"/>
    <w:rsid w:val="0080164A"/>
    <w:rsid w:val="008018CA"/>
    <w:rsid w:val="00804396"/>
    <w:rsid w:val="0080448D"/>
    <w:rsid w:val="00807667"/>
    <w:rsid w:val="00810085"/>
    <w:rsid w:val="008104B5"/>
    <w:rsid w:val="00813D38"/>
    <w:rsid w:val="00814B56"/>
    <w:rsid w:val="00816A50"/>
    <w:rsid w:val="00817C1D"/>
    <w:rsid w:val="0082082F"/>
    <w:rsid w:val="00822DB7"/>
    <w:rsid w:val="00823E88"/>
    <w:rsid w:val="00832D8A"/>
    <w:rsid w:val="00840192"/>
    <w:rsid w:val="00840E28"/>
    <w:rsid w:val="00841C65"/>
    <w:rsid w:val="00845DC5"/>
    <w:rsid w:val="00850C57"/>
    <w:rsid w:val="008516E5"/>
    <w:rsid w:val="00853A31"/>
    <w:rsid w:val="00854953"/>
    <w:rsid w:val="0085582C"/>
    <w:rsid w:val="00856335"/>
    <w:rsid w:val="00871321"/>
    <w:rsid w:val="00871500"/>
    <w:rsid w:val="00871F24"/>
    <w:rsid w:val="00872741"/>
    <w:rsid w:val="00872886"/>
    <w:rsid w:val="0087395F"/>
    <w:rsid w:val="00873C46"/>
    <w:rsid w:val="00875349"/>
    <w:rsid w:val="0087553E"/>
    <w:rsid w:val="00876B1E"/>
    <w:rsid w:val="00881836"/>
    <w:rsid w:val="00881D87"/>
    <w:rsid w:val="008878F2"/>
    <w:rsid w:val="0089001E"/>
    <w:rsid w:val="00890177"/>
    <w:rsid w:val="00894290"/>
    <w:rsid w:val="008A14B6"/>
    <w:rsid w:val="008A3A9E"/>
    <w:rsid w:val="008A4ADD"/>
    <w:rsid w:val="008A6886"/>
    <w:rsid w:val="008B41B1"/>
    <w:rsid w:val="008B484A"/>
    <w:rsid w:val="008C0209"/>
    <w:rsid w:val="008C7DAF"/>
    <w:rsid w:val="008D06D7"/>
    <w:rsid w:val="008D0EF6"/>
    <w:rsid w:val="008D1310"/>
    <w:rsid w:val="008D28CF"/>
    <w:rsid w:val="008D6588"/>
    <w:rsid w:val="008E0833"/>
    <w:rsid w:val="008E148A"/>
    <w:rsid w:val="008F1A18"/>
    <w:rsid w:val="008F6699"/>
    <w:rsid w:val="008F6A64"/>
    <w:rsid w:val="008F6DBF"/>
    <w:rsid w:val="0090111B"/>
    <w:rsid w:val="009019E0"/>
    <w:rsid w:val="00901C83"/>
    <w:rsid w:val="0090742B"/>
    <w:rsid w:val="0091010B"/>
    <w:rsid w:val="00912F5F"/>
    <w:rsid w:val="00914762"/>
    <w:rsid w:val="00914A2B"/>
    <w:rsid w:val="0091531B"/>
    <w:rsid w:val="00915D3F"/>
    <w:rsid w:val="009165F6"/>
    <w:rsid w:val="0091717C"/>
    <w:rsid w:val="00920DD8"/>
    <w:rsid w:val="009221D1"/>
    <w:rsid w:val="00923176"/>
    <w:rsid w:val="00923EEE"/>
    <w:rsid w:val="00932E3F"/>
    <w:rsid w:val="00933BD0"/>
    <w:rsid w:val="00934A3C"/>
    <w:rsid w:val="00935B0D"/>
    <w:rsid w:val="00937427"/>
    <w:rsid w:val="00940765"/>
    <w:rsid w:val="00942656"/>
    <w:rsid w:val="009436F7"/>
    <w:rsid w:val="0095478C"/>
    <w:rsid w:val="00956C74"/>
    <w:rsid w:val="00962525"/>
    <w:rsid w:val="00964AB5"/>
    <w:rsid w:val="00965E51"/>
    <w:rsid w:val="00967AE2"/>
    <w:rsid w:val="00967BAC"/>
    <w:rsid w:val="00970D91"/>
    <w:rsid w:val="00972902"/>
    <w:rsid w:val="009766F6"/>
    <w:rsid w:val="00981FC7"/>
    <w:rsid w:val="00987974"/>
    <w:rsid w:val="009918CA"/>
    <w:rsid w:val="00995C1B"/>
    <w:rsid w:val="0099775C"/>
    <w:rsid w:val="009A0C92"/>
    <w:rsid w:val="009A3013"/>
    <w:rsid w:val="009A3584"/>
    <w:rsid w:val="009A4152"/>
    <w:rsid w:val="009A50BB"/>
    <w:rsid w:val="009B3A98"/>
    <w:rsid w:val="009B5450"/>
    <w:rsid w:val="009B74C0"/>
    <w:rsid w:val="009B77FB"/>
    <w:rsid w:val="009C0052"/>
    <w:rsid w:val="009C219F"/>
    <w:rsid w:val="009C54DC"/>
    <w:rsid w:val="009C67A2"/>
    <w:rsid w:val="009D253A"/>
    <w:rsid w:val="009D5F86"/>
    <w:rsid w:val="009D6019"/>
    <w:rsid w:val="009D69B4"/>
    <w:rsid w:val="009E18D6"/>
    <w:rsid w:val="009E3504"/>
    <w:rsid w:val="009E389F"/>
    <w:rsid w:val="009E4675"/>
    <w:rsid w:val="009E6774"/>
    <w:rsid w:val="009E74FC"/>
    <w:rsid w:val="009F5A50"/>
    <w:rsid w:val="009F62B4"/>
    <w:rsid w:val="009F7C99"/>
    <w:rsid w:val="00A01926"/>
    <w:rsid w:val="00A03B48"/>
    <w:rsid w:val="00A03C3C"/>
    <w:rsid w:val="00A05EBA"/>
    <w:rsid w:val="00A06935"/>
    <w:rsid w:val="00A06AC0"/>
    <w:rsid w:val="00A07249"/>
    <w:rsid w:val="00A107E9"/>
    <w:rsid w:val="00A11EDF"/>
    <w:rsid w:val="00A12F2E"/>
    <w:rsid w:val="00A135DF"/>
    <w:rsid w:val="00A15F7E"/>
    <w:rsid w:val="00A21481"/>
    <w:rsid w:val="00A22A8C"/>
    <w:rsid w:val="00A25334"/>
    <w:rsid w:val="00A337A4"/>
    <w:rsid w:val="00A429CE"/>
    <w:rsid w:val="00A4480A"/>
    <w:rsid w:val="00A4568F"/>
    <w:rsid w:val="00A47552"/>
    <w:rsid w:val="00A5422C"/>
    <w:rsid w:val="00A558EA"/>
    <w:rsid w:val="00A60F4B"/>
    <w:rsid w:val="00A60FE7"/>
    <w:rsid w:val="00A611C7"/>
    <w:rsid w:val="00A62A46"/>
    <w:rsid w:val="00A65DC8"/>
    <w:rsid w:val="00A7042E"/>
    <w:rsid w:val="00A76A62"/>
    <w:rsid w:val="00A80C0E"/>
    <w:rsid w:val="00A817E4"/>
    <w:rsid w:val="00A83574"/>
    <w:rsid w:val="00A85D05"/>
    <w:rsid w:val="00A85D72"/>
    <w:rsid w:val="00A97B35"/>
    <w:rsid w:val="00AA1BB5"/>
    <w:rsid w:val="00AA21B3"/>
    <w:rsid w:val="00AA427A"/>
    <w:rsid w:val="00AA61F3"/>
    <w:rsid w:val="00AA6866"/>
    <w:rsid w:val="00AA744D"/>
    <w:rsid w:val="00AB189D"/>
    <w:rsid w:val="00AB2831"/>
    <w:rsid w:val="00AB3149"/>
    <w:rsid w:val="00AB3CCC"/>
    <w:rsid w:val="00AB5C89"/>
    <w:rsid w:val="00AC4547"/>
    <w:rsid w:val="00AC7220"/>
    <w:rsid w:val="00AD0C6F"/>
    <w:rsid w:val="00AD2880"/>
    <w:rsid w:val="00AD6A4D"/>
    <w:rsid w:val="00AD6F57"/>
    <w:rsid w:val="00AD72C8"/>
    <w:rsid w:val="00AE0A89"/>
    <w:rsid w:val="00AF0D4A"/>
    <w:rsid w:val="00AF1720"/>
    <w:rsid w:val="00AF1B56"/>
    <w:rsid w:val="00AF3299"/>
    <w:rsid w:val="00AF3A31"/>
    <w:rsid w:val="00AF3DD1"/>
    <w:rsid w:val="00AF4B7E"/>
    <w:rsid w:val="00AF6C31"/>
    <w:rsid w:val="00AF7303"/>
    <w:rsid w:val="00AF7CA9"/>
    <w:rsid w:val="00B00B9C"/>
    <w:rsid w:val="00B0183F"/>
    <w:rsid w:val="00B05266"/>
    <w:rsid w:val="00B06CB1"/>
    <w:rsid w:val="00B116E6"/>
    <w:rsid w:val="00B1288C"/>
    <w:rsid w:val="00B12E61"/>
    <w:rsid w:val="00B20E0F"/>
    <w:rsid w:val="00B221C0"/>
    <w:rsid w:val="00B22528"/>
    <w:rsid w:val="00B227C1"/>
    <w:rsid w:val="00B2484D"/>
    <w:rsid w:val="00B270C1"/>
    <w:rsid w:val="00B2727F"/>
    <w:rsid w:val="00B2761A"/>
    <w:rsid w:val="00B309E7"/>
    <w:rsid w:val="00B30BD5"/>
    <w:rsid w:val="00B320C0"/>
    <w:rsid w:val="00B3213A"/>
    <w:rsid w:val="00B3424F"/>
    <w:rsid w:val="00B35581"/>
    <w:rsid w:val="00B358E9"/>
    <w:rsid w:val="00B36AA9"/>
    <w:rsid w:val="00B37C3F"/>
    <w:rsid w:val="00B41236"/>
    <w:rsid w:val="00B41241"/>
    <w:rsid w:val="00B46FF3"/>
    <w:rsid w:val="00B5033A"/>
    <w:rsid w:val="00B56957"/>
    <w:rsid w:val="00B5767A"/>
    <w:rsid w:val="00B70983"/>
    <w:rsid w:val="00B7350F"/>
    <w:rsid w:val="00B736C3"/>
    <w:rsid w:val="00B76832"/>
    <w:rsid w:val="00B768B7"/>
    <w:rsid w:val="00B82825"/>
    <w:rsid w:val="00B83E76"/>
    <w:rsid w:val="00B91909"/>
    <w:rsid w:val="00B92A6C"/>
    <w:rsid w:val="00B940F2"/>
    <w:rsid w:val="00B971D2"/>
    <w:rsid w:val="00B979E3"/>
    <w:rsid w:val="00BA6250"/>
    <w:rsid w:val="00BB1F1F"/>
    <w:rsid w:val="00BB2014"/>
    <w:rsid w:val="00BB3854"/>
    <w:rsid w:val="00BB637E"/>
    <w:rsid w:val="00BB6677"/>
    <w:rsid w:val="00BC0813"/>
    <w:rsid w:val="00BD30B3"/>
    <w:rsid w:val="00BD32F0"/>
    <w:rsid w:val="00BD4C9F"/>
    <w:rsid w:val="00BE18FB"/>
    <w:rsid w:val="00BE2D3E"/>
    <w:rsid w:val="00BE4647"/>
    <w:rsid w:val="00BE75FD"/>
    <w:rsid w:val="00BF0E0A"/>
    <w:rsid w:val="00BF1B64"/>
    <w:rsid w:val="00BF48E6"/>
    <w:rsid w:val="00BF700C"/>
    <w:rsid w:val="00C002BE"/>
    <w:rsid w:val="00C012BD"/>
    <w:rsid w:val="00C01C9A"/>
    <w:rsid w:val="00C02256"/>
    <w:rsid w:val="00C03108"/>
    <w:rsid w:val="00C05117"/>
    <w:rsid w:val="00C05FC3"/>
    <w:rsid w:val="00C06EBD"/>
    <w:rsid w:val="00C11E68"/>
    <w:rsid w:val="00C12D4D"/>
    <w:rsid w:val="00C163E9"/>
    <w:rsid w:val="00C218B5"/>
    <w:rsid w:val="00C22429"/>
    <w:rsid w:val="00C22ED0"/>
    <w:rsid w:val="00C23875"/>
    <w:rsid w:val="00C241DB"/>
    <w:rsid w:val="00C252DC"/>
    <w:rsid w:val="00C275FD"/>
    <w:rsid w:val="00C32C14"/>
    <w:rsid w:val="00C34119"/>
    <w:rsid w:val="00C368FA"/>
    <w:rsid w:val="00C4346C"/>
    <w:rsid w:val="00C44C5E"/>
    <w:rsid w:val="00C44C86"/>
    <w:rsid w:val="00C44D29"/>
    <w:rsid w:val="00C44F0E"/>
    <w:rsid w:val="00C510DB"/>
    <w:rsid w:val="00C53EB1"/>
    <w:rsid w:val="00C552D1"/>
    <w:rsid w:val="00C55A98"/>
    <w:rsid w:val="00C56D5D"/>
    <w:rsid w:val="00C57055"/>
    <w:rsid w:val="00C57CCA"/>
    <w:rsid w:val="00C65262"/>
    <w:rsid w:val="00C70C21"/>
    <w:rsid w:val="00C73830"/>
    <w:rsid w:val="00C7686B"/>
    <w:rsid w:val="00C77B4E"/>
    <w:rsid w:val="00C81E35"/>
    <w:rsid w:val="00C82157"/>
    <w:rsid w:val="00C83A83"/>
    <w:rsid w:val="00C86548"/>
    <w:rsid w:val="00C91496"/>
    <w:rsid w:val="00C93CDA"/>
    <w:rsid w:val="00C94D89"/>
    <w:rsid w:val="00C972E7"/>
    <w:rsid w:val="00C9767D"/>
    <w:rsid w:val="00CA49EA"/>
    <w:rsid w:val="00CA5E5C"/>
    <w:rsid w:val="00CA74C4"/>
    <w:rsid w:val="00CA77E4"/>
    <w:rsid w:val="00CB0A63"/>
    <w:rsid w:val="00CB15D6"/>
    <w:rsid w:val="00CB1EA6"/>
    <w:rsid w:val="00CB6EF0"/>
    <w:rsid w:val="00CC66AF"/>
    <w:rsid w:val="00CC689D"/>
    <w:rsid w:val="00CD0F71"/>
    <w:rsid w:val="00CD158E"/>
    <w:rsid w:val="00CD4727"/>
    <w:rsid w:val="00CD507D"/>
    <w:rsid w:val="00CD6663"/>
    <w:rsid w:val="00CD71C0"/>
    <w:rsid w:val="00CE0888"/>
    <w:rsid w:val="00CE2906"/>
    <w:rsid w:val="00CE3E93"/>
    <w:rsid w:val="00CF024D"/>
    <w:rsid w:val="00CF0276"/>
    <w:rsid w:val="00CF2136"/>
    <w:rsid w:val="00CF2880"/>
    <w:rsid w:val="00CF2B98"/>
    <w:rsid w:val="00CF30A3"/>
    <w:rsid w:val="00CF37C7"/>
    <w:rsid w:val="00CF606F"/>
    <w:rsid w:val="00CF6B71"/>
    <w:rsid w:val="00D0159E"/>
    <w:rsid w:val="00D01AED"/>
    <w:rsid w:val="00D02A5F"/>
    <w:rsid w:val="00D0311F"/>
    <w:rsid w:val="00D13810"/>
    <w:rsid w:val="00D13CDF"/>
    <w:rsid w:val="00D17D42"/>
    <w:rsid w:val="00D26BDC"/>
    <w:rsid w:val="00D3325A"/>
    <w:rsid w:val="00D34BBE"/>
    <w:rsid w:val="00D47EA0"/>
    <w:rsid w:val="00D50683"/>
    <w:rsid w:val="00D51189"/>
    <w:rsid w:val="00D5192D"/>
    <w:rsid w:val="00D51F12"/>
    <w:rsid w:val="00D5365F"/>
    <w:rsid w:val="00D53B4D"/>
    <w:rsid w:val="00D54627"/>
    <w:rsid w:val="00D54649"/>
    <w:rsid w:val="00D55919"/>
    <w:rsid w:val="00D55FA1"/>
    <w:rsid w:val="00D564B3"/>
    <w:rsid w:val="00D56FEC"/>
    <w:rsid w:val="00D5718A"/>
    <w:rsid w:val="00D60CEC"/>
    <w:rsid w:val="00D62D83"/>
    <w:rsid w:val="00D62E04"/>
    <w:rsid w:val="00D62E91"/>
    <w:rsid w:val="00D66C25"/>
    <w:rsid w:val="00D70BEE"/>
    <w:rsid w:val="00D7101E"/>
    <w:rsid w:val="00D73598"/>
    <w:rsid w:val="00D74948"/>
    <w:rsid w:val="00D75DE4"/>
    <w:rsid w:val="00D77963"/>
    <w:rsid w:val="00D80E06"/>
    <w:rsid w:val="00D83472"/>
    <w:rsid w:val="00D86421"/>
    <w:rsid w:val="00D959DA"/>
    <w:rsid w:val="00DA04C9"/>
    <w:rsid w:val="00DA1371"/>
    <w:rsid w:val="00DA3561"/>
    <w:rsid w:val="00DA58E5"/>
    <w:rsid w:val="00DA6720"/>
    <w:rsid w:val="00DB2F30"/>
    <w:rsid w:val="00DB465B"/>
    <w:rsid w:val="00DB489D"/>
    <w:rsid w:val="00DC1219"/>
    <w:rsid w:val="00DC1FA4"/>
    <w:rsid w:val="00DC2D38"/>
    <w:rsid w:val="00DC46D5"/>
    <w:rsid w:val="00DC6D33"/>
    <w:rsid w:val="00DC7F15"/>
    <w:rsid w:val="00DD26EB"/>
    <w:rsid w:val="00DD56BC"/>
    <w:rsid w:val="00DE009B"/>
    <w:rsid w:val="00DE05A1"/>
    <w:rsid w:val="00DE109A"/>
    <w:rsid w:val="00DE2436"/>
    <w:rsid w:val="00DE609A"/>
    <w:rsid w:val="00DE74BD"/>
    <w:rsid w:val="00DF0D4F"/>
    <w:rsid w:val="00DF59EC"/>
    <w:rsid w:val="00DF6E79"/>
    <w:rsid w:val="00DF6F52"/>
    <w:rsid w:val="00DF7A1F"/>
    <w:rsid w:val="00E00210"/>
    <w:rsid w:val="00E003B0"/>
    <w:rsid w:val="00E00BC2"/>
    <w:rsid w:val="00E0315C"/>
    <w:rsid w:val="00E03483"/>
    <w:rsid w:val="00E03CB4"/>
    <w:rsid w:val="00E051ED"/>
    <w:rsid w:val="00E05DBF"/>
    <w:rsid w:val="00E140BF"/>
    <w:rsid w:val="00E1497C"/>
    <w:rsid w:val="00E16DF0"/>
    <w:rsid w:val="00E173E4"/>
    <w:rsid w:val="00E21246"/>
    <w:rsid w:val="00E219CE"/>
    <w:rsid w:val="00E2364F"/>
    <w:rsid w:val="00E24070"/>
    <w:rsid w:val="00E24406"/>
    <w:rsid w:val="00E25AA5"/>
    <w:rsid w:val="00E30DE4"/>
    <w:rsid w:val="00E32A48"/>
    <w:rsid w:val="00E32EA2"/>
    <w:rsid w:val="00E3310B"/>
    <w:rsid w:val="00E33340"/>
    <w:rsid w:val="00E33E58"/>
    <w:rsid w:val="00E4013B"/>
    <w:rsid w:val="00E42782"/>
    <w:rsid w:val="00E5095E"/>
    <w:rsid w:val="00E5370F"/>
    <w:rsid w:val="00E64E63"/>
    <w:rsid w:val="00E66A32"/>
    <w:rsid w:val="00E67F20"/>
    <w:rsid w:val="00E72873"/>
    <w:rsid w:val="00E76F71"/>
    <w:rsid w:val="00E772BA"/>
    <w:rsid w:val="00E811A4"/>
    <w:rsid w:val="00E84AFB"/>
    <w:rsid w:val="00E85428"/>
    <w:rsid w:val="00E8665C"/>
    <w:rsid w:val="00E90520"/>
    <w:rsid w:val="00E95CAF"/>
    <w:rsid w:val="00E95FC9"/>
    <w:rsid w:val="00E961F4"/>
    <w:rsid w:val="00E9701F"/>
    <w:rsid w:val="00E97B17"/>
    <w:rsid w:val="00EA1A42"/>
    <w:rsid w:val="00EA2303"/>
    <w:rsid w:val="00EA71EB"/>
    <w:rsid w:val="00EB01D9"/>
    <w:rsid w:val="00EB216B"/>
    <w:rsid w:val="00EB2581"/>
    <w:rsid w:val="00EB3D05"/>
    <w:rsid w:val="00EB4930"/>
    <w:rsid w:val="00EB62D6"/>
    <w:rsid w:val="00EB6622"/>
    <w:rsid w:val="00EB6DBE"/>
    <w:rsid w:val="00EC3FAB"/>
    <w:rsid w:val="00ED038D"/>
    <w:rsid w:val="00ED1080"/>
    <w:rsid w:val="00ED1E7F"/>
    <w:rsid w:val="00ED375E"/>
    <w:rsid w:val="00ED57D3"/>
    <w:rsid w:val="00ED7203"/>
    <w:rsid w:val="00ED78BC"/>
    <w:rsid w:val="00EE443E"/>
    <w:rsid w:val="00EE50DD"/>
    <w:rsid w:val="00EE61AA"/>
    <w:rsid w:val="00EE621C"/>
    <w:rsid w:val="00EE723F"/>
    <w:rsid w:val="00EF1152"/>
    <w:rsid w:val="00F02A23"/>
    <w:rsid w:val="00F02E01"/>
    <w:rsid w:val="00F05536"/>
    <w:rsid w:val="00F05E2B"/>
    <w:rsid w:val="00F11B4B"/>
    <w:rsid w:val="00F17076"/>
    <w:rsid w:val="00F17572"/>
    <w:rsid w:val="00F17815"/>
    <w:rsid w:val="00F21114"/>
    <w:rsid w:val="00F23526"/>
    <w:rsid w:val="00F24359"/>
    <w:rsid w:val="00F27F68"/>
    <w:rsid w:val="00F30FD3"/>
    <w:rsid w:val="00F316A4"/>
    <w:rsid w:val="00F31D41"/>
    <w:rsid w:val="00F35E94"/>
    <w:rsid w:val="00F417CA"/>
    <w:rsid w:val="00F42250"/>
    <w:rsid w:val="00F43ABF"/>
    <w:rsid w:val="00F44AC1"/>
    <w:rsid w:val="00F55FDC"/>
    <w:rsid w:val="00F57AEE"/>
    <w:rsid w:val="00F60BE6"/>
    <w:rsid w:val="00F60C48"/>
    <w:rsid w:val="00F616BA"/>
    <w:rsid w:val="00F62E48"/>
    <w:rsid w:val="00F6360F"/>
    <w:rsid w:val="00F64B7B"/>
    <w:rsid w:val="00F653CE"/>
    <w:rsid w:val="00F65C36"/>
    <w:rsid w:val="00F6764F"/>
    <w:rsid w:val="00F67723"/>
    <w:rsid w:val="00F71E16"/>
    <w:rsid w:val="00F7252F"/>
    <w:rsid w:val="00F74F70"/>
    <w:rsid w:val="00F8013A"/>
    <w:rsid w:val="00F838E5"/>
    <w:rsid w:val="00F841F0"/>
    <w:rsid w:val="00F84AE4"/>
    <w:rsid w:val="00F84E76"/>
    <w:rsid w:val="00F8774A"/>
    <w:rsid w:val="00F9176E"/>
    <w:rsid w:val="00F91AFC"/>
    <w:rsid w:val="00F93085"/>
    <w:rsid w:val="00F95E69"/>
    <w:rsid w:val="00FA4CF6"/>
    <w:rsid w:val="00FB06D2"/>
    <w:rsid w:val="00FB07CB"/>
    <w:rsid w:val="00FB1336"/>
    <w:rsid w:val="00FB16C1"/>
    <w:rsid w:val="00FB2D78"/>
    <w:rsid w:val="00FB42BF"/>
    <w:rsid w:val="00FB4BC8"/>
    <w:rsid w:val="00FC483D"/>
    <w:rsid w:val="00FC6887"/>
    <w:rsid w:val="00FC7F1C"/>
    <w:rsid w:val="00FD14E5"/>
    <w:rsid w:val="00FD47D1"/>
    <w:rsid w:val="00FD62CA"/>
    <w:rsid w:val="00FE091E"/>
    <w:rsid w:val="00FE6FAD"/>
    <w:rsid w:val="00FF0A2A"/>
    <w:rsid w:val="00FF16DF"/>
    <w:rsid w:val="00FF445A"/>
    <w:rsid w:val="00FF456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21F0"/>
  <w15:chartTrackingRefBased/>
  <w15:docId w15:val="{1FC0F7CD-7E4D-694F-B14B-C8996DA5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D6E"/>
    <w:rPr>
      <w:lang w:val="en-AU"/>
    </w:rPr>
  </w:style>
  <w:style w:type="paragraph" w:styleId="Heading1">
    <w:name w:val="heading 1"/>
    <w:basedOn w:val="Normal"/>
    <w:next w:val="Normal"/>
    <w:link w:val="Heading1Char"/>
    <w:uiPriority w:val="9"/>
    <w:qFormat/>
    <w:rsid w:val="003C0D6E"/>
    <w:pPr>
      <w:keepNext/>
      <w:keepLines/>
      <w:spacing w:before="360" w:after="80"/>
      <w:outlineLvl w:val="0"/>
    </w:pPr>
    <w:rPr>
      <w:rFonts w:asciiTheme="majorHAnsi" w:eastAsiaTheme="majorEastAsia" w:hAnsiTheme="majorHAnsi" w:cstheme="majorBidi"/>
      <w:color w:val="0F4761" w:themeColor="accent1" w:themeShade="BF"/>
      <w:sz w:val="40"/>
      <w:szCs w:val="40"/>
      <w:lang w:val="en-MX"/>
    </w:rPr>
  </w:style>
  <w:style w:type="paragraph" w:styleId="Heading2">
    <w:name w:val="heading 2"/>
    <w:basedOn w:val="Normal"/>
    <w:next w:val="Normal"/>
    <w:link w:val="Heading2Char"/>
    <w:uiPriority w:val="9"/>
    <w:semiHidden/>
    <w:unhideWhenUsed/>
    <w:qFormat/>
    <w:rsid w:val="003C0D6E"/>
    <w:pPr>
      <w:keepNext/>
      <w:keepLines/>
      <w:spacing w:before="160" w:after="80"/>
      <w:outlineLvl w:val="1"/>
    </w:pPr>
    <w:rPr>
      <w:rFonts w:asciiTheme="majorHAnsi" w:eastAsiaTheme="majorEastAsia" w:hAnsiTheme="majorHAnsi" w:cstheme="majorBidi"/>
      <w:color w:val="0F4761" w:themeColor="accent1" w:themeShade="BF"/>
      <w:sz w:val="32"/>
      <w:szCs w:val="32"/>
      <w:lang w:val="en-MX"/>
    </w:rPr>
  </w:style>
  <w:style w:type="paragraph" w:styleId="Heading3">
    <w:name w:val="heading 3"/>
    <w:basedOn w:val="Normal"/>
    <w:next w:val="Normal"/>
    <w:link w:val="Heading3Char"/>
    <w:uiPriority w:val="9"/>
    <w:semiHidden/>
    <w:unhideWhenUsed/>
    <w:qFormat/>
    <w:rsid w:val="003C0D6E"/>
    <w:pPr>
      <w:keepNext/>
      <w:keepLines/>
      <w:spacing w:before="160" w:after="80"/>
      <w:outlineLvl w:val="2"/>
    </w:pPr>
    <w:rPr>
      <w:rFonts w:eastAsiaTheme="majorEastAsia" w:cstheme="majorBidi"/>
      <w:color w:val="0F4761" w:themeColor="accent1" w:themeShade="BF"/>
      <w:sz w:val="28"/>
      <w:szCs w:val="28"/>
      <w:lang w:val="en-MX"/>
    </w:rPr>
  </w:style>
  <w:style w:type="paragraph" w:styleId="Heading4">
    <w:name w:val="heading 4"/>
    <w:basedOn w:val="Normal"/>
    <w:next w:val="Normal"/>
    <w:link w:val="Heading4Char"/>
    <w:uiPriority w:val="9"/>
    <w:semiHidden/>
    <w:unhideWhenUsed/>
    <w:qFormat/>
    <w:rsid w:val="003C0D6E"/>
    <w:pPr>
      <w:keepNext/>
      <w:keepLines/>
      <w:spacing w:before="80" w:after="40"/>
      <w:outlineLvl w:val="3"/>
    </w:pPr>
    <w:rPr>
      <w:rFonts w:eastAsiaTheme="majorEastAsia" w:cstheme="majorBidi"/>
      <w:i/>
      <w:iCs/>
      <w:color w:val="0F4761" w:themeColor="accent1" w:themeShade="BF"/>
      <w:lang w:val="en-MX"/>
    </w:rPr>
  </w:style>
  <w:style w:type="paragraph" w:styleId="Heading5">
    <w:name w:val="heading 5"/>
    <w:basedOn w:val="Normal"/>
    <w:next w:val="Normal"/>
    <w:link w:val="Heading5Char"/>
    <w:uiPriority w:val="9"/>
    <w:semiHidden/>
    <w:unhideWhenUsed/>
    <w:qFormat/>
    <w:rsid w:val="003C0D6E"/>
    <w:pPr>
      <w:keepNext/>
      <w:keepLines/>
      <w:spacing w:before="80" w:after="40"/>
      <w:outlineLvl w:val="4"/>
    </w:pPr>
    <w:rPr>
      <w:rFonts w:eastAsiaTheme="majorEastAsia" w:cstheme="majorBidi"/>
      <w:color w:val="0F4761" w:themeColor="accent1" w:themeShade="BF"/>
      <w:lang w:val="en-MX"/>
    </w:rPr>
  </w:style>
  <w:style w:type="paragraph" w:styleId="Heading6">
    <w:name w:val="heading 6"/>
    <w:basedOn w:val="Normal"/>
    <w:next w:val="Normal"/>
    <w:link w:val="Heading6Char"/>
    <w:uiPriority w:val="9"/>
    <w:semiHidden/>
    <w:unhideWhenUsed/>
    <w:qFormat/>
    <w:rsid w:val="003C0D6E"/>
    <w:pPr>
      <w:keepNext/>
      <w:keepLines/>
      <w:spacing w:before="40" w:after="0"/>
      <w:outlineLvl w:val="5"/>
    </w:pPr>
    <w:rPr>
      <w:rFonts w:eastAsiaTheme="majorEastAsia" w:cstheme="majorBidi"/>
      <w:i/>
      <w:iCs/>
      <w:color w:val="595959" w:themeColor="text1" w:themeTint="A6"/>
      <w:lang w:val="en-MX"/>
    </w:rPr>
  </w:style>
  <w:style w:type="paragraph" w:styleId="Heading7">
    <w:name w:val="heading 7"/>
    <w:basedOn w:val="Normal"/>
    <w:next w:val="Normal"/>
    <w:link w:val="Heading7Char"/>
    <w:uiPriority w:val="9"/>
    <w:semiHidden/>
    <w:unhideWhenUsed/>
    <w:qFormat/>
    <w:rsid w:val="003C0D6E"/>
    <w:pPr>
      <w:keepNext/>
      <w:keepLines/>
      <w:spacing w:before="40" w:after="0"/>
      <w:outlineLvl w:val="6"/>
    </w:pPr>
    <w:rPr>
      <w:rFonts w:eastAsiaTheme="majorEastAsia" w:cstheme="majorBidi"/>
      <w:color w:val="595959" w:themeColor="text1" w:themeTint="A6"/>
      <w:lang w:val="en-MX"/>
    </w:rPr>
  </w:style>
  <w:style w:type="paragraph" w:styleId="Heading8">
    <w:name w:val="heading 8"/>
    <w:basedOn w:val="Normal"/>
    <w:next w:val="Normal"/>
    <w:link w:val="Heading8Char"/>
    <w:uiPriority w:val="9"/>
    <w:semiHidden/>
    <w:unhideWhenUsed/>
    <w:qFormat/>
    <w:rsid w:val="003C0D6E"/>
    <w:pPr>
      <w:keepNext/>
      <w:keepLines/>
      <w:spacing w:after="0"/>
      <w:outlineLvl w:val="7"/>
    </w:pPr>
    <w:rPr>
      <w:rFonts w:eastAsiaTheme="majorEastAsia" w:cstheme="majorBidi"/>
      <w:i/>
      <w:iCs/>
      <w:color w:val="272727" w:themeColor="text1" w:themeTint="D8"/>
      <w:lang w:val="en-MX"/>
    </w:rPr>
  </w:style>
  <w:style w:type="paragraph" w:styleId="Heading9">
    <w:name w:val="heading 9"/>
    <w:basedOn w:val="Normal"/>
    <w:next w:val="Normal"/>
    <w:link w:val="Heading9Char"/>
    <w:uiPriority w:val="9"/>
    <w:semiHidden/>
    <w:unhideWhenUsed/>
    <w:qFormat/>
    <w:rsid w:val="003C0D6E"/>
    <w:pPr>
      <w:keepNext/>
      <w:keepLines/>
      <w:spacing w:after="0"/>
      <w:outlineLvl w:val="8"/>
    </w:pPr>
    <w:rPr>
      <w:rFonts w:eastAsiaTheme="majorEastAsia" w:cstheme="majorBidi"/>
      <w:color w:val="272727" w:themeColor="text1" w:themeTint="D8"/>
      <w:lang w:val="en-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D6E"/>
    <w:rPr>
      <w:rFonts w:eastAsiaTheme="majorEastAsia" w:cstheme="majorBidi"/>
      <w:color w:val="272727" w:themeColor="text1" w:themeTint="D8"/>
    </w:rPr>
  </w:style>
  <w:style w:type="paragraph" w:styleId="Title">
    <w:name w:val="Title"/>
    <w:basedOn w:val="Normal"/>
    <w:next w:val="Normal"/>
    <w:link w:val="TitleChar"/>
    <w:uiPriority w:val="10"/>
    <w:qFormat/>
    <w:rsid w:val="003C0D6E"/>
    <w:pPr>
      <w:spacing w:after="80" w:line="240" w:lineRule="auto"/>
      <w:contextualSpacing/>
    </w:pPr>
    <w:rPr>
      <w:rFonts w:asciiTheme="majorHAnsi" w:eastAsiaTheme="majorEastAsia" w:hAnsiTheme="majorHAnsi" w:cstheme="majorBidi"/>
      <w:spacing w:val="-10"/>
      <w:kern w:val="28"/>
      <w:sz w:val="56"/>
      <w:szCs w:val="56"/>
      <w:lang w:val="en-MX"/>
    </w:rPr>
  </w:style>
  <w:style w:type="character" w:customStyle="1" w:styleId="TitleChar">
    <w:name w:val="Title Char"/>
    <w:basedOn w:val="DefaultParagraphFont"/>
    <w:link w:val="Title"/>
    <w:uiPriority w:val="10"/>
    <w:rsid w:val="003C0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D6E"/>
    <w:pPr>
      <w:numPr>
        <w:ilvl w:val="1"/>
      </w:numPr>
    </w:pPr>
    <w:rPr>
      <w:rFonts w:eastAsiaTheme="majorEastAsia" w:cstheme="majorBidi"/>
      <w:color w:val="595959" w:themeColor="text1" w:themeTint="A6"/>
      <w:spacing w:val="15"/>
      <w:sz w:val="28"/>
      <w:szCs w:val="28"/>
      <w:lang w:val="en-MX"/>
    </w:rPr>
  </w:style>
  <w:style w:type="character" w:customStyle="1" w:styleId="SubtitleChar">
    <w:name w:val="Subtitle Char"/>
    <w:basedOn w:val="DefaultParagraphFont"/>
    <w:link w:val="Subtitle"/>
    <w:uiPriority w:val="11"/>
    <w:rsid w:val="003C0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D6E"/>
    <w:pPr>
      <w:spacing w:before="160"/>
      <w:jc w:val="center"/>
    </w:pPr>
    <w:rPr>
      <w:i/>
      <w:iCs/>
      <w:color w:val="404040" w:themeColor="text1" w:themeTint="BF"/>
      <w:lang w:val="en-MX"/>
    </w:rPr>
  </w:style>
  <w:style w:type="character" w:customStyle="1" w:styleId="QuoteChar">
    <w:name w:val="Quote Char"/>
    <w:basedOn w:val="DefaultParagraphFont"/>
    <w:link w:val="Quote"/>
    <w:uiPriority w:val="29"/>
    <w:rsid w:val="003C0D6E"/>
    <w:rPr>
      <w:i/>
      <w:iCs/>
      <w:color w:val="404040" w:themeColor="text1" w:themeTint="BF"/>
    </w:rPr>
  </w:style>
  <w:style w:type="paragraph" w:styleId="ListParagraph">
    <w:name w:val="List Paragraph"/>
    <w:basedOn w:val="Normal"/>
    <w:uiPriority w:val="34"/>
    <w:qFormat/>
    <w:rsid w:val="003C0D6E"/>
    <w:pPr>
      <w:ind w:left="720"/>
      <w:contextualSpacing/>
    </w:pPr>
    <w:rPr>
      <w:lang w:val="en-MX"/>
    </w:rPr>
  </w:style>
  <w:style w:type="character" w:styleId="IntenseEmphasis">
    <w:name w:val="Intense Emphasis"/>
    <w:basedOn w:val="DefaultParagraphFont"/>
    <w:uiPriority w:val="21"/>
    <w:qFormat/>
    <w:rsid w:val="003C0D6E"/>
    <w:rPr>
      <w:i/>
      <w:iCs/>
      <w:color w:val="0F4761" w:themeColor="accent1" w:themeShade="BF"/>
    </w:rPr>
  </w:style>
  <w:style w:type="paragraph" w:styleId="IntenseQuote">
    <w:name w:val="Intense Quote"/>
    <w:basedOn w:val="Normal"/>
    <w:next w:val="Normal"/>
    <w:link w:val="IntenseQuoteChar"/>
    <w:uiPriority w:val="30"/>
    <w:qFormat/>
    <w:rsid w:val="003C0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MX"/>
    </w:rPr>
  </w:style>
  <w:style w:type="character" w:customStyle="1" w:styleId="IntenseQuoteChar">
    <w:name w:val="Intense Quote Char"/>
    <w:basedOn w:val="DefaultParagraphFont"/>
    <w:link w:val="IntenseQuote"/>
    <w:uiPriority w:val="30"/>
    <w:rsid w:val="003C0D6E"/>
    <w:rPr>
      <w:i/>
      <w:iCs/>
      <w:color w:val="0F4761" w:themeColor="accent1" w:themeShade="BF"/>
    </w:rPr>
  </w:style>
  <w:style w:type="character" w:styleId="IntenseReference">
    <w:name w:val="Intense Reference"/>
    <w:basedOn w:val="DefaultParagraphFont"/>
    <w:uiPriority w:val="32"/>
    <w:qFormat/>
    <w:rsid w:val="003C0D6E"/>
    <w:rPr>
      <w:b/>
      <w:bCs/>
      <w:smallCaps/>
      <w:color w:val="0F4761" w:themeColor="accent1" w:themeShade="BF"/>
      <w:spacing w:val="5"/>
    </w:rPr>
  </w:style>
  <w:style w:type="paragraph" w:styleId="NormalWeb">
    <w:name w:val="Normal (Web)"/>
    <w:basedOn w:val="Normal"/>
    <w:uiPriority w:val="99"/>
    <w:unhideWhenUsed/>
    <w:rsid w:val="003C0D6E"/>
    <w:pPr>
      <w:spacing w:before="100" w:beforeAutospacing="1" w:after="100" w:afterAutospacing="1" w:line="240" w:lineRule="auto"/>
    </w:pPr>
    <w:rPr>
      <w:rFonts w:ascii="Times New Roman" w:eastAsia="Times New Roman" w:hAnsi="Times New Roman" w:cs="Times New Roman"/>
      <w:kern w:val="0"/>
      <w:lang w:val="en-MX"/>
      <w14:ligatures w14:val="none"/>
    </w:rPr>
  </w:style>
  <w:style w:type="paragraph" w:styleId="Bibliography">
    <w:name w:val="Bibliography"/>
    <w:basedOn w:val="Normal"/>
    <w:next w:val="Normal"/>
    <w:uiPriority w:val="37"/>
    <w:unhideWhenUsed/>
    <w:rsid w:val="00537899"/>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2792</Words>
  <Characters>15917</Characters>
  <Application>Microsoft Office Word</Application>
  <DocSecurity>0</DocSecurity>
  <Lines>132</Lines>
  <Paragraphs>37</Paragraphs>
  <ScaleCrop>false</ScaleCrop>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Inzunza Martin Del Campo, Andres</dc:creator>
  <cp:keywords/>
  <dc:description/>
  <cp:lastModifiedBy>Inzunza Martin Del Campo, Andres</cp:lastModifiedBy>
  <cp:revision>10</cp:revision>
  <dcterms:created xsi:type="dcterms:W3CDTF">2026-04-08T20:34:00Z</dcterms:created>
  <dcterms:modified xsi:type="dcterms:W3CDTF">2026-04-08T20:49:00Z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id="xuny15WF"/&gt;&lt;style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