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A1EF" w14:textId="77777777" w:rsidR="006856C6" w:rsidRPr="00511459" w:rsidRDefault="006856C6" w:rsidP="006856C6">
      <w:pPr>
        <w:spacing w:after="0" w:line="240" w:lineRule="auto"/>
        <w:jc w:val="both"/>
        <w:rPr>
          <w:rFonts w:ascii="Times New Roman" w:eastAsia="Times New Roman" w:hAnsi="Times New Roman" w:cs="Times New Roman"/>
          <w:b/>
          <w:bCs/>
          <w:color w:val="000000"/>
          <w:kern w:val="0"/>
          <w:sz w:val="22"/>
          <w:szCs w:val="22"/>
          <w14:ligatures w14:val="none"/>
        </w:rPr>
      </w:pPr>
      <w:r w:rsidRPr="00511459">
        <w:rPr>
          <w:rFonts w:ascii="Times New Roman" w:hAnsi="Times New Roman" w:cs="Times New Roman"/>
          <w:b/>
          <w:bCs/>
          <w:sz w:val="22"/>
          <w:szCs w:val="22"/>
        </w:rPr>
        <w:t>Perimetric Outcomes of Melbourne Rapid Field Perimetry in Patients with Glaucoma: A Systematic Review and Meta-Analysis</w:t>
      </w:r>
    </w:p>
    <w:p w14:paraId="110B330E" w14:textId="77777777" w:rsidR="006856C6" w:rsidRDefault="006856C6" w:rsidP="006856C6">
      <w:pPr>
        <w:pStyle w:val="p1"/>
        <w:jc w:val="both"/>
        <w:rPr>
          <w:rFonts w:ascii="Times New Roman" w:hAnsi="Times New Roman"/>
          <w:b/>
          <w:bCs/>
          <w:sz w:val="22"/>
          <w:szCs w:val="22"/>
        </w:rPr>
      </w:pPr>
    </w:p>
    <w:p w14:paraId="75B262C5" w14:textId="77777777" w:rsidR="006856C6" w:rsidRDefault="006856C6" w:rsidP="006856C6">
      <w:pPr>
        <w:pStyle w:val="p1"/>
        <w:jc w:val="both"/>
        <w:rPr>
          <w:rFonts w:ascii="Times New Roman" w:hAnsi="Times New Roman"/>
          <w:sz w:val="22"/>
          <w:szCs w:val="22"/>
        </w:rPr>
      </w:pPr>
      <w:r w:rsidRPr="00511459">
        <w:rPr>
          <w:rFonts w:ascii="Times New Roman" w:hAnsi="Times New Roman"/>
          <w:b/>
          <w:bCs/>
          <w:sz w:val="22"/>
          <w:szCs w:val="22"/>
        </w:rPr>
        <w:t>Keywords</w:t>
      </w:r>
      <w:r w:rsidRPr="00511459">
        <w:rPr>
          <w:rFonts w:ascii="Times New Roman" w:hAnsi="Times New Roman"/>
          <w:sz w:val="22"/>
          <w:szCs w:val="22"/>
        </w:rPr>
        <w:t>: perimetry, visual field, telemedicine, glaucoma, tablet, systematic review, meta-analysis</w:t>
      </w:r>
    </w:p>
    <w:p w14:paraId="578412BB" w14:textId="77777777" w:rsidR="006856C6" w:rsidRPr="00D97D6C" w:rsidRDefault="006856C6" w:rsidP="006856C6">
      <w:pPr>
        <w:pStyle w:val="p1"/>
        <w:jc w:val="both"/>
        <w:rPr>
          <w:rFonts w:ascii="Times New Roman" w:hAnsi="Times New Roman"/>
          <w:sz w:val="22"/>
          <w:szCs w:val="22"/>
        </w:rPr>
      </w:pPr>
    </w:p>
    <w:p w14:paraId="00CF70D2" w14:textId="5C5B4440"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Authors:</w:t>
      </w:r>
      <w:r w:rsidRPr="00511459">
        <w:rPr>
          <w:rFonts w:ascii="Times New Roman" w:hAnsi="Times New Roman"/>
          <w:sz w:val="22"/>
          <w:szCs w:val="22"/>
        </w:rPr>
        <w:t xml:space="preserve"> Andrés Inzunza, MD</w:t>
      </w:r>
      <w:r w:rsidRPr="00511459">
        <w:rPr>
          <w:rFonts w:ascii="Times New Roman" w:hAnsi="Times New Roman"/>
          <w:sz w:val="22"/>
          <w:szCs w:val="22"/>
          <w:vertAlign w:val="subscript"/>
        </w:rPr>
        <w:t>1,2</w:t>
      </w:r>
      <w:r w:rsidRPr="00511459">
        <w:rPr>
          <w:rFonts w:ascii="Times New Roman" w:hAnsi="Times New Roman"/>
          <w:sz w:val="22"/>
          <w:szCs w:val="22"/>
        </w:rPr>
        <w:t>, Edgar Alejandro Moreno-Diaz, MD</w:t>
      </w:r>
      <w:r w:rsidRPr="00511459">
        <w:rPr>
          <w:rFonts w:ascii="Times New Roman" w:hAnsi="Times New Roman"/>
          <w:sz w:val="22"/>
          <w:szCs w:val="22"/>
          <w:vertAlign w:val="subscript"/>
        </w:rPr>
        <w:t>3</w:t>
      </w:r>
      <w:r w:rsidRPr="00511459">
        <w:rPr>
          <w:rFonts w:ascii="Times New Roman" w:hAnsi="Times New Roman"/>
          <w:sz w:val="22"/>
          <w:szCs w:val="22"/>
        </w:rPr>
        <w:t>, Deborah Goss, MLS, MA</w:t>
      </w:r>
      <w:r w:rsidR="00DD1079">
        <w:rPr>
          <w:rFonts w:ascii="Times New Roman" w:hAnsi="Times New Roman"/>
          <w:sz w:val="22"/>
          <w:szCs w:val="22"/>
          <w:vertAlign w:val="subscript"/>
        </w:rPr>
        <w:t>4</w:t>
      </w:r>
      <w:r w:rsidRPr="00511459">
        <w:rPr>
          <w:rFonts w:ascii="Times New Roman" w:hAnsi="Times New Roman"/>
          <w:sz w:val="22"/>
          <w:szCs w:val="22"/>
        </w:rPr>
        <w:t xml:space="preserve">, David Friedman, MD, MPH, PhD </w:t>
      </w:r>
      <w:r w:rsidRPr="00511459">
        <w:rPr>
          <w:rFonts w:ascii="Times New Roman" w:hAnsi="Times New Roman"/>
          <w:sz w:val="22"/>
          <w:szCs w:val="22"/>
          <w:vertAlign w:val="subscript"/>
        </w:rPr>
        <w:t>1,2</w:t>
      </w:r>
    </w:p>
    <w:p w14:paraId="3127D672" w14:textId="77777777" w:rsidR="006856C6" w:rsidRPr="00511459" w:rsidRDefault="006856C6" w:rsidP="006856C6">
      <w:pPr>
        <w:pStyle w:val="p1"/>
        <w:jc w:val="both"/>
        <w:rPr>
          <w:rFonts w:ascii="Times New Roman" w:hAnsi="Times New Roman"/>
          <w:b/>
          <w:bCs/>
          <w:sz w:val="22"/>
          <w:szCs w:val="22"/>
        </w:rPr>
      </w:pPr>
    </w:p>
    <w:p w14:paraId="605AA90E"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Corresponding Author:</w:t>
      </w:r>
    </w:p>
    <w:p w14:paraId="11147B08"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David S. Friedman, MD, MPH, PhD</w:t>
      </w:r>
    </w:p>
    <w:p w14:paraId="59C0A437"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Professor of Ophthalmology, Harvard Medical School</w:t>
      </w:r>
    </w:p>
    <w:p w14:paraId="4E68C8AB" w14:textId="77777777" w:rsidR="006856C6" w:rsidRPr="00511459" w:rsidRDefault="006856C6" w:rsidP="006856C6">
      <w:pPr>
        <w:pStyle w:val="p1"/>
        <w:jc w:val="both"/>
        <w:rPr>
          <w:rFonts w:ascii="Times New Roman" w:hAnsi="Times New Roman"/>
          <w:sz w:val="22"/>
          <w:szCs w:val="22"/>
        </w:rPr>
      </w:pPr>
      <w:hyperlink r:id="rId7" w:history="1">
        <w:r w:rsidRPr="00511459">
          <w:rPr>
            <w:rStyle w:val="Hyperlink"/>
            <w:rFonts w:ascii="Times New Roman" w:hAnsi="Times New Roman"/>
            <w:sz w:val="22"/>
            <w:szCs w:val="22"/>
          </w:rPr>
          <w:t>david_friedman@meei.harvard.edu</w:t>
        </w:r>
      </w:hyperlink>
    </w:p>
    <w:p w14:paraId="24E7172C" w14:textId="77777777" w:rsidR="006856C6" w:rsidRPr="00511459" w:rsidRDefault="006856C6" w:rsidP="006856C6">
      <w:pPr>
        <w:pStyle w:val="p1"/>
        <w:jc w:val="both"/>
        <w:rPr>
          <w:rFonts w:ascii="Times New Roman" w:hAnsi="Times New Roman"/>
          <w:b/>
          <w:bCs/>
          <w:sz w:val="22"/>
          <w:szCs w:val="22"/>
        </w:rPr>
      </w:pPr>
    </w:p>
    <w:p w14:paraId="5070BEA9" w14:textId="32249283"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Financial support</w:t>
      </w:r>
      <w:r w:rsidRPr="00511459">
        <w:rPr>
          <w:rFonts w:ascii="Times New Roman" w:hAnsi="Times New Roman"/>
          <w:sz w:val="22"/>
          <w:szCs w:val="22"/>
        </w:rPr>
        <w:t xml:space="preserve">: Two authors (AI and EAMD) received a </w:t>
      </w:r>
      <w:r w:rsidR="006664BD">
        <w:rPr>
          <w:rFonts w:ascii="Times New Roman" w:hAnsi="Times New Roman"/>
          <w:sz w:val="22"/>
          <w:szCs w:val="22"/>
        </w:rPr>
        <w:t>monetary</w:t>
      </w:r>
      <w:r w:rsidRPr="00511459">
        <w:rPr>
          <w:rFonts w:ascii="Times New Roman" w:hAnsi="Times New Roman"/>
          <w:sz w:val="22"/>
          <w:szCs w:val="22"/>
        </w:rPr>
        <w:t xml:space="preserve"> grant from the Mexican National Council of Science and Technology (CONAHCYT/SECIHTI) to support their graduate education. The funding organization had no role in the design or conduct of the research.</w:t>
      </w:r>
    </w:p>
    <w:p w14:paraId="104F44C5" w14:textId="77777777" w:rsidR="006856C6" w:rsidRPr="00511459" w:rsidRDefault="006856C6" w:rsidP="006856C6">
      <w:pPr>
        <w:pStyle w:val="p1"/>
        <w:jc w:val="both"/>
        <w:rPr>
          <w:rFonts w:ascii="Times New Roman" w:hAnsi="Times New Roman"/>
          <w:sz w:val="22"/>
          <w:szCs w:val="22"/>
        </w:rPr>
      </w:pPr>
    </w:p>
    <w:p w14:paraId="4C0DF835"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Conflict of Interest</w:t>
      </w:r>
      <w:r w:rsidRPr="00511459">
        <w:rPr>
          <w:rFonts w:ascii="Times New Roman" w:hAnsi="Times New Roman"/>
          <w:sz w:val="22"/>
          <w:szCs w:val="22"/>
        </w:rPr>
        <w:t xml:space="preserve">: </w:t>
      </w:r>
    </w:p>
    <w:p w14:paraId="4EF7DD66" w14:textId="4585A808" w:rsidR="006856C6" w:rsidRPr="00511459" w:rsidRDefault="006856C6" w:rsidP="006856C6">
      <w:pPr>
        <w:spacing w:after="0" w:line="240" w:lineRule="auto"/>
        <w:jc w:val="both"/>
        <w:rPr>
          <w:rFonts w:ascii="Times New Roman" w:hAnsi="Times New Roman" w:cs="Times New Roman"/>
          <w:color w:val="000000"/>
          <w:sz w:val="22"/>
          <w:szCs w:val="22"/>
        </w:rPr>
      </w:pPr>
      <w:r w:rsidRPr="00511459">
        <w:rPr>
          <w:rFonts w:ascii="Times New Roman" w:hAnsi="Times New Roman" w:cs="Times New Roman"/>
          <w:color w:val="000000"/>
          <w:sz w:val="22"/>
          <w:szCs w:val="22"/>
        </w:rPr>
        <w:t>David S. Friedman is a consultant for Théa Pharmaceuticals</w:t>
      </w:r>
      <w:r w:rsidR="002A3622">
        <w:rPr>
          <w:rFonts w:ascii="Times New Roman" w:hAnsi="Times New Roman" w:cs="Times New Roman"/>
          <w:color w:val="000000"/>
          <w:sz w:val="22"/>
          <w:szCs w:val="22"/>
        </w:rPr>
        <w:t>, Abb</w:t>
      </w:r>
      <w:r w:rsidR="006664BD">
        <w:rPr>
          <w:rFonts w:ascii="Times New Roman" w:hAnsi="Times New Roman" w:cs="Times New Roman"/>
          <w:color w:val="000000"/>
          <w:sz w:val="22"/>
          <w:szCs w:val="22"/>
        </w:rPr>
        <w:t>V</w:t>
      </w:r>
      <w:r w:rsidR="002A3622">
        <w:rPr>
          <w:rFonts w:ascii="Times New Roman" w:hAnsi="Times New Roman" w:cs="Times New Roman"/>
          <w:color w:val="000000"/>
          <w:sz w:val="22"/>
          <w:szCs w:val="22"/>
        </w:rPr>
        <w:t>ie, Regeneron,</w:t>
      </w:r>
      <w:r w:rsidRPr="00511459">
        <w:rPr>
          <w:rFonts w:ascii="Times New Roman" w:hAnsi="Times New Roman" w:cs="Times New Roman"/>
          <w:color w:val="000000"/>
          <w:sz w:val="22"/>
          <w:szCs w:val="22"/>
        </w:rPr>
        <w:t xml:space="preserve"> and Life Biosciences and has received honoraria for lecturing. David S. Friedman has received research support from Genentech and Perivision. No private or public entity played a role in the design or conduct of the study; collection, management, analysis, or interpretation of the data; preparation, review, or approval of the manuscript; or the decision to submit the manuscript for publication. </w:t>
      </w:r>
      <w:r w:rsidRPr="00511459">
        <w:rPr>
          <w:rFonts w:ascii="Times New Roman" w:hAnsi="Times New Roman" w:cs="Times New Roman"/>
          <w:sz w:val="22"/>
          <w:szCs w:val="22"/>
        </w:rPr>
        <w:t>No other authors have any conflicts of interest to disclose.</w:t>
      </w:r>
    </w:p>
    <w:p w14:paraId="15F56B39" w14:textId="77777777" w:rsidR="006856C6" w:rsidRPr="00511459" w:rsidRDefault="006856C6" w:rsidP="006856C6">
      <w:pPr>
        <w:pStyle w:val="p1"/>
        <w:jc w:val="both"/>
        <w:rPr>
          <w:rFonts w:ascii="Times New Roman" w:hAnsi="Times New Roman"/>
          <w:b/>
          <w:bCs/>
          <w:sz w:val="22"/>
          <w:szCs w:val="22"/>
        </w:rPr>
      </w:pPr>
    </w:p>
    <w:p w14:paraId="031F2308"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Address for reprints:</w:t>
      </w:r>
    </w:p>
    <w:p w14:paraId="5C8F9BA8"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243 Charles Street</w:t>
      </w:r>
    </w:p>
    <w:p w14:paraId="0C536D41"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Boston, MA 02114</w:t>
      </w:r>
    </w:p>
    <w:p w14:paraId="77930C55" w14:textId="77777777" w:rsidR="006856C6" w:rsidRPr="00511459" w:rsidRDefault="006856C6" w:rsidP="006856C6">
      <w:pPr>
        <w:pStyle w:val="p1"/>
        <w:jc w:val="both"/>
        <w:rPr>
          <w:rFonts w:ascii="Times New Roman" w:hAnsi="Times New Roman"/>
          <w:b/>
          <w:bCs/>
          <w:sz w:val="22"/>
          <w:szCs w:val="22"/>
        </w:rPr>
      </w:pPr>
    </w:p>
    <w:p w14:paraId="5F4D2225"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b/>
          <w:bCs/>
          <w:sz w:val="22"/>
          <w:szCs w:val="22"/>
        </w:rPr>
        <w:t>Abbreviations:</w:t>
      </w:r>
    </w:p>
    <w:p w14:paraId="2D23DCA7"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Visual Field = VF</w:t>
      </w:r>
    </w:p>
    <w:p w14:paraId="53D4CC22"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Humphrey Field Analyzer = HFA</w:t>
      </w:r>
    </w:p>
    <w:p w14:paraId="25A8098C"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Melbourne Rapid Fields = MRF</w:t>
      </w:r>
    </w:p>
    <w:p w14:paraId="3A83077E"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Swedish Interactive Threshold Algorithm = SITA</w:t>
      </w:r>
    </w:p>
    <w:p w14:paraId="4FC33920"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Mean deviation = MD</w:t>
      </w:r>
    </w:p>
    <w:p w14:paraId="0F735DFD"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Pattern deviation= PD</w:t>
      </w:r>
    </w:p>
    <w:p w14:paraId="57E972D3"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Pattern standard deviation = PSD</w:t>
      </w:r>
    </w:p>
    <w:p w14:paraId="31E6E02B"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Ocular hypertension = OHTN</w:t>
      </w:r>
    </w:p>
    <w:p w14:paraId="0132B175" w14:textId="77777777" w:rsidR="006856C6" w:rsidRPr="00511459" w:rsidRDefault="006856C6" w:rsidP="006856C6">
      <w:pPr>
        <w:pStyle w:val="p1"/>
        <w:jc w:val="both"/>
        <w:rPr>
          <w:rFonts w:ascii="Times New Roman" w:hAnsi="Times New Roman"/>
          <w:sz w:val="22"/>
          <w:szCs w:val="22"/>
        </w:rPr>
      </w:pPr>
      <w:r w:rsidRPr="00511459">
        <w:rPr>
          <w:rFonts w:ascii="Times New Roman" w:hAnsi="Times New Roman"/>
          <w:sz w:val="22"/>
          <w:szCs w:val="22"/>
        </w:rPr>
        <w:t>Decibels = dB</w:t>
      </w:r>
    </w:p>
    <w:p w14:paraId="10CE9532"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603E61C6"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 xml:space="preserve">1- Harvard Medical School, </w:t>
      </w:r>
      <w:r w:rsidRPr="00511459">
        <w:rPr>
          <w:rFonts w:ascii="Times New Roman" w:hAnsi="Times New Roman" w:cs="Times New Roman"/>
          <w:color w:val="000000" w:themeColor="text1"/>
          <w:sz w:val="22"/>
          <w:szCs w:val="22"/>
          <w:shd w:val="clear" w:color="auto" w:fill="FFFFFF"/>
        </w:rPr>
        <w:t>Boston, MA</w:t>
      </w:r>
    </w:p>
    <w:p w14:paraId="5439E0A0"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shd w:val="clear" w:color="auto" w:fill="FFFFFF"/>
        </w:rPr>
        <w:t>2- Department of Ophthalmology, Massachusetts Eye and Ear, Harvard Medical School, Boston, MA</w:t>
      </w:r>
    </w:p>
    <w:p w14:paraId="4B6B4DBD" w14:textId="1F9D39B7" w:rsidR="006856C6" w:rsidRPr="00562692" w:rsidRDefault="006856C6" w:rsidP="006856C6">
      <w:pPr>
        <w:spacing w:after="0" w:line="240" w:lineRule="auto"/>
        <w:jc w:val="both"/>
        <w:rPr>
          <w:rFonts w:ascii="Times New Roman" w:hAnsi="Times New Roman" w:cs="Times New Roman"/>
          <w:color w:val="000000" w:themeColor="text1"/>
          <w:sz w:val="22"/>
          <w:szCs w:val="22"/>
          <w:shd w:val="clear" w:color="auto" w:fill="FFFFFF"/>
          <w:lang w:val="es-ES"/>
        </w:rPr>
      </w:pPr>
      <w:r w:rsidRPr="00562692">
        <w:rPr>
          <w:rFonts w:ascii="Times New Roman" w:hAnsi="Times New Roman" w:cs="Times New Roman"/>
          <w:color w:val="000000" w:themeColor="text1"/>
          <w:sz w:val="22"/>
          <w:szCs w:val="22"/>
          <w:shd w:val="clear" w:color="auto" w:fill="FFFFFF"/>
          <w:lang w:val="es-ES"/>
        </w:rPr>
        <w:t xml:space="preserve">3- Escuela de Medicina, Tecnológico de Monterrey, Guadalajara, </w:t>
      </w:r>
      <w:r w:rsidR="006664BD" w:rsidRPr="00562692">
        <w:rPr>
          <w:rFonts w:ascii="Times New Roman" w:hAnsi="Times New Roman" w:cs="Times New Roman"/>
          <w:color w:val="000000" w:themeColor="text1"/>
          <w:sz w:val="22"/>
          <w:szCs w:val="22"/>
          <w:shd w:val="clear" w:color="auto" w:fill="FFFFFF"/>
          <w:lang w:val="es-ES"/>
        </w:rPr>
        <w:t>México</w:t>
      </w:r>
    </w:p>
    <w:p w14:paraId="6E922FE9" w14:textId="699740FB" w:rsidR="006856C6" w:rsidRPr="00511459" w:rsidRDefault="0080661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shd w:val="clear" w:color="auto" w:fill="FFFFFF"/>
        </w:rPr>
        <w:t>4</w:t>
      </w:r>
      <w:r w:rsidR="006856C6" w:rsidRPr="00511459">
        <w:rPr>
          <w:rFonts w:ascii="Times New Roman" w:hAnsi="Times New Roman" w:cs="Times New Roman"/>
          <w:color w:val="000000" w:themeColor="text1"/>
          <w:sz w:val="22"/>
          <w:szCs w:val="22"/>
          <w:shd w:val="clear" w:color="auto" w:fill="FFFFFF"/>
        </w:rPr>
        <w:t>- Howe Library, Massachusetts Eye and Ear, Harvard Medical School, Boston, MA</w:t>
      </w:r>
    </w:p>
    <w:p w14:paraId="66FEFD40" w14:textId="77777777"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p>
    <w:p w14:paraId="5F46633B" w14:textId="77777777" w:rsidR="006856C6" w:rsidRPr="00511459" w:rsidRDefault="006856C6" w:rsidP="006856C6">
      <w:pPr>
        <w:spacing w:after="0" w:line="240" w:lineRule="auto"/>
        <w:rPr>
          <w:rFonts w:ascii="Times New Roman" w:hAnsi="Times New Roman" w:cs="Times New Roman"/>
          <w:b/>
          <w:bCs/>
          <w:color w:val="000000" w:themeColor="text1"/>
          <w:sz w:val="22"/>
          <w:szCs w:val="22"/>
        </w:rPr>
      </w:pPr>
    </w:p>
    <w:p w14:paraId="2A59A640"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391E9FF4"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08FEF610" w14:textId="77777777" w:rsidR="009D2A81" w:rsidRDefault="009D2A81" w:rsidP="006856C6">
      <w:pPr>
        <w:spacing w:after="0" w:line="240" w:lineRule="auto"/>
        <w:jc w:val="both"/>
        <w:rPr>
          <w:rFonts w:ascii="Times New Roman" w:hAnsi="Times New Roman" w:cs="Times New Roman"/>
          <w:b/>
          <w:bCs/>
          <w:color w:val="000000" w:themeColor="text1"/>
          <w:sz w:val="22"/>
          <w:szCs w:val="22"/>
        </w:rPr>
      </w:pPr>
    </w:p>
    <w:p w14:paraId="4C4BBA98"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163F242C" w14:textId="77777777" w:rsidR="002A1FFE" w:rsidRDefault="002A1FFE" w:rsidP="006856C6">
      <w:pPr>
        <w:spacing w:after="0" w:line="240" w:lineRule="auto"/>
        <w:jc w:val="both"/>
        <w:rPr>
          <w:rFonts w:ascii="Times New Roman" w:hAnsi="Times New Roman" w:cs="Times New Roman"/>
          <w:b/>
          <w:bCs/>
          <w:color w:val="000000" w:themeColor="text1"/>
          <w:sz w:val="22"/>
          <w:szCs w:val="22"/>
        </w:rPr>
      </w:pPr>
    </w:p>
    <w:p w14:paraId="10422ECA" w14:textId="462F0E29"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r w:rsidRPr="00511459">
        <w:rPr>
          <w:rFonts w:ascii="Times New Roman" w:hAnsi="Times New Roman" w:cs="Times New Roman"/>
          <w:b/>
          <w:bCs/>
          <w:color w:val="000000" w:themeColor="text1"/>
          <w:sz w:val="22"/>
          <w:szCs w:val="22"/>
        </w:rPr>
        <w:lastRenderedPageBreak/>
        <w:t>Abstract</w:t>
      </w:r>
    </w:p>
    <w:p w14:paraId="5609BF7E"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4F0422E2" w14:textId="76E5B1CB" w:rsidR="006856C6" w:rsidRDefault="006856C6" w:rsidP="006856C6">
      <w:pPr>
        <w:pStyle w:val="NormalWeb"/>
        <w:jc w:val="both"/>
        <w:rPr>
          <w:color w:val="000000" w:themeColor="text1"/>
          <w:sz w:val="22"/>
          <w:szCs w:val="22"/>
        </w:rPr>
      </w:pPr>
      <w:r>
        <w:rPr>
          <w:b/>
          <w:bCs/>
          <w:color w:val="000000" w:themeColor="text1"/>
          <w:sz w:val="22"/>
          <w:szCs w:val="22"/>
        </w:rPr>
        <w:t>Purpose</w:t>
      </w:r>
      <w:r w:rsidRPr="00511459">
        <w:rPr>
          <w:color w:val="000000" w:themeColor="text1"/>
          <w:sz w:val="22"/>
          <w:szCs w:val="22"/>
        </w:rPr>
        <w:t>:</w:t>
      </w:r>
      <w:r w:rsidRPr="00511459">
        <w:rPr>
          <w:b/>
          <w:bCs/>
          <w:color w:val="000000" w:themeColor="text1"/>
          <w:sz w:val="22"/>
          <w:szCs w:val="22"/>
        </w:rPr>
        <w:t xml:space="preserve"> </w:t>
      </w:r>
      <w:r w:rsidRPr="00CB0162">
        <w:rPr>
          <w:color w:val="000000" w:themeColor="text1"/>
          <w:sz w:val="22"/>
          <w:szCs w:val="22"/>
        </w:rPr>
        <w:t>The Humphrey Field Analyzer (HFA) is the most widely used perimeter in glaucoma, but its cost</w:t>
      </w:r>
      <w:r>
        <w:rPr>
          <w:color w:val="000000" w:themeColor="text1"/>
          <w:sz w:val="22"/>
          <w:szCs w:val="22"/>
        </w:rPr>
        <w:t xml:space="preserve"> </w:t>
      </w:r>
      <w:r w:rsidRPr="00CB0162">
        <w:rPr>
          <w:color w:val="000000" w:themeColor="text1"/>
          <w:sz w:val="22"/>
          <w:szCs w:val="22"/>
        </w:rPr>
        <w:t xml:space="preserve">and </w:t>
      </w:r>
      <w:r>
        <w:rPr>
          <w:color w:val="000000" w:themeColor="text1"/>
          <w:sz w:val="22"/>
          <w:szCs w:val="22"/>
        </w:rPr>
        <w:t>low</w:t>
      </w:r>
      <w:r w:rsidRPr="00CB0162">
        <w:rPr>
          <w:color w:val="000000" w:themeColor="text1"/>
          <w:sz w:val="22"/>
          <w:szCs w:val="22"/>
        </w:rPr>
        <w:t xml:space="preserve"> portability limit its use in resource-constrained settings. Melbourne Rapid Fields (MRF) is a low-cost, tablet-based perimeter </w:t>
      </w:r>
      <w:r w:rsidR="002A3622">
        <w:rPr>
          <w:color w:val="000000" w:themeColor="text1"/>
          <w:sz w:val="22"/>
          <w:szCs w:val="22"/>
        </w:rPr>
        <w:t xml:space="preserve">system </w:t>
      </w:r>
      <w:r w:rsidRPr="00CB0162">
        <w:rPr>
          <w:color w:val="000000" w:themeColor="text1"/>
          <w:sz w:val="22"/>
          <w:szCs w:val="22"/>
        </w:rPr>
        <w:t xml:space="preserve">that </w:t>
      </w:r>
      <w:r>
        <w:rPr>
          <w:color w:val="000000" w:themeColor="text1"/>
          <w:sz w:val="22"/>
          <w:szCs w:val="22"/>
        </w:rPr>
        <w:t xml:space="preserve">enables </w:t>
      </w:r>
      <w:r w:rsidR="002A3622">
        <w:rPr>
          <w:color w:val="000000" w:themeColor="text1"/>
          <w:sz w:val="22"/>
          <w:szCs w:val="22"/>
        </w:rPr>
        <w:t>at-home</w:t>
      </w:r>
      <w:r>
        <w:rPr>
          <w:color w:val="000000" w:themeColor="text1"/>
          <w:sz w:val="22"/>
          <w:szCs w:val="22"/>
        </w:rPr>
        <w:t xml:space="preserve"> </w:t>
      </w:r>
      <w:r w:rsidR="002A3622">
        <w:rPr>
          <w:color w:val="000000" w:themeColor="text1"/>
          <w:sz w:val="22"/>
          <w:szCs w:val="22"/>
        </w:rPr>
        <w:t>testing</w:t>
      </w:r>
      <w:r>
        <w:rPr>
          <w:color w:val="000000" w:themeColor="text1"/>
          <w:sz w:val="22"/>
          <w:szCs w:val="22"/>
        </w:rPr>
        <w:t xml:space="preserve"> and </w:t>
      </w:r>
      <w:r w:rsidR="002A3622">
        <w:rPr>
          <w:color w:val="000000" w:themeColor="text1"/>
          <w:sz w:val="22"/>
          <w:szCs w:val="22"/>
        </w:rPr>
        <w:t xml:space="preserve">testing </w:t>
      </w:r>
      <w:r>
        <w:rPr>
          <w:color w:val="000000" w:themeColor="text1"/>
          <w:sz w:val="22"/>
          <w:szCs w:val="22"/>
        </w:rPr>
        <w:t>in</w:t>
      </w:r>
      <w:r w:rsidRPr="00CB0162">
        <w:rPr>
          <w:color w:val="000000" w:themeColor="text1"/>
          <w:sz w:val="22"/>
          <w:szCs w:val="22"/>
        </w:rPr>
        <w:t xml:space="preserve"> low-resource </w:t>
      </w:r>
      <w:r>
        <w:rPr>
          <w:color w:val="000000" w:themeColor="text1"/>
          <w:sz w:val="22"/>
          <w:szCs w:val="22"/>
        </w:rPr>
        <w:t>environments</w:t>
      </w:r>
      <w:r w:rsidRPr="00CB0162">
        <w:rPr>
          <w:color w:val="000000" w:themeColor="text1"/>
          <w:sz w:val="22"/>
          <w:szCs w:val="22"/>
        </w:rPr>
        <w:t xml:space="preserve">. </w:t>
      </w:r>
      <w:r>
        <w:rPr>
          <w:color w:val="000000" w:themeColor="text1"/>
          <w:sz w:val="22"/>
          <w:szCs w:val="22"/>
        </w:rPr>
        <w:t xml:space="preserve">Despite growing </w:t>
      </w:r>
      <w:r w:rsidRPr="00CB0162">
        <w:rPr>
          <w:color w:val="000000" w:themeColor="text1"/>
          <w:sz w:val="22"/>
          <w:szCs w:val="22"/>
        </w:rPr>
        <w:t xml:space="preserve">evidence </w:t>
      </w:r>
      <w:r w:rsidR="002A3622">
        <w:rPr>
          <w:color w:val="000000" w:themeColor="text1"/>
          <w:sz w:val="22"/>
          <w:szCs w:val="22"/>
        </w:rPr>
        <w:t>that the</w:t>
      </w:r>
      <w:r w:rsidR="002A3622" w:rsidRPr="00CB0162">
        <w:rPr>
          <w:color w:val="000000" w:themeColor="text1"/>
          <w:sz w:val="22"/>
          <w:szCs w:val="22"/>
        </w:rPr>
        <w:t xml:space="preserve"> </w:t>
      </w:r>
      <w:r w:rsidRPr="00CB0162">
        <w:rPr>
          <w:color w:val="000000" w:themeColor="text1"/>
          <w:sz w:val="22"/>
          <w:szCs w:val="22"/>
        </w:rPr>
        <w:t>MRF</w:t>
      </w:r>
      <w:r w:rsidR="002A3622">
        <w:rPr>
          <w:color w:val="000000" w:themeColor="text1"/>
          <w:sz w:val="22"/>
          <w:szCs w:val="22"/>
        </w:rPr>
        <w:t xml:space="preserve"> can obtain reliable estimates of the visual field</w:t>
      </w:r>
      <w:r w:rsidRPr="00CB0162">
        <w:rPr>
          <w:color w:val="000000" w:themeColor="text1"/>
          <w:sz w:val="22"/>
          <w:szCs w:val="22"/>
        </w:rPr>
        <w:t xml:space="preserve">, no study has synthesized its </w:t>
      </w:r>
      <w:r>
        <w:rPr>
          <w:color w:val="000000" w:themeColor="text1"/>
          <w:sz w:val="22"/>
          <w:szCs w:val="22"/>
        </w:rPr>
        <w:t xml:space="preserve">perimetric </w:t>
      </w:r>
      <w:r w:rsidRPr="00CB0162">
        <w:rPr>
          <w:color w:val="000000" w:themeColor="text1"/>
          <w:sz w:val="22"/>
          <w:szCs w:val="22"/>
        </w:rPr>
        <w:t xml:space="preserve">performance through meta-analysis </w:t>
      </w:r>
      <w:r>
        <w:rPr>
          <w:color w:val="000000" w:themeColor="text1"/>
          <w:sz w:val="22"/>
          <w:szCs w:val="22"/>
        </w:rPr>
        <w:t xml:space="preserve">and compared it </w:t>
      </w:r>
      <w:r w:rsidRPr="00CB0162">
        <w:rPr>
          <w:color w:val="000000" w:themeColor="text1"/>
          <w:sz w:val="22"/>
          <w:szCs w:val="22"/>
        </w:rPr>
        <w:t>with HFA.</w:t>
      </w:r>
    </w:p>
    <w:p w14:paraId="6CBB1755" w14:textId="77777777" w:rsidR="006856C6" w:rsidRPr="00511459" w:rsidRDefault="006856C6" w:rsidP="006856C6">
      <w:pPr>
        <w:pStyle w:val="NormalWeb"/>
        <w:jc w:val="both"/>
        <w:rPr>
          <w:rFonts w:eastAsia="Times New Roman"/>
          <w:color w:val="000000" w:themeColor="text1"/>
          <w:kern w:val="0"/>
          <w:sz w:val="22"/>
          <w:szCs w:val="22"/>
          <w14:ligatures w14:val="none"/>
        </w:rPr>
      </w:pPr>
    </w:p>
    <w:p w14:paraId="607B12E9" w14:textId="2AB5FD08" w:rsidR="006856C6" w:rsidRDefault="006856C6" w:rsidP="006856C6">
      <w:pPr>
        <w:spacing w:after="0" w:line="240" w:lineRule="auto"/>
        <w:jc w:val="both"/>
        <w:outlineLvl w:val="2"/>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Methods</w:t>
      </w:r>
      <w:r w:rsidRPr="00511459">
        <w:rPr>
          <w:rFonts w:ascii="Times New Roman" w:hAnsi="Times New Roman" w:cs="Times New Roman"/>
          <w:color w:val="000000" w:themeColor="text1"/>
          <w:sz w:val="22"/>
          <w:szCs w:val="22"/>
        </w:rPr>
        <w:t xml:space="preserve">: Following PROSPERO registration, we conducted a systematic review to compare MRF with HFA in patients with glaucoma. Searches were performed using controlled vocabulary related to </w:t>
      </w:r>
      <w:r>
        <w:rPr>
          <w:rFonts w:ascii="Times New Roman" w:hAnsi="Times New Roman" w:cs="Times New Roman"/>
          <w:color w:val="000000" w:themeColor="text1"/>
          <w:sz w:val="22"/>
          <w:szCs w:val="22"/>
        </w:rPr>
        <w:t>perimetry</w:t>
      </w:r>
      <w:r w:rsidRPr="00511459">
        <w:rPr>
          <w:rFonts w:ascii="Times New Roman" w:hAnsi="Times New Roman" w:cs="Times New Roman"/>
          <w:color w:val="000000" w:themeColor="text1"/>
          <w:sz w:val="22"/>
          <w:szCs w:val="22"/>
        </w:rPr>
        <w:t xml:space="preserve"> assessment with </w:t>
      </w:r>
      <w:r>
        <w:rPr>
          <w:rFonts w:ascii="Times New Roman" w:hAnsi="Times New Roman" w:cs="Times New Roman"/>
          <w:color w:val="000000" w:themeColor="text1"/>
          <w:sz w:val="22"/>
          <w:szCs w:val="22"/>
        </w:rPr>
        <w:t>these devices</w:t>
      </w:r>
      <w:r w:rsidRPr="00511459">
        <w:rPr>
          <w:rFonts w:ascii="Times New Roman" w:hAnsi="Times New Roman" w:cs="Times New Roman"/>
          <w:color w:val="000000" w:themeColor="text1"/>
          <w:sz w:val="22"/>
          <w:szCs w:val="22"/>
        </w:rPr>
        <w:t>. Meta-analyses</w:t>
      </w:r>
      <w:r>
        <w:rPr>
          <w:rFonts w:ascii="Times New Roman" w:hAnsi="Times New Roman" w:cs="Times New Roman"/>
          <w:color w:val="000000" w:themeColor="text1"/>
          <w:sz w:val="22"/>
          <w:szCs w:val="22"/>
        </w:rPr>
        <w:t xml:space="preserve"> and n</w:t>
      </w:r>
      <w:r w:rsidRPr="00511459">
        <w:rPr>
          <w:rFonts w:ascii="Times New Roman" w:hAnsi="Times New Roman" w:cs="Times New Roman"/>
          <w:color w:val="000000" w:themeColor="text1"/>
          <w:sz w:val="22"/>
          <w:szCs w:val="22"/>
        </w:rPr>
        <w:t>arrative synthesis were conducted to</w:t>
      </w:r>
      <w:r>
        <w:rPr>
          <w:rFonts w:ascii="Times New Roman" w:hAnsi="Times New Roman" w:cs="Times New Roman"/>
          <w:color w:val="000000" w:themeColor="text1"/>
          <w:sz w:val="22"/>
          <w:szCs w:val="22"/>
        </w:rPr>
        <w:t xml:space="preserve"> summarize their performance.</w:t>
      </w:r>
    </w:p>
    <w:p w14:paraId="6C915839" w14:textId="77777777" w:rsidR="006856C6" w:rsidRPr="00B92992" w:rsidRDefault="006856C6" w:rsidP="006856C6">
      <w:pPr>
        <w:spacing w:after="0" w:line="240" w:lineRule="auto"/>
        <w:jc w:val="both"/>
        <w:outlineLvl w:val="2"/>
        <w:rPr>
          <w:rFonts w:ascii="Times New Roman" w:hAnsi="Times New Roman" w:cs="Times New Roman"/>
          <w:color w:val="000000" w:themeColor="text1"/>
          <w:sz w:val="22"/>
          <w:szCs w:val="22"/>
        </w:rPr>
      </w:pPr>
    </w:p>
    <w:p w14:paraId="1EF26BE9" w14:textId="4BEC3A4C" w:rsidR="006856C6"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Results</w:t>
      </w:r>
      <w:r w:rsidRPr="00511459">
        <w:rPr>
          <w:rFonts w:ascii="Times New Roman" w:hAnsi="Times New Roman" w:cs="Times New Roman"/>
          <w:i/>
          <w:iCs/>
          <w:color w:val="000000" w:themeColor="text1"/>
          <w:sz w:val="22"/>
          <w:szCs w:val="22"/>
        </w:rPr>
        <w:t>:</w:t>
      </w:r>
      <w:r w:rsidRPr="00186776">
        <w:rPr>
          <w:rFonts w:ascii="Times New Roman" w:hAnsi="Times New Roman" w:cs="Times New Roman"/>
          <w:color w:val="000000" w:themeColor="text1"/>
          <w:sz w:val="22"/>
          <w:szCs w:val="22"/>
        </w:rPr>
        <w:t xml:space="preserve"> Of </w:t>
      </w:r>
      <w:r w:rsidR="00E6094A">
        <w:rPr>
          <w:rFonts w:ascii="Times New Roman" w:hAnsi="Times New Roman" w:cs="Times New Roman"/>
          <w:color w:val="000000" w:themeColor="text1"/>
          <w:sz w:val="22"/>
          <w:szCs w:val="22"/>
        </w:rPr>
        <w:t>290</w:t>
      </w:r>
      <w:r w:rsidRPr="00186776">
        <w:rPr>
          <w:rFonts w:ascii="Times New Roman" w:hAnsi="Times New Roman" w:cs="Times New Roman"/>
          <w:color w:val="000000" w:themeColor="text1"/>
          <w:sz w:val="22"/>
          <w:szCs w:val="22"/>
        </w:rPr>
        <w:t xml:space="preserve"> studies screened, 9 were included, </w:t>
      </w:r>
      <w:r>
        <w:rPr>
          <w:rFonts w:ascii="Times New Roman" w:hAnsi="Times New Roman" w:cs="Times New Roman"/>
          <w:color w:val="000000" w:themeColor="text1"/>
          <w:sz w:val="22"/>
          <w:szCs w:val="22"/>
        </w:rPr>
        <w:t>aggregating</w:t>
      </w:r>
      <w:r w:rsidRPr="00186776">
        <w:rPr>
          <w:rFonts w:ascii="Times New Roman" w:hAnsi="Times New Roman" w:cs="Times New Roman"/>
          <w:color w:val="000000" w:themeColor="text1"/>
          <w:sz w:val="22"/>
          <w:szCs w:val="22"/>
        </w:rPr>
        <w:t xml:space="preserve"> data from 77</w:t>
      </w:r>
      <w:r>
        <w:rPr>
          <w:rFonts w:ascii="Times New Roman" w:hAnsi="Times New Roman" w:cs="Times New Roman"/>
          <w:color w:val="000000" w:themeColor="text1"/>
          <w:sz w:val="22"/>
          <w:szCs w:val="22"/>
        </w:rPr>
        <w:t>7</w:t>
      </w:r>
      <w:r w:rsidRPr="00186776">
        <w:rPr>
          <w:rFonts w:ascii="Times New Roman" w:hAnsi="Times New Roman" w:cs="Times New Roman"/>
          <w:color w:val="000000" w:themeColor="text1"/>
          <w:sz w:val="22"/>
          <w:szCs w:val="22"/>
        </w:rPr>
        <w:t xml:space="preserve"> eyes. </w:t>
      </w:r>
      <w:r w:rsidR="00650385">
        <w:rPr>
          <w:rFonts w:ascii="Times New Roman" w:hAnsi="Times New Roman" w:cs="Times New Roman"/>
          <w:color w:val="000000" w:themeColor="text1"/>
          <w:sz w:val="22"/>
          <w:szCs w:val="22"/>
        </w:rPr>
        <w:t xml:space="preserve">Pooled data comparing MRF </w:t>
      </w:r>
      <w:r w:rsidR="00D63B68">
        <w:rPr>
          <w:rFonts w:ascii="Times New Roman" w:hAnsi="Times New Roman" w:cs="Times New Roman"/>
          <w:color w:val="000000" w:themeColor="text1"/>
          <w:sz w:val="22"/>
          <w:szCs w:val="22"/>
        </w:rPr>
        <w:t xml:space="preserve">to HFA, </w:t>
      </w:r>
      <w:r w:rsidRPr="00186776">
        <w:rPr>
          <w:rFonts w:ascii="Times New Roman" w:hAnsi="Times New Roman" w:cs="Times New Roman"/>
          <w:color w:val="000000" w:themeColor="text1"/>
          <w:sz w:val="22"/>
          <w:szCs w:val="22"/>
        </w:rPr>
        <w:t xml:space="preserve">MRF </w:t>
      </w:r>
      <w:r w:rsidR="00650385">
        <w:rPr>
          <w:rFonts w:ascii="Times New Roman" w:hAnsi="Times New Roman" w:cs="Times New Roman"/>
          <w:color w:val="000000" w:themeColor="text1"/>
          <w:sz w:val="22"/>
          <w:szCs w:val="22"/>
        </w:rPr>
        <w:t>had</w:t>
      </w:r>
      <w:r w:rsidRPr="00186776">
        <w:rPr>
          <w:rFonts w:ascii="Times New Roman" w:hAnsi="Times New Roman" w:cs="Times New Roman"/>
          <w:color w:val="000000" w:themeColor="text1"/>
          <w:sz w:val="22"/>
          <w:szCs w:val="22"/>
        </w:rPr>
        <w:t xml:space="preserve"> faster testing (–1.33 minutes), less-negative MD (+2.08 dB), and higher PSD</w:t>
      </w:r>
      <w:r>
        <w:rPr>
          <w:rFonts w:ascii="Times New Roman" w:hAnsi="Times New Roman" w:cs="Times New Roman"/>
          <w:color w:val="000000" w:themeColor="text1"/>
          <w:sz w:val="22"/>
          <w:szCs w:val="22"/>
        </w:rPr>
        <w:t xml:space="preserve"> </w:t>
      </w:r>
      <w:r w:rsidRPr="00186776">
        <w:rPr>
          <w:rFonts w:ascii="Times New Roman" w:hAnsi="Times New Roman" w:cs="Times New Roman"/>
          <w:color w:val="000000" w:themeColor="text1"/>
          <w:sz w:val="22"/>
          <w:szCs w:val="22"/>
        </w:rPr>
        <w:t>(+0.77 dB). Global agreement with HFA was high (MD ICC = 0.94; MD R² = 0.85; PSD ICC = 0.85). Test–retest reliability was similar between devices (MRF ICC = 0.96; HFA ICC = 0.95). AUCs were comparable for MD (0.84 vs 0.85) but lower for PSD (0.81 vs 0.93). Narrative synthesis indicated greater pointwise variability at intermediate thresholds.</w:t>
      </w:r>
      <w:r>
        <w:rPr>
          <w:rFonts w:ascii="Times New Roman" w:hAnsi="Times New Roman" w:cs="Times New Roman"/>
          <w:color w:val="000000" w:themeColor="text1"/>
          <w:sz w:val="22"/>
          <w:szCs w:val="22"/>
        </w:rPr>
        <w:t xml:space="preserve"> </w:t>
      </w:r>
      <w:r w:rsidRPr="00186776">
        <w:rPr>
          <w:rFonts w:ascii="Times New Roman" w:hAnsi="Times New Roman" w:cs="Times New Roman"/>
          <w:color w:val="000000" w:themeColor="text1"/>
          <w:sz w:val="22"/>
          <w:szCs w:val="22"/>
        </w:rPr>
        <w:t xml:space="preserve">MRF </w:t>
      </w:r>
      <w:r w:rsidR="00650385">
        <w:rPr>
          <w:rFonts w:ascii="Times New Roman" w:hAnsi="Times New Roman" w:cs="Times New Roman"/>
          <w:color w:val="000000" w:themeColor="text1"/>
          <w:sz w:val="22"/>
          <w:szCs w:val="22"/>
        </w:rPr>
        <w:t>had</w:t>
      </w:r>
      <w:r w:rsidR="00650385" w:rsidRPr="00186776">
        <w:rPr>
          <w:rFonts w:ascii="Times New Roman" w:hAnsi="Times New Roman" w:cs="Times New Roman"/>
          <w:color w:val="000000" w:themeColor="text1"/>
          <w:sz w:val="22"/>
          <w:szCs w:val="22"/>
        </w:rPr>
        <w:t xml:space="preserve"> </w:t>
      </w:r>
      <w:r w:rsidRPr="00186776">
        <w:rPr>
          <w:rFonts w:ascii="Times New Roman" w:hAnsi="Times New Roman" w:cs="Times New Roman"/>
          <w:color w:val="000000" w:themeColor="text1"/>
          <w:sz w:val="22"/>
          <w:szCs w:val="22"/>
        </w:rPr>
        <w:t xml:space="preserve">higher and more </w:t>
      </w:r>
      <w:r>
        <w:rPr>
          <w:rFonts w:ascii="Times New Roman" w:hAnsi="Times New Roman" w:cs="Times New Roman"/>
          <w:color w:val="000000" w:themeColor="text1"/>
          <w:sz w:val="22"/>
          <w:szCs w:val="22"/>
        </w:rPr>
        <w:t>heterogeneous</w:t>
      </w:r>
      <w:r w:rsidRPr="00186776">
        <w:rPr>
          <w:rFonts w:ascii="Times New Roman" w:hAnsi="Times New Roman" w:cs="Times New Roman"/>
          <w:color w:val="000000" w:themeColor="text1"/>
          <w:sz w:val="22"/>
          <w:szCs w:val="22"/>
        </w:rPr>
        <w:t xml:space="preserve"> fixation losses, false positives, and false negatives. </w:t>
      </w:r>
    </w:p>
    <w:p w14:paraId="55227E05" w14:textId="77777777" w:rsidR="006856C6" w:rsidRPr="00B92992" w:rsidRDefault="006856C6" w:rsidP="006856C6">
      <w:pPr>
        <w:spacing w:after="0" w:line="240" w:lineRule="auto"/>
        <w:jc w:val="both"/>
        <w:rPr>
          <w:rFonts w:ascii="Times New Roman" w:hAnsi="Times New Roman" w:cs="Times New Roman"/>
          <w:color w:val="000000" w:themeColor="text1"/>
          <w:sz w:val="22"/>
          <w:szCs w:val="22"/>
        </w:rPr>
      </w:pPr>
    </w:p>
    <w:p w14:paraId="27495E62" w14:textId="3201D7ED" w:rsidR="006856C6" w:rsidRPr="00F37273" w:rsidRDefault="006856C6" w:rsidP="006856C6">
      <w:pPr>
        <w:spacing w:after="0" w:line="240" w:lineRule="auto"/>
        <w:jc w:val="both"/>
        <w:rPr>
          <w:rFonts w:ascii="Times New Roman" w:hAnsi="Times New Roman" w:cs="Times New Roman"/>
          <w:color w:val="000000" w:themeColor="text1"/>
          <w:sz w:val="22"/>
          <w:szCs w:val="22"/>
        </w:rPr>
      </w:pPr>
      <w:r w:rsidRPr="00E66540">
        <w:rPr>
          <w:rFonts w:ascii="Times New Roman" w:hAnsi="Times New Roman" w:cs="Times New Roman"/>
          <w:b/>
          <w:bCs/>
          <w:color w:val="000000" w:themeColor="text1"/>
          <w:sz w:val="22"/>
          <w:szCs w:val="22"/>
        </w:rPr>
        <w:t>Conclusion:</w:t>
      </w:r>
      <w:r>
        <w:rPr>
          <w:rFonts w:ascii="Times New Roman" w:hAnsi="Times New Roman" w:cs="Times New Roman"/>
          <w:b/>
          <w:bCs/>
          <w:i/>
          <w:iCs/>
          <w:color w:val="000000" w:themeColor="text1"/>
          <w:sz w:val="22"/>
          <w:szCs w:val="22"/>
        </w:rPr>
        <w:t xml:space="preserve"> </w:t>
      </w:r>
      <w:r w:rsidRPr="00511459">
        <w:rPr>
          <w:rFonts w:ascii="Times New Roman" w:hAnsi="Times New Roman" w:cs="Times New Roman"/>
          <w:color w:val="000000" w:themeColor="text1"/>
          <w:sz w:val="22"/>
          <w:szCs w:val="22"/>
        </w:rPr>
        <w:t xml:space="preserve">MRF </w:t>
      </w:r>
      <w:r>
        <w:rPr>
          <w:rFonts w:ascii="Times New Roman" w:hAnsi="Times New Roman" w:cs="Times New Roman"/>
          <w:color w:val="000000" w:themeColor="text1"/>
          <w:sz w:val="22"/>
          <w:szCs w:val="22"/>
        </w:rPr>
        <w:t>had</w:t>
      </w:r>
      <w:r w:rsidRPr="00511459">
        <w:rPr>
          <w:rFonts w:ascii="Times New Roman" w:hAnsi="Times New Roman" w:cs="Times New Roman"/>
          <w:color w:val="000000" w:themeColor="text1"/>
          <w:sz w:val="22"/>
          <w:szCs w:val="22"/>
        </w:rPr>
        <w:t xml:space="preserve"> shorter test durations, high global agreement with </w:t>
      </w:r>
      <w:r>
        <w:rPr>
          <w:rFonts w:ascii="Times New Roman" w:hAnsi="Times New Roman" w:cs="Times New Roman"/>
          <w:color w:val="000000" w:themeColor="text1"/>
          <w:sz w:val="22"/>
          <w:szCs w:val="22"/>
        </w:rPr>
        <w:t>HVF</w:t>
      </w:r>
      <w:r w:rsidRPr="0051145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excellent</w:t>
      </w:r>
      <w:r w:rsidRPr="00511459">
        <w:rPr>
          <w:rFonts w:ascii="Times New Roman" w:hAnsi="Times New Roman" w:cs="Times New Roman"/>
          <w:color w:val="000000" w:themeColor="text1"/>
          <w:sz w:val="22"/>
          <w:szCs w:val="22"/>
        </w:rPr>
        <w:t xml:space="preserve"> repeatability, and a bias toward less negative global results. </w:t>
      </w:r>
      <w:r w:rsidRPr="00413362">
        <w:rPr>
          <w:rFonts w:ascii="Times New Roman" w:eastAsia="Times New Roman" w:hAnsi="Times New Roman" w:cs="Times New Roman"/>
          <w:color w:val="000000"/>
          <w:kern w:val="0"/>
          <w:sz w:val="22"/>
          <w:szCs w:val="22"/>
          <w14:ligatures w14:val="none"/>
        </w:rPr>
        <w:t xml:space="preserve">MRF showed </w:t>
      </w:r>
      <w:r>
        <w:rPr>
          <w:rFonts w:ascii="Times New Roman" w:hAnsi="Times New Roman" w:cs="Times New Roman"/>
          <w:color w:val="000000" w:themeColor="text1"/>
          <w:sz w:val="22"/>
          <w:szCs w:val="22"/>
        </w:rPr>
        <w:t>greater</w:t>
      </w:r>
      <w:r w:rsidRPr="00186776">
        <w:rPr>
          <w:rFonts w:ascii="Times New Roman" w:hAnsi="Times New Roman" w:cs="Times New Roman"/>
          <w:color w:val="000000" w:themeColor="text1"/>
          <w:sz w:val="22"/>
          <w:szCs w:val="22"/>
        </w:rPr>
        <w:t xml:space="preserve"> pointwise variability</w:t>
      </w:r>
      <w:r>
        <w:rPr>
          <w:rFonts w:ascii="Times New Roman" w:hAnsi="Times New Roman" w:cs="Times New Roman"/>
          <w:color w:val="000000" w:themeColor="text1"/>
          <w:sz w:val="22"/>
          <w:szCs w:val="22"/>
        </w:rPr>
        <w:t xml:space="preserve"> at certain thresholds</w:t>
      </w:r>
      <w:r w:rsidRPr="00186776">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and </w:t>
      </w:r>
      <w:r>
        <w:rPr>
          <w:rFonts w:ascii="Times New Roman" w:eastAsia="Times New Roman" w:hAnsi="Times New Roman" w:cs="Times New Roman"/>
          <w:color w:val="000000"/>
          <w:kern w:val="0"/>
          <w:sz w:val="22"/>
          <w:szCs w:val="22"/>
          <w14:ligatures w14:val="none"/>
        </w:rPr>
        <w:t>worse reliability measures.</w:t>
      </w:r>
      <w:r w:rsidR="00F37273">
        <w:rPr>
          <w:rFonts w:ascii="Times New Roman" w:eastAsia="Times New Roman" w:hAnsi="Times New Roman" w:cs="Times New Roman"/>
          <w:color w:val="000000"/>
          <w:kern w:val="0"/>
          <w:sz w:val="22"/>
          <w:szCs w:val="22"/>
          <w14:ligatures w14:val="none"/>
        </w:rPr>
        <w:t xml:space="preserve"> Despite these</w:t>
      </w:r>
      <w:r w:rsidR="00CB51D1">
        <w:rPr>
          <w:rFonts w:ascii="Times New Roman" w:eastAsia="Times New Roman" w:hAnsi="Times New Roman" w:cs="Times New Roman"/>
          <w:color w:val="000000"/>
          <w:kern w:val="0"/>
          <w:sz w:val="22"/>
          <w:szCs w:val="22"/>
          <w14:ligatures w14:val="none"/>
        </w:rPr>
        <w:t xml:space="preserve"> </w:t>
      </w:r>
      <w:r w:rsidR="00F37273">
        <w:rPr>
          <w:rFonts w:ascii="Times New Roman" w:eastAsia="Times New Roman" w:hAnsi="Times New Roman" w:cs="Times New Roman"/>
          <w:color w:val="000000"/>
          <w:kern w:val="0"/>
          <w:sz w:val="22"/>
          <w:szCs w:val="22"/>
          <w14:ligatures w14:val="none"/>
        </w:rPr>
        <w:t>differences, MRF return</w:t>
      </w:r>
      <w:r w:rsidR="00D63B68">
        <w:rPr>
          <w:rFonts w:ascii="Times New Roman" w:eastAsia="Times New Roman" w:hAnsi="Times New Roman" w:cs="Times New Roman"/>
          <w:color w:val="000000"/>
          <w:kern w:val="0"/>
          <w:sz w:val="22"/>
          <w:szCs w:val="22"/>
          <w14:ligatures w14:val="none"/>
        </w:rPr>
        <w:t>ed</w:t>
      </w:r>
      <w:r w:rsidR="00F37273">
        <w:rPr>
          <w:rFonts w:ascii="Times New Roman" w:eastAsia="Times New Roman" w:hAnsi="Times New Roman" w:cs="Times New Roman"/>
          <w:color w:val="000000"/>
          <w:kern w:val="0"/>
          <w:sz w:val="22"/>
          <w:szCs w:val="22"/>
          <w14:ligatures w14:val="none"/>
        </w:rPr>
        <w:t xml:space="preserve"> diagnostic information comparable to HFA</w:t>
      </w:r>
      <w:r w:rsidR="000D700C">
        <w:rPr>
          <w:rFonts w:ascii="Times New Roman" w:eastAsia="Times New Roman" w:hAnsi="Times New Roman" w:cs="Times New Roman"/>
          <w:color w:val="000000"/>
          <w:kern w:val="0"/>
          <w:sz w:val="22"/>
          <w:szCs w:val="22"/>
          <w14:ligatures w14:val="none"/>
        </w:rPr>
        <w:t>.</w:t>
      </w:r>
    </w:p>
    <w:p w14:paraId="44B6A3E7" w14:textId="77777777" w:rsidR="006856C6" w:rsidRPr="00D97D6C" w:rsidRDefault="006856C6" w:rsidP="006856C6">
      <w:pPr>
        <w:spacing w:after="0" w:line="240" w:lineRule="auto"/>
        <w:jc w:val="both"/>
        <w:rPr>
          <w:rFonts w:ascii="Times New Roman" w:hAnsi="Times New Roman" w:cs="Times New Roman"/>
          <w:color w:val="000000" w:themeColor="text1"/>
          <w:sz w:val="22"/>
          <w:szCs w:val="22"/>
        </w:rPr>
      </w:pPr>
    </w:p>
    <w:p w14:paraId="68564CAE" w14:textId="77777777" w:rsidR="006856C6" w:rsidRPr="00362FEA" w:rsidRDefault="006856C6" w:rsidP="006856C6">
      <w:pPr>
        <w:spacing w:after="0" w:line="240" w:lineRule="auto"/>
        <w:jc w:val="both"/>
        <w:rPr>
          <w:rFonts w:ascii="Times New Roman" w:hAnsi="Times New Roman" w:cs="Times New Roman"/>
          <w:b/>
          <w:bCs/>
          <w:color w:val="000000" w:themeColor="text1"/>
          <w:sz w:val="22"/>
          <w:szCs w:val="22"/>
        </w:rPr>
      </w:pPr>
    </w:p>
    <w:p w14:paraId="2C594B5F" w14:textId="77777777" w:rsidR="00ED1FC0" w:rsidRDefault="00ED1FC0" w:rsidP="006856C6">
      <w:pPr>
        <w:spacing w:after="0" w:line="240" w:lineRule="auto"/>
        <w:jc w:val="both"/>
        <w:rPr>
          <w:rFonts w:ascii="Times New Roman" w:hAnsi="Times New Roman" w:cs="Times New Roman"/>
          <w:b/>
          <w:bCs/>
          <w:color w:val="000000" w:themeColor="text1"/>
          <w:sz w:val="22"/>
          <w:szCs w:val="22"/>
        </w:rPr>
      </w:pPr>
    </w:p>
    <w:p w14:paraId="3FA1D853" w14:textId="5251A896" w:rsidR="006856C6" w:rsidRDefault="00B93987" w:rsidP="006856C6">
      <w:pPr>
        <w:spacing w:after="0" w:line="240" w:lineRule="auto"/>
        <w:jc w:val="both"/>
        <w:rPr>
          <w:rFonts w:ascii="Times New Roman" w:hAnsi="Times New Roman" w:cs="Times New Roman"/>
          <w:b/>
          <w:bCs/>
          <w:color w:val="000000" w:themeColor="text1"/>
          <w:sz w:val="22"/>
          <w:szCs w:val="22"/>
        </w:rPr>
      </w:pPr>
      <w:r w:rsidRPr="00B93987">
        <w:rPr>
          <w:rFonts w:ascii="Times New Roman" w:hAnsi="Times New Roman" w:cs="Times New Roman"/>
          <w:b/>
          <w:bCs/>
          <w:color w:val="000000" w:themeColor="text1"/>
          <w:sz w:val="22"/>
          <w:szCs w:val="22"/>
        </w:rPr>
        <w:t>Précis</w:t>
      </w:r>
      <w:r w:rsidR="00ED1FC0">
        <w:rPr>
          <w:rFonts w:ascii="Times New Roman" w:hAnsi="Times New Roman" w:cs="Times New Roman"/>
          <w:b/>
          <w:bCs/>
          <w:color w:val="000000" w:themeColor="text1"/>
          <w:sz w:val="22"/>
          <w:szCs w:val="22"/>
        </w:rPr>
        <w:t xml:space="preserve">: </w:t>
      </w:r>
      <w:r w:rsidR="008E64BE" w:rsidRPr="008E64BE">
        <w:rPr>
          <w:rFonts w:ascii="Times New Roman" w:hAnsi="Times New Roman" w:cs="Times New Roman"/>
          <w:color w:val="000000" w:themeColor="text1"/>
          <w:sz w:val="22"/>
          <w:szCs w:val="22"/>
        </w:rPr>
        <w:t xml:space="preserve">MRF </w:t>
      </w:r>
      <w:r w:rsidR="008E64BE">
        <w:rPr>
          <w:rFonts w:ascii="Times New Roman" w:hAnsi="Times New Roman" w:cs="Times New Roman"/>
          <w:color w:val="000000" w:themeColor="text1"/>
          <w:sz w:val="22"/>
          <w:szCs w:val="22"/>
        </w:rPr>
        <w:t>had</w:t>
      </w:r>
      <w:r w:rsidR="008E64BE" w:rsidRPr="008E64BE">
        <w:rPr>
          <w:rFonts w:ascii="Times New Roman" w:hAnsi="Times New Roman" w:cs="Times New Roman"/>
          <w:color w:val="000000" w:themeColor="text1"/>
          <w:sz w:val="22"/>
          <w:szCs w:val="22"/>
        </w:rPr>
        <w:t xml:space="preserve"> shorter test durations</w:t>
      </w:r>
      <w:r w:rsidR="008E64BE">
        <w:rPr>
          <w:rFonts w:ascii="Times New Roman" w:hAnsi="Times New Roman" w:cs="Times New Roman"/>
          <w:color w:val="000000" w:themeColor="text1"/>
          <w:sz w:val="22"/>
          <w:szCs w:val="22"/>
        </w:rPr>
        <w:t xml:space="preserve"> than HFA</w:t>
      </w:r>
      <w:r w:rsidR="008E64BE" w:rsidRPr="008E64BE">
        <w:rPr>
          <w:rFonts w:ascii="Times New Roman" w:hAnsi="Times New Roman" w:cs="Times New Roman"/>
          <w:color w:val="000000" w:themeColor="text1"/>
          <w:sz w:val="22"/>
          <w:szCs w:val="22"/>
        </w:rPr>
        <w:t xml:space="preserve">, </w:t>
      </w:r>
      <w:r w:rsidR="008E64BE">
        <w:rPr>
          <w:rFonts w:ascii="Times New Roman" w:hAnsi="Times New Roman" w:cs="Times New Roman"/>
          <w:color w:val="000000" w:themeColor="text1"/>
          <w:sz w:val="22"/>
          <w:szCs w:val="22"/>
        </w:rPr>
        <w:t>high</w:t>
      </w:r>
      <w:r w:rsidR="008E64BE" w:rsidRPr="008E64BE">
        <w:rPr>
          <w:rFonts w:ascii="Times New Roman" w:hAnsi="Times New Roman" w:cs="Times New Roman"/>
          <w:color w:val="000000" w:themeColor="text1"/>
          <w:sz w:val="22"/>
          <w:szCs w:val="22"/>
        </w:rPr>
        <w:t xml:space="preserve"> agreement with HFA global indices, modest bias in MD and PSD</w:t>
      </w:r>
      <w:r w:rsidR="008E64BE">
        <w:rPr>
          <w:rFonts w:ascii="Times New Roman" w:hAnsi="Times New Roman" w:cs="Times New Roman"/>
          <w:color w:val="000000" w:themeColor="text1"/>
          <w:sz w:val="22"/>
          <w:szCs w:val="22"/>
        </w:rPr>
        <w:t xml:space="preserve"> measurements, and</w:t>
      </w:r>
      <w:r w:rsidR="008E64BE" w:rsidRPr="008E64BE">
        <w:rPr>
          <w:rFonts w:ascii="Times New Roman" w:hAnsi="Times New Roman" w:cs="Times New Roman"/>
          <w:color w:val="000000" w:themeColor="text1"/>
          <w:sz w:val="22"/>
          <w:szCs w:val="22"/>
        </w:rPr>
        <w:t xml:space="preserve"> comparable concordance and </w:t>
      </w:r>
      <w:r w:rsidR="008E64BE">
        <w:rPr>
          <w:rFonts w:ascii="Times New Roman" w:hAnsi="Times New Roman" w:cs="Times New Roman"/>
          <w:color w:val="000000" w:themeColor="text1"/>
          <w:sz w:val="22"/>
          <w:szCs w:val="22"/>
        </w:rPr>
        <w:t>repeatability. MRF had</w:t>
      </w:r>
      <w:r w:rsidR="008E64BE" w:rsidRPr="008E64BE">
        <w:rPr>
          <w:rFonts w:ascii="Times New Roman" w:hAnsi="Times New Roman" w:cs="Times New Roman"/>
          <w:color w:val="000000" w:themeColor="text1"/>
          <w:sz w:val="22"/>
          <w:szCs w:val="22"/>
        </w:rPr>
        <w:t xml:space="preserve"> </w:t>
      </w:r>
      <w:r w:rsidR="008E64BE">
        <w:rPr>
          <w:rFonts w:ascii="Times New Roman" w:hAnsi="Times New Roman" w:cs="Times New Roman"/>
          <w:color w:val="000000" w:themeColor="text1"/>
          <w:sz w:val="22"/>
          <w:szCs w:val="22"/>
        </w:rPr>
        <w:t>poorer reliability indices,</w:t>
      </w:r>
      <w:r w:rsidR="008E64BE" w:rsidRPr="008E64BE">
        <w:rPr>
          <w:rFonts w:ascii="Times New Roman" w:hAnsi="Times New Roman" w:cs="Times New Roman"/>
          <w:color w:val="000000" w:themeColor="text1"/>
          <w:sz w:val="22"/>
          <w:szCs w:val="22"/>
        </w:rPr>
        <w:t xml:space="preserve"> while maintaining good diagnostic performance.</w:t>
      </w:r>
    </w:p>
    <w:p w14:paraId="4F587838"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405DC01B"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71D3AC49"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78109951"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5825D04F"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715F32ED"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475204A8"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23F99D2C"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7944C33E"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38B33402"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000CD535"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6E801DAF"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45093FB0"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5488E5BF"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6F8C0381"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6F0262D7"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3A4B4FA8"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6ACCA366"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31870920"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1627DB2F"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2DBAA7A4" w14:textId="65E826DD"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lastRenderedPageBreak/>
        <w:t>Introduction</w:t>
      </w:r>
    </w:p>
    <w:p w14:paraId="6CBE066F" w14:textId="77777777" w:rsidR="006856C6" w:rsidRPr="00511459" w:rsidRDefault="006856C6" w:rsidP="006856C6">
      <w:pPr>
        <w:spacing w:after="0" w:line="240" w:lineRule="auto"/>
        <w:jc w:val="both"/>
        <w:rPr>
          <w:rFonts w:ascii="Times New Roman" w:hAnsi="Times New Roman" w:cs="Times New Roman"/>
          <w:sz w:val="22"/>
          <w:szCs w:val="22"/>
          <w:lang w:val="en-US"/>
        </w:rPr>
      </w:pPr>
      <w:r w:rsidRPr="00511459">
        <w:rPr>
          <w:rFonts w:ascii="Times New Roman" w:hAnsi="Times New Roman" w:cs="Times New Roman"/>
          <w:sz w:val="22"/>
          <w:szCs w:val="22"/>
          <w:lang w:val="en-US"/>
        </w:rPr>
        <w:t xml:space="preserve">Glaucoma is the leading cause of irreversible vision loss worldwide, affecting an estimated 80 million individuals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{"citationID":"QGVmBZUW","properties":{"formattedCitation":"(1,2)","plainCitation":"(1,2)","noteIndex":0},"citationItems":[{"id":987,"uris":["http://zotero.org/users/15549944/items/HS5JCQGW"],"itemData":{"id":987,"type":"article-journal","abstract":"Objective To estimate global prevalence of blindness and vision loss caused by glaucoma, and to evaluate the impact of socioeconomic factors on it. Design A population-based observational study. Setting The prevalence of blindness and vision loss due to glaucoma were obtained from the Global Burden of Disease Study 2017 database. The Human Development Index (HDI), inequality-adjusted HDI and other socioeconomic data were acquired from international open databases. Main outcome measures The prevalence of blindness and vision loss due to glaucoma by age, gender, subregion and Socio-Demographic Index (SDI) levels. Multiple linear regression analysis was performed to explore the associations between the prevalence and socioeconomic indicators.\nResults The overall age-standardised prevalence of blindness and vision loss due to glaucoma worldwide was 81.5 per 100 000 in 1990 and 75.6 per 100 000 in 2017. In 2017, men had a higher age-standardised prevalence than women (6.07% vs 5.42%), and the worldwide prevalence increased with age, from 0.5 per 100 000 in the 45–49 year age group to 112.9 per 100 000 among those 70+. Eastern Mediterranean and African regions had the highest prevalence during the whole period, while the Americas region had the lowest prevalence. The prevalence was highest in low-SDI and low-income regions while lowest in high-SDI and high-income regions over the past 27 years. Multiple linear regression showed cataract surgery rate (β=−0.01, p=0.009), refractive error prevalence (β=−0.03, p=0.024) and expected years of schooling (β= -8.33, p=0.035) were associated with lower prevalence, while gross national income per capita (β=0.002, p&lt;0.001) was associated with higher prevalence.\nConclusions Lower socioeconomic levels and worse access to eyecare services are associated with higher prevalence of glaucoma-related blindness and vision loss. These findings provide evidence for policy-makers that investments in these areas may reduce the burden of the leading cause of irreversible blindness.","container-title":"BMJ Open","DOI":"10.1136/bmjopen-2021-053805","ISSN":"2044-6055, 2044-6055","issue":"1","journalAbbreviation":"BMJ Open","language":"en","page":"e053805","source":"DOI.org (Crossref)","title":"Time trends, associations and prevalence of blindness and vision loss due to glaucoma: an analysis of observational data from the Global Burden of Disease Study 2017","title-short":"Time trends, associations and prevalence of blindness and vision loss due to glaucoma","volume":"12","author":[{"family":"Sun","given":"Yi"},{"family":"Chen","given":"Aiming"},{"family":"Zou","given":"Minjie"},{"family":"Zhang","given":"Yichi"},{"family":"Jin","given":"Ling"},{"family":"Li","given":"Yi"},{"family":"Zheng","given":"Danying"},{"family":"Jin","given":"Guangming"},{"family":"Congdon","given":"Nathan"}],"issued":{"date-parts":[["2022",1]]}}},{"id":985,"uris":["http://zotero.org/users/15549944/items/ZVY6ZZF6"],"itemData":{"id":985,"type":"article-journal","abstract":"Purpose: Glaucoma is the leading cause of global irreversible blindness. Present estimates of global glaucoma prevalence are not up-to-date and focused mainly on European ancestry populations. We systematically examined the global prevalence of primary open-angle glaucoma (POAG) and primary angle-closure glaucoma (PACG), and projected the number of affected people in 2020 and 2040. Design: Systematic review and meta-analysis. Participants: Data from 50 population-based studies (3770 POAG cases among 140 496 examined individuals and 786 PACG cases among 112 398 examined individuals).\nMethods: We searched PubMed, Medline, and Web of Science for population-based studies of glaucoma prevalence published up to March 25, 2013. Hierarchical Bayesian approach was used to estimate the pooled glaucoma prevalence of the population aged 40e80 years along with 95% credible intervals (CrIs). Projections of glaucoma were estimated based on the United Nations World Population Prospects. Bayesian meta-regression models were performed to assess the association between the prevalence of POAG and the relevant factors. Main Outcome Measures: Prevalence and projection numbers of glaucoma cases.\nResults: The global prevalence of glaucoma for population aged 40e80 years is 3.54% (95% CrI, 2.09e5.82). The prevalence of POAG is highest in Africa (4.20%; 95% CrI, 2.08e7.35), and the prevalence of PACG is highest in Asia (1.09%; 95% CrI, 0.43e2.32). In 2013, the number of people (aged 40e80 years) with glaucoma worldwide was estimated to be 64.3 million, increasing to 76.0 million in 2020 and 111.8 million in 2040. In the Bayesian meta-regression model, men were more likely to have POAG than women (odds ratio [OR], 1.36; 95% CrI, 1.23e1.52), and after adjusting for age, gender, habitation type, response rate, and year of study, people of African ancestry were more likely to have POAG than people of European ancestry (OR, 2.80; 95% CrI, 1.83e4.06), and people living in urban areas were more likely to have POAG than those in rural areas (OR, 1.58; 95% CrI, 1.19e2.04).\nConclusions: The number of people with glaucoma worldwide will increase to 111.8 million in 2040, disproportionally affecting people residing in Asia and Africa. These estimates are important in guiding the designs of glaucoma screening, treatment, and related public health strategies. Ophthalmology 2014;121:2081-2090 ª 2014 by the American Academy of Ophthalmology.","container-title":"Ophthalmology","DOI":"10.1016/j.ophtha.2014.05.013","ISSN":"01616420","issue":"11","journalAbbreviation":"Ophthalmology","language":"en","license":"https://www.elsevier.com/tdm/userlicense/1.0/","page":"2081-2090","source":"DOI.org (Crossref)","title":"Global Prevalence of Glaucoma and Projections of Glaucoma Burden through 2040","volume":"121","author":[{"family":"Tham","given":"Yih-Chung"},{"family":"Li","given":"Xiang"},{"family":"Wong","given":"Tien Y."},{"family":"Quigley","given":"Harry A."},{"family":"Aung","given":"Tin"},{"family":"Cheng","given":"Ching-Yu"}],"issued":{"date-parts":[["2014",11]]}}}],"schema":"https://github.com/citation-style-language/schema/raw/master/csl-citation.json"}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(1,2)</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xml:space="preserve">. Glaucoma is often asymptomatic in its early stages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5WWnm8c9","properties":{"formattedCitation":"(3)","plainCitation":"(3)","noteIndex":0},"citationItems":[{"id":989,"uris":["http://zotero.org/users/15549944/items/5RLQGXL8"],"itemData":{"id":989,"type":"article-journal","container-title":"Ophthalmology","DOI":"10.1016/j.ophtha.2020.10.022","ISSN":"01616420","issue":"1","journalAbbreviation":"Ophthalmology","language":"en","page":"P71-P150","source":"DOI.org (Crossref)","title":"Primary Open-Angle Glaucoma Preferred Practice Pattern®","volume":"128","author":[{"family":"Gedde","given":"Steven J."},{"family":"Vinod","given":"Kateki"},{"family":"Wright","given":"Martha M."},{"family":"Muir","given":"Kelly W."},{"family":"Lind","given":"John T."},{"family":"Chen","given":"Philip P."},{"family":"Li","given":"Tianjing"},{"family":"Mansberger","given":"Steven L."}],"issued":{"date-parts":[["2021",1]]}}}],"schema":"https://github.com/citation-style-language/schema/raw/master/csl-citation.json"}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(3)</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xml:space="preserve">, with studies suggesting that the majority of those affected are unaware of their condition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Fm69bmZ4","properties":{"formattedCitation":"(4)","plainCitation":"(4)","noteIndex":0},"citationItems":[{"id":991,"uris":["http://zotero.org/users/15549944/items/PY9HCAC3"],"itemData":{"id":991,"type":"article-journal","container-title":"Ophthalmology","DOI":"10.1016/j.ophtha.2021.04.009","ISSN":"01616420","issue":"10","journalAbbreviation":"Ophthalmology","language":"en","page":"1393-1404","source":"DOI.org (Crossref)","title":"The Global Extent of Undetected Glaucoma in Adults","volume":"128","author":[{"family":"Soh","given":"Zhi"},{"family":"Yu","given":"Marco"},{"family":"Betzler","given":"Bjorn Kaijun"},{"family":"Majithia","given":"Shivani"},{"family":"Thakur","given":"Sahil"},{"family":"Tham","given":"Yih Chung"},{"family":"Wong","given":"Tien Yin"},{"family":"Aung","given":"Tin"},{"family":"Friedman","given":"David S."},{"family":"Cheng","given":"Ching-Yu"}],"issued":{"date-parts":[["2021",10]]}}}],"schema":"https://github.com/citation-style-language/schema/raw/master/csl-citation.json"}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(4)</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Early detection of glaucoma</w:t>
      </w:r>
      <w:r>
        <w:rPr>
          <w:rFonts w:ascii="Times New Roman" w:hAnsi="Times New Roman" w:cs="Times New Roman"/>
          <w:sz w:val="22"/>
          <w:szCs w:val="22"/>
          <w:lang w:val="en-US"/>
        </w:rPr>
        <w:t xml:space="preserve"> and glaucoma progression</w:t>
      </w:r>
      <w:r w:rsidRPr="00511459">
        <w:rPr>
          <w:rFonts w:ascii="Times New Roman" w:hAnsi="Times New Roman" w:cs="Times New Roman"/>
          <w:sz w:val="22"/>
          <w:szCs w:val="22"/>
          <w:lang w:val="en-US"/>
        </w:rPr>
        <w:t xml:space="preserve"> is crucial, as timely intervention can prevent vision loss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{"citationID":"F9MHJki7","properties":{"formattedCitation":"(5)","plainCitation":"(5)","noteIndex":0},"citationItems":[{"id":995,"uris":["http://zotero.org/users/15549944/items/YB9TFBNZ"],"itemData":{"id":995,"type":"article-journal","container-title":"ARCH OPHTHALMOL","language":"en","source":"Zotero","title":"Reduction of Intraocular Pressure and Glaucoma Progression","volume":"120","author":[{"family":"Heijl","given":"Anders"},{"family":"Leske","given":"M Cristina"},{"family":"Bengtsson","given":"Bo"},{"family":"Hyman","given":"Leslie"},{"family":"Bengtsson","given":"Boel"},{"family":"Hussein","given":"Mohamed"}],"issued":{"date-parts":[["2002"]]}}}],"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(5)</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xml:space="preserve">. Nevertheless, the diagnosis of glaucoma remains challenging for healthcare systems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k62Aqzxq","properties":{"formattedCitation":"(4)","plainCitation":"(4)","noteIndex":0},"citationItems":[{"id":991,"uris":["http://zotero.org/users/15549944/items/PY9HCAC3"],"itemData":{"id":991,"type":"article-journal","container-title":"Ophthalmology","DOI":"10.1016/j.ophtha.2021.04.009","ISSN":"01616420","issue":"10","journalAbbreviation":"Ophthalmology","language":"en","page":"1393-1404","source":"DOI.org (Crossref)","title":"The Global Extent of Undetected Glaucoma in Adults","volume":"128","author":[{"family":"Soh","given":"Zhi"},{"family":"Yu","given":"Marco"},{"family":"Betzler","given":"Bjorn Kaijun"},{"family":"Majithia","given":"Shivani"},{"family":"Thakur","given":"Sahil"},{"family":"Tham","given":"Yih Chung"},{"family":"Wong","given":"Tien Yin"},{"family":"Aung","given":"Tin"},{"family":"Friedman","given":"David S."},{"family":"Cheng","given":"Ching-Yu"}],"issued":{"date-parts":[["2021",10]]}}}],"schema":"https://github.com/citation-style-language/schema/raw/master/csl-citation.json"}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(4)</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xml:space="preserve">, as it requires a comprehensive eye exam, intraocular pressure (IOP) measurement, and visual field (VF) assessments to quantify functional vision loss </w:t>
      </w:r>
      <w:r w:rsidRPr="00511459">
        <w:rPr>
          <w:rFonts w:ascii="Times New Roman" w:hAnsi="Times New Roman" w:cs="Times New Roman"/>
          <w:sz w:val="22"/>
          <w:szCs w:val="22"/>
          <w:lang w:val="en-US"/>
        </w:rPr>
        <w:fldChar w:fldCharType="begin"/>
      </w:r>
      <w:r w:rsidRPr="00511459">
        <w:rPr>
          <w:rFonts w:ascii="Times New Roman" w:hAnsi="Times New Roman" w:cs="Times New Roman"/>
          <w:sz w:val="22"/>
          <w:szCs w:val="22"/>
          <w:lang w:val="en-US"/>
        </w:rPr>
        <w:instrText xml:space="preserve"> ADDIN ZOTERO_ITEM CSL_CITATION {"citationID":"KylmtvXC","properties":{"formattedCitation":"(3)","plainCitation":"(3)","noteIndex":0},"citationItems":[{"id":989,"uris":["http://zotero.org/users/15549944/items/5RLQGXL8"],"itemData":{"id":989,"type":"article-journal","container-title":"Ophthalmology","DOI":"10.1016/j.ophtha.2020.10.022","ISSN":"01616420","issue":"1","journalAbbreviation":"Ophthalmology","language":"en","page":"P71-P150","source":"DOI.org (Crossref)","title":"Primary Open-Angle Glaucoma Preferred Practice Pattern®","volume":"128","author":[{"family":"Gedde","given":"Steven J."},{"family":"Vinod","given":"Kateki"},{"family":"Wright","given":"Martha M."},{"family":"Muir","given":"Kelly W."},{"family":"Lind","given":"John T."},{"family":"Chen","given":"Philip P."},{"family":"Li","given":"Tianjing"},{"family":"Mansberger","given":"Steven L."}],"issued":{"date-parts":[["2021",1]]}}}],"schema":"https://github.com/citation-style-language/schema/raw/master/csl-citation.json"} </w:instrText>
      </w:r>
      <w:r w:rsidRPr="00511459">
        <w:rPr>
          <w:rFonts w:ascii="Times New Roman" w:hAnsi="Times New Roman" w:cs="Times New Roman"/>
          <w:sz w:val="22"/>
          <w:szCs w:val="22"/>
          <w:lang w:val="en-US"/>
        </w:rPr>
        <w:fldChar w:fldCharType="separate"/>
      </w:r>
      <w:r w:rsidRPr="00511459">
        <w:rPr>
          <w:rFonts w:ascii="Times New Roman" w:hAnsi="Times New Roman" w:cs="Times New Roman"/>
          <w:noProof/>
          <w:sz w:val="22"/>
          <w:szCs w:val="22"/>
          <w:lang w:val="en-US"/>
        </w:rPr>
        <w:t>(3)</w:t>
      </w:r>
      <w:r w:rsidRPr="00511459">
        <w:rPr>
          <w:rFonts w:ascii="Times New Roman" w:hAnsi="Times New Roman" w:cs="Times New Roman"/>
          <w:sz w:val="22"/>
          <w:szCs w:val="22"/>
          <w:lang w:val="en-US"/>
        </w:rPr>
        <w:fldChar w:fldCharType="end"/>
      </w:r>
      <w:r w:rsidRPr="00511459">
        <w:rPr>
          <w:rFonts w:ascii="Times New Roman" w:hAnsi="Times New Roman" w:cs="Times New Roman"/>
          <w:sz w:val="22"/>
          <w:szCs w:val="22"/>
          <w:lang w:val="en-US"/>
        </w:rPr>
        <w:t xml:space="preserve">. </w:t>
      </w:r>
    </w:p>
    <w:p w14:paraId="5109B195" w14:textId="77777777" w:rsidR="006856C6" w:rsidRPr="00511459" w:rsidRDefault="006856C6" w:rsidP="006856C6">
      <w:pPr>
        <w:spacing w:after="0" w:line="240" w:lineRule="auto"/>
        <w:jc w:val="both"/>
        <w:rPr>
          <w:rFonts w:ascii="Times New Roman" w:hAnsi="Times New Roman" w:cs="Times New Roman"/>
          <w:sz w:val="22"/>
          <w:szCs w:val="22"/>
          <w:lang w:val="en-US"/>
        </w:rPr>
      </w:pPr>
    </w:p>
    <w:p w14:paraId="7BEE7220" w14:textId="55769E40" w:rsidR="006856C6" w:rsidRPr="00511459" w:rsidRDefault="00A66438" w:rsidP="006856C6">
      <w:pPr>
        <w:spacing w:after="0" w:line="240" w:lineRule="auto"/>
        <w:jc w:val="both"/>
        <w:rPr>
          <w:rFonts w:ascii="Times New Roman" w:hAnsi="Times New Roman" w:cs="Times New Roman"/>
          <w:sz w:val="22"/>
          <w:szCs w:val="22"/>
          <w:lang w:val="en-US"/>
        </w:rPr>
      </w:pPr>
      <w:r>
        <w:rPr>
          <w:rFonts w:ascii="Times New Roman" w:hAnsi="Times New Roman" w:cs="Times New Roman"/>
          <w:color w:val="000000" w:themeColor="text1"/>
          <w:sz w:val="22"/>
          <w:szCs w:val="22"/>
          <w:lang w:val="en-US"/>
        </w:rPr>
        <w:t xml:space="preserve">The </w:t>
      </w:r>
      <w:r w:rsidR="006856C6" w:rsidRPr="00511459">
        <w:rPr>
          <w:rFonts w:ascii="Times New Roman" w:hAnsi="Times New Roman" w:cs="Times New Roman"/>
          <w:color w:val="000000" w:themeColor="text1"/>
          <w:sz w:val="22"/>
          <w:szCs w:val="22"/>
          <w:lang w:val="en-US"/>
        </w:rPr>
        <w:t xml:space="preserve">Humphrey Field Analyzer (HFA) is the most common method </w:t>
      </w:r>
      <w:r>
        <w:rPr>
          <w:rFonts w:ascii="Times New Roman" w:hAnsi="Times New Roman" w:cs="Times New Roman"/>
          <w:color w:val="000000" w:themeColor="text1"/>
          <w:sz w:val="22"/>
          <w:szCs w:val="22"/>
          <w:lang w:val="en-US"/>
        </w:rPr>
        <w:t>to test the</w:t>
      </w:r>
      <w:r w:rsidRPr="00511459">
        <w:rPr>
          <w:rFonts w:ascii="Times New Roman" w:hAnsi="Times New Roman" w:cs="Times New Roman"/>
          <w:color w:val="000000" w:themeColor="text1"/>
          <w:sz w:val="22"/>
          <w:szCs w:val="22"/>
          <w:lang w:val="en-US"/>
        </w:rPr>
        <w:t xml:space="preserve"> </w:t>
      </w:r>
      <w:r w:rsidR="006856C6" w:rsidRPr="00511459">
        <w:rPr>
          <w:rFonts w:ascii="Times New Roman" w:hAnsi="Times New Roman" w:cs="Times New Roman"/>
          <w:color w:val="000000" w:themeColor="text1"/>
          <w:sz w:val="22"/>
          <w:szCs w:val="22"/>
          <w:lang w:val="en-US"/>
        </w:rPr>
        <w:t xml:space="preserve">visual field in glaucoma </w:t>
      </w:r>
      <w:r w:rsidR="006856C6" w:rsidRPr="00511459">
        <w:rPr>
          <w:rFonts w:ascii="Times New Roman" w:hAnsi="Times New Roman" w:cs="Times New Roman"/>
          <w:color w:val="000000" w:themeColor="text1"/>
          <w:sz w:val="22"/>
          <w:szCs w:val="22"/>
          <w:lang w:val="en-US"/>
        </w:rPr>
        <w:fldChar w:fldCharType="begin"/>
      </w:r>
      <w:r w:rsidR="006856C6" w:rsidRPr="00511459">
        <w:rPr>
          <w:rFonts w:ascii="Times New Roman" w:hAnsi="Times New Roman" w:cs="Times New Roman"/>
          <w:color w:val="000000" w:themeColor="text1"/>
          <w:sz w:val="22"/>
          <w:szCs w:val="22"/>
          <w:lang w:val="en-US"/>
        </w:rPr>
        <w:instrText xml:space="preserve"> ADDIN ZOTERO_ITEM CSL_CITATION {"citationID":"2v4r85NV","properties":{"formattedCitation":"(6)","plainCitation":"(6)","noteIndex":0},"citationItems":[{"id":997,"uris":["http://zotero.org/users/15549944/items/F34UR6EU"],"itemData":{"id":997,"type":"article-journal","abstract":"Static automated perimetry (SAP) remains a mainstay of functional assessment of the visual field in diseases of the visual pathway, such as glaucoma and age-related macular degeneration. The fundamental psychophysical task of responding to stimuli of different levels of contrast has remained minimally changed since its inception in the 1980s, and this is potentially the root of several unresolved issues involving the technique. Enduring issues include the optimisation of SAP parameters for maximising defect detection, the influence of subjective behaviour on the response, structure-function discordance, and ageing- and disease-related changes of the visual pathway. Addressing these issues has been a focus of our research program and is the subject of this manuscript. We will review some of the basic psychophysical principles and methods that have contributed to the development of SAP and their contributions to its output measurements. Parameters that are interrogated include stimulus size and background luminance and their modification to improve defect defection in glaucoma and age-related macular degeneration. We propose frameworks for optimising testing parameters and leveraging the results for changing clinical care. In our pursuit of optimising the structure-function relationship in the eye, several areas of research have been developed and explored, including: the reconciliation of subjective responses in perimetry; by minimising sources of biases, such as Method of Limits we have been able to equate static and kinetic perimetry outputs in relation to underlying structural loci. This also formed the basis for our clustering framework, which groups together statistically similar structural and functional test locations to maximise structure-function concordance. Throughout the manuscript, we review the scientific underpinnings of clinical measurements, framing application into real-world patients to improve clinical practice.","container-title":"Progress in Retinal and Eye Research","DOI":"10.1016/j.preteyeres.2024.101307","ISSN":"13509462","journalAbbreviation":"Progress in Retinal and Eye Research","language":"en","page":"101307","source":"DOI.org (Crossref)","title":"Standard automated perimetry for glaucoma and diseases of the retina and visual pathways: Current and future perspectives","title-short":"Standard automated perimetry for glaucoma and diseases of the retina and visual pathways","volume":"104","author":[{"family":"Phu","given":"Jack"},{"family":"Khuu","given":"Sieu K."},{"family":"Nivison-Smith","given":"Lisa"},{"family":"Kalloniatis","given":"Michael"}],"issued":{"date-parts":[["2025",1]]}}}],"schema":"https://github.com/citation-style-language/schema/raw/master/csl-citation.json"} </w:instrText>
      </w:r>
      <w:r w:rsidR="006856C6" w:rsidRPr="00511459">
        <w:rPr>
          <w:rFonts w:ascii="Times New Roman" w:hAnsi="Times New Roman" w:cs="Times New Roman"/>
          <w:color w:val="000000" w:themeColor="text1"/>
          <w:sz w:val="22"/>
          <w:szCs w:val="22"/>
          <w:lang w:val="en-US"/>
        </w:rPr>
        <w:fldChar w:fldCharType="separate"/>
      </w:r>
      <w:r w:rsidR="006856C6" w:rsidRPr="00511459">
        <w:rPr>
          <w:rFonts w:ascii="Times New Roman" w:hAnsi="Times New Roman" w:cs="Times New Roman"/>
          <w:noProof/>
          <w:color w:val="000000" w:themeColor="text1"/>
          <w:sz w:val="22"/>
          <w:szCs w:val="22"/>
          <w:lang w:val="en-US"/>
        </w:rPr>
        <w:t>(6)</w:t>
      </w:r>
      <w:r w:rsidR="006856C6" w:rsidRPr="00511459">
        <w:rPr>
          <w:rFonts w:ascii="Times New Roman" w:hAnsi="Times New Roman" w:cs="Times New Roman"/>
          <w:color w:val="000000" w:themeColor="text1"/>
          <w:sz w:val="22"/>
          <w:szCs w:val="22"/>
          <w:lang w:val="en-US"/>
        </w:rPr>
        <w:fldChar w:fldCharType="end"/>
      </w:r>
      <w:r w:rsidR="006856C6" w:rsidRPr="00511459">
        <w:rPr>
          <w:rFonts w:ascii="Times New Roman" w:hAnsi="Times New Roman" w:cs="Times New Roman"/>
          <w:sz w:val="22"/>
          <w:szCs w:val="22"/>
          <w:lang w:val="en-US"/>
        </w:rPr>
        <w:t xml:space="preserve">, but its use </w:t>
      </w:r>
      <w:r w:rsidR="006856C6">
        <w:rPr>
          <w:rFonts w:ascii="Times New Roman" w:hAnsi="Times New Roman" w:cs="Times New Roman"/>
          <w:sz w:val="22"/>
          <w:szCs w:val="22"/>
          <w:lang w:val="en-US"/>
        </w:rPr>
        <w:t xml:space="preserve">in many settings </w:t>
      </w:r>
      <w:r w:rsidR="006856C6" w:rsidRPr="00511459">
        <w:rPr>
          <w:rFonts w:ascii="Times New Roman" w:hAnsi="Times New Roman" w:cs="Times New Roman"/>
          <w:sz w:val="22"/>
          <w:szCs w:val="22"/>
          <w:lang w:val="en-US"/>
        </w:rPr>
        <w:t xml:space="preserve">is </w:t>
      </w:r>
      <w:r w:rsidR="006856C6">
        <w:rPr>
          <w:rFonts w:ascii="Times New Roman" w:hAnsi="Times New Roman" w:cs="Times New Roman"/>
          <w:sz w:val="22"/>
          <w:szCs w:val="22"/>
          <w:lang w:val="en-US"/>
        </w:rPr>
        <w:t>limited</w:t>
      </w:r>
      <w:r w:rsidR="006856C6" w:rsidRPr="00511459">
        <w:rPr>
          <w:rFonts w:ascii="Times New Roman" w:hAnsi="Times New Roman" w:cs="Times New Roman"/>
          <w:sz w:val="22"/>
          <w:szCs w:val="22"/>
          <w:lang w:val="en-US"/>
        </w:rPr>
        <w:t xml:space="preserve"> by the high cost of equipment, the need for trained personnel, and poor portability </w:t>
      </w:r>
      <w:r w:rsidR="006856C6" w:rsidRPr="00511459">
        <w:rPr>
          <w:rFonts w:ascii="Times New Roman" w:hAnsi="Times New Roman" w:cs="Times New Roman"/>
          <w:sz w:val="22"/>
          <w:szCs w:val="22"/>
          <w:lang w:val="en-US"/>
        </w:rPr>
        <w:fldChar w:fldCharType="begin"/>
      </w:r>
      <w:r w:rsidR="006856C6" w:rsidRPr="00511459">
        <w:rPr>
          <w:rFonts w:ascii="Times New Roman" w:hAnsi="Times New Roman" w:cs="Times New Roman"/>
          <w:sz w:val="22"/>
          <w:szCs w:val="22"/>
          <w:lang w:val="en-US"/>
        </w:rPr>
        <w:instrText xml:space="preserve"> ADDIN ZOTERO_ITEM CSL_CITATION {"citationID":"ZHPnNGnC","properties":{"formattedCitation":"(7)","plainCitation":"(7)","noteIndex":0},"citationItems":[{"id":999,"uris":["http://zotero.org/users/15549944/items/TI95PHAA"],"itemData":{"id":999,"type":"article-journal","abstract":"Background Glaucoma is a leading cause of irreversible blindness worldwide. Early detection and continuous monitoring are essential to preventing vision loss, yet traditional diagnostic tools remain largely inaccessible in low-resource settings.\nPurpose This scoping review aimed to map the existing evidence on the use of portable devices for the detection, diagnosis and monitoring of glaucoma.\nMethods We conducted a scoping review in accordance with the Joanna Briggs Institute Manual and Preferred Reporting Items for Systematic Reviews and MetaAnalyses extension for Scoping Reviews guidelines. A comprehensive search was performed across major databases to identify studies that evaluated handheld tonometers, portable fundus cameras and visual field testing devices. Data were extracted on study design, population characteristics, devices used, comparators and reported outcomes.\nResults A total of 216 studies published between 1975 and 2024 were included. Most studies (90.3%) were method agreement studies, primarily focused on intraocular pressure (IOP) devices. Only two studies evaluated all three glaucoma assessment domains (IOP, visual fields and fundus imaging). Most studies were conducted in high-income countries, with a smaller number from low- and middle-income countries. Despite variability in performance, many devices demonstrated acceptable agreement with gold standard methods and were assessed in a range of clinical and community settings.\nConclusion This review highlights the range and characteristics of portable glaucoma devices and their potential for enhancing access to diagnosis and monitoring, particularly in underserved settings. However, the predominance of method agreement studies and the limited integration of multimodal assessments point to gaps in the literature. Future research should focus on comprehensive diagnostic pathways using multiple portable tools and on expanding evaluations in lowresource settings to inform policy and service planning.","container-title":"BMJ Open","DOI":"10.1136/bmjopen-2025-105681","ISSN":"2044-6055, 2044-6055","issue":"10","journalAbbreviation":"BMJ Open","language":"en","page":"e105681","source":"DOI.org (Crossref)","title":"Portable devices for the diagnosis of glaucoma: a scoping review","title-short":"Portable devices for the diagnosis of glaucoma","volume":"15","author":[{"family":"Garba","given":"Farouk"},{"family":"Kyari","given":"Fatima"},{"family":"Burton","given":"Matthew J"},{"family":"Adler","given":"Samuel Harris"},{"family":"Khan","given":"Zunaira"},{"family":"Bello","given":"Mubarak"},{"family":"Evans","given":"Jennifer"},{"family":"Gordon","given":"Iris"},{"family":"Hu","given":"Victor H"},{"family":"Nolan","given":"Winifred"}],"issued":{"date-parts":[["2025",10]]}}}],"schema":"https://github.com/citation-style-language/schema/raw/master/csl-citation.json"} </w:instrText>
      </w:r>
      <w:r w:rsidR="006856C6" w:rsidRPr="00511459">
        <w:rPr>
          <w:rFonts w:ascii="Times New Roman" w:hAnsi="Times New Roman" w:cs="Times New Roman"/>
          <w:sz w:val="22"/>
          <w:szCs w:val="22"/>
          <w:lang w:val="en-US"/>
        </w:rPr>
        <w:fldChar w:fldCharType="separate"/>
      </w:r>
      <w:r w:rsidR="006856C6" w:rsidRPr="00511459">
        <w:rPr>
          <w:rFonts w:ascii="Times New Roman" w:hAnsi="Times New Roman" w:cs="Times New Roman"/>
          <w:noProof/>
          <w:sz w:val="22"/>
          <w:szCs w:val="22"/>
          <w:lang w:val="en-US"/>
        </w:rPr>
        <w:t>(7)</w:t>
      </w:r>
      <w:r w:rsidR="006856C6" w:rsidRPr="00511459">
        <w:rPr>
          <w:rFonts w:ascii="Times New Roman" w:hAnsi="Times New Roman" w:cs="Times New Roman"/>
          <w:sz w:val="22"/>
          <w:szCs w:val="22"/>
          <w:lang w:val="en-US"/>
        </w:rPr>
        <w:fldChar w:fldCharType="end"/>
      </w:r>
      <w:r w:rsidR="006856C6" w:rsidRPr="00511459">
        <w:rPr>
          <w:rFonts w:ascii="Times New Roman" w:hAnsi="Times New Roman" w:cs="Times New Roman"/>
          <w:sz w:val="22"/>
          <w:szCs w:val="22"/>
          <w:lang w:val="en-US"/>
        </w:rPr>
        <w:t>. These barriers are particularly pronounced in low-</w:t>
      </w:r>
      <w:r w:rsidR="006856C6">
        <w:rPr>
          <w:rFonts w:ascii="Times New Roman" w:hAnsi="Times New Roman" w:cs="Times New Roman"/>
          <w:sz w:val="22"/>
          <w:szCs w:val="22"/>
          <w:lang w:val="en-US"/>
        </w:rPr>
        <w:t xml:space="preserve"> </w:t>
      </w:r>
      <w:r w:rsidR="006856C6" w:rsidRPr="00511459">
        <w:rPr>
          <w:rFonts w:ascii="Times New Roman" w:hAnsi="Times New Roman" w:cs="Times New Roman"/>
          <w:sz w:val="22"/>
          <w:szCs w:val="22"/>
          <w:lang w:val="en-US"/>
        </w:rPr>
        <w:t xml:space="preserve">and middle-income countries </w:t>
      </w:r>
      <w:r w:rsidR="006856C6" w:rsidRPr="00511459">
        <w:rPr>
          <w:rFonts w:ascii="Times New Roman" w:hAnsi="Times New Roman" w:cs="Times New Roman"/>
          <w:sz w:val="22"/>
          <w:szCs w:val="22"/>
          <w:lang w:val="en-US"/>
        </w:rPr>
        <w:fldChar w:fldCharType="begin"/>
      </w:r>
      <w:r w:rsidR="006856C6" w:rsidRPr="00511459">
        <w:rPr>
          <w:rFonts w:ascii="Times New Roman" w:hAnsi="Times New Roman" w:cs="Times New Roman"/>
          <w:sz w:val="22"/>
          <w:szCs w:val="22"/>
          <w:lang w:val="en-US"/>
        </w:rPr>
        <w:instrText xml:space="preserve"> ADDIN ZOTERO_ITEM CSL_CITATION {"citationID":"Q8vnLd7U","properties":{"formattedCitation":"(8)","plainCitation":"(8)","noteIndex":0},"citationItems":[{"id":1000,"uris":["http://zotero.org/users/15549944/items/2QMJWABN"],"itemData":{"id":1000,"type":"article-journal","abstract":"Purpose: \n          Glaucoma is a leading public health concern globally and its detection and management are way more complex and challenging in the developing world. This review article discusses barriers to glaucoma screening in developing countries from the perspective of different key stakeholders and proposes solutions.\n          Methods/Results: \n          A literature search was carried out in the electronic catalogs of PubMed, Medline, and Cochrane database of systematic reviews to find studies that focused on barriers and enablers to glaucoma screening. The authors’ interpretations were tabulated as descriptive and qualitative data and presented concisely from the point of view of key stakeholders such as the patients and their relatives, care providers, and system/governing bodies. Key barriers to glaucoma care identified are lack of awareness, poor accessibility to ophthalmic centers, inadequately trained human resources, unsatisfactory infrastructure, and nonavailability of financially viable screening programs. Educating care providers, as well as the public, providing care closer to where people live, and developing cost-effective screening strategies are needed to ensure proper identification of glaucoma patients in developing countries.\n          Conclusions: \n          The logistics of glaucoma detection and management are complex. Hence, glaucoma detection programs should be implemented only when facilities for glaucoma management are in place. Understanding the importance of glaucoma screening and its future implications, addressing the various roadblocks, empowering and efficiently implementing the existing strategies, and incorporating novel ones using Artificial Intelligence (AI) and deep learning (DL) will help in establishing a robust glaucoma screening program in developing countries.","container-title":"Journal of Glaucoma","DOI":"10.1097/IJG.0000000000002404","ISSN":"1057-0829","issue":"8S","language":"en-US","page":"S33","source":"journals.lww.com","title":"Barriers and Potential Solutions to Glaucoma Screening in the Developing World: A Review","title-short":"Barriers and Potential Solutions to Glaucoma Screening in the Developing World","volume":"33","author":[{"family":"Meethal","given":"Najiya Sundus K."},{"family":"Sisodia","given":"Vishwendra Pratap Singh"},{"family":"George","given":"Ronnie"},{"family":"Khanna","given":"Rohit C."}],"issued":{"date-parts":[["2024",8]]}}}],"schema":"https://github.com/citation-style-language/schema/raw/master/csl-citation.json"} </w:instrText>
      </w:r>
      <w:r w:rsidR="006856C6" w:rsidRPr="00511459">
        <w:rPr>
          <w:rFonts w:ascii="Times New Roman" w:hAnsi="Times New Roman" w:cs="Times New Roman"/>
          <w:sz w:val="22"/>
          <w:szCs w:val="22"/>
          <w:lang w:val="en-US"/>
        </w:rPr>
        <w:fldChar w:fldCharType="separate"/>
      </w:r>
      <w:r w:rsidR="006856C6" w:rsidRPr="00511459">
        <w:rPr>
          <w:rFonts w:ascii="Times New Roman" w:hAnsi="Times New Roman" w:cs="Times New Roman"/>
          <w:noProof/>
          <w:sz w:val="22"/>
          <w:szCs w:val="22"/>
          <w:lang w:val="en-US"/>
        </w:rPr>
        <w:t>(8)</w:t>
      </w:r>
      <w:r w:rsidR="006856C6" w:rsidRPr="00511459">
        <w:rPr>
          <w:rFonts w:ascii="Times New Roman" w:hAnsi="Times New Roman" w:cs="Times New Roman"/>
          <w:sz w:val="22"/>
          <w:szCs w:val="22"/>
          <w:lang w:val="en-US"/>
        </w:rPr>
        <w:fldChar w:fldCharType="end"/>
      </w:r>
      <w:r w:rsidR="006856C6" w:rsidRPr="00511459">
        <w:rPr>
          <w:rFonts w:ascii="Times New Roman" w:hAnsi="Times New Roman" w:cs="Times New Roman"/>
          <w:sz w:val="22"/>
          <w:szCs w:val="22"/>
          <w:lang w:val="en-US"/>
        </w:rPr>
        <w:t xml:space="preserve">, where the burden of glaucoma is greatest and access to diagnostic resources is most limited </w:t>
      </w:r>
      <w:r w:rsidR="006856C6" w:rsidRPr="00511459">
        <w:rPr>
          <w:rFonts w:ascii="Times New Roman" w:hAnsi="Times New Roman" w:cs="Times New Roman"/>
          <w:sz w:val="22"/>
          <w:szCs w:val="22"/>
          <w:lang w:val="en-US"/>
        </w:rPr>
        <w:fldChar w:fldCharType="begin"/>
      </w:r>
      <w:r w:rsidR="006856C6" w:rsidRPr="00511459">
        <w:rPr>
          <w:rFonts w:ascii="Times New Roman" w:hAnsi="Times New Roman" w:cs="Times New Roman"/>
          <w:sz w:val="22"/>
          <w:szCs w:val="22"/>
          <w:lang w:val="en-US"/>
        </w:rPr>
        <w:instrText xml:space="preserve"> ADDIN ZOTERO_ITEM CSL_CITATION {"citationID":"3TLUJhQV","properties":{"formattedCitation":"(2)","plainCitation":"(2)","dontUpdate":true,"noteIndex":0},"citationItems":[{"id":985,"uris":["http://zotero.org/users/15549944/items/ZVY6ZZF6"],"itemData":{"id":985,"type":"article-journal","abstract":"Purpose: Glaucoma is the leading cause of global irreversible blindness. Present estimates of global glaucoma prevalence are not up-to-date and focused mainly on European ancestry populations. We systematically examined the global prevalence of primary open-angle glaucoma (POAG) and primary angle-closure glaucoma (PACG), and projected the number of affected people in 2020 and 2040. Design: Systematic review and meta-analysis. Participants: Data from 50 population-based studies (3770 POAG cases among 140 496 examined individuals and 786 PACG cases among 112 398 examined individuals).\nMethods: We searched PubMed, Medline, and Web of Science for population-based studies of glaucoma prevalence published up to March 25, 2013. Hierarchical Bayesian approach was used to estimate the pooled glaucoma prevalence of the population aged 40e80 years along with 95% credible intervals (CrIs). Projections of glaucoma were estimated based on the United Nations World Population Prospects. Bayesian meta-regression models were performed to assess the association between the prevalence of POAG and the relevant factors. Main Outcome Measures: Prevalence and projection numbers of glaucoma cases.\nResults: The global prevalence of glaucoma for population aged 40e80 years is 3.54% (95% CrI, 2.09e5.82). The prevalence of POAG is highest in Africa (4.20%; 95% CrI, 2.08e7.35), and the prevalence of PACG is highest in Asia (1.09%; 95% CrI, 0.43e2.32). In 2013, the number of people (aged 40e80 years) with glaucoma worldwide was estimated to be 64.3 million, increasing to 76.0 million in 2020 and 111.8 million in 2040. In the Bayesian meta-regression model, men were more likely to have POAG than women (odds ratio [OR], 1.36; 95% CrI, 1.23e1.52), and after adjusting for age, gender, habitation type, response rate, and year of study, people of African ancestry were more likely to have POAG than people of European ancestry (OR, 2.80; 95% CrI, 1.83e4.06), and people living in urban areas were more likely to have POAG than those in rural areas (OR, 1.58; 95% CrI, 1.19e2.04).\nConclusions: The number of people with glaucoma worldwide will increase to 111.8 million in 2040, disproportionally affecting people residing in Asia and Africa. These estimates are important in guiding the designs of glaucoma screening, treatment, and related public health strategies. Ophthalmology 2014;121:2081-2090 ª 2014 by the American Academy of Ophthalmology.","container-title":"Ophthalmology","DOI":"10.1016/j.ophtha.2014.05.013","ISSN":"01616420","issue":"11","journalAbbreviation":"Ophthalmology","language":"en","license":"https://www.elsevier.com/tdm/userlicense/1.0/","page":"2081-2090","source":"DOI.org (Crossref)","title":"Global Prevalence of Glaucoma and Projections of Glaucoma Burden through 2040","volume":"121","author":[{"family":"Tham","given":"Yih-Chung"},{"family":"Li","given":"Xiang"},{"family":"Wong","given":"Tien Y."},{"family":"Quigley","given":"Harry A."},{"family":"Aung","given":"Tin"},{"family":"Cheng","given":"Ching-Yu"}],"issued":{"date-parts":[["2014",11]]}}}],"schema":"https://github.com/citation-style-language/schema/raw/master/csl-citation.json"} </w:instrText>
      </w:r>
      <w:r w:rsidR="006856C6" w:rsidRPr="00511459">
        <w:rPr>
          <w:rFonts w:ascii="Times New Roman" w:hAnsi="Times New Roman" w:cs="Times New Roman"/>
          <w:sz w:val="22"/>
          <w:szCs w:val="22"/>
          <w:lang w:val="en-US"/>
        </w:rPr>
        <w:fldChar w:fldCharType="separate"/>
      </w:r>
      <w:r w:rsidR="006856C6" w:rsidRPr="00511459">
        <w:rPr>
          <w:rFonts w:ascii="Times New Roman" w:hAnsi="Times New Roman" w:cs="Times New Roman"/>
          <w:noProof/>
          <w:sz w:val="22"/>
          <w:szCs w:val="22"/>
          <w:lang w:val="en-US"/>
        </w:rPr>
        <w:t>(2)</w:t>
      </w:r>
      <w:r w:rsidR="006856C6" w:rsidRPr="00511459">
        <w:rPr>
          <w:rFonts w:ascii="Times New Roman" w:hAnsi="Times New Roman" w:cs="Times New Roman"/>
          <w:sz w:val="22"/>
          <w:szCs w:val="22"/>
          <w:lang w:val="en-US"/>
        </w:rPr>
        <w:fldChar w:fldCharType="end"/>
      </w:r>
      <w:r w:rsidR="006856C6" w:rsidRPr="00511459">
        <w:rPr>
          <w:rFonts w:ascii="Times New Roman" w:hAnsi="Times New Roman" w:cs="Times New Roman"/>
          <w:sz w:val="22"/>
          <w:szCs w:val="22"/>
          <w:lang w:val="en-US"/>
        </w:rPr>
        <w:t xml:space="preserve">. </w:t>
      </w:r>
      <w:r w:rsidR="006856C6">
        <w:rPr>
          <w:rFonts w:ascii="Times New Roman" w:hAnsi="Times New Roman" w:cs="Times New Roman"/>
          <w:sz w:val="22"/>
          <w:szCs w:val="22"/>
          <w:lang w:val="en-US"/>
        </w:rPr>
        <w:t>In recent years, t</w:t>
      </w:r>
      <w:r w:rsidR="006856C6" w:rsidRPr="00511459">
        <w:rPr>
          <w:rFonts w:ascii="Times New Roman" w:hAnsi="Times New Roman" w:cs="Times New Roman"/>
          <w:sz w:val="22"/>
          <w:szCs w:val="22"/>
          <w:lang w:val="en-US"/>
        </w:rPr>
        <w:t xml:space="preserve">ablet-based perimetry has emerged </w:t>
      </w:r>
      <w:r w:rsidR="006856C6">
        <w:rPr>
          <w:rFonts w:ascii="Times New Roman" w:hAnsi="Times New Roman" w:cs="Times New Roman"/>
          <w:sz w:val="22"/>
          <w:szCs w:val="22"/>
          <w:lang w:val="en-US"/>
        </w:rPr>
        <w:t xml:space="preserve">as a new modality for visual field assessment in glaucoma </w:t>
      </w:r>
      <w:r w:rsidR="006856C6">
        <w:rPr>
          <w:rFonts w:ascii="Times New Roman" w:hAnsi="Times New Roman" w:cs="Times New Roman"/>
          <w:sz w:val="22"/>
          <w:szCs w:val="22"/>
          <w:lang w:val="en-US"/>
        </w:rPr>
        <w:fldChar w:fldCharType="begin"/>
      </w:r>
      <w:r w:rsidR="006856C6">
        <w:rPr>
          <w:rFonts w:ascii="Times New Roman" w:hAnsi="Times New Roman" w:cs="Times New Roman"/>
          <w:sz w:val="22"/>
          <w:szCs w:val="22"/>
          <w:lang w:val="en-US"/>
        </w:rPr>
        <w:instrText xml:space="preserve"> ADDIN ZOTERO_ITEM CSL_CITATION {"citationID":"4rTlgydP","properties":{"formattedCitation":"(9)","plainCitation":"(9)","noteIndex":0},"citationItems":[{"id":1044,"uris":["http://zotero.org/users/15549944/items/5DNKZI7L"],"itemData":{"id":1044,"type":"article-journal","abstract":"Background Glaucoma is a leading cause of irreversible blindness worldwide. Early detection and continuous monitoring are essential to preventing vision loss, yet traditional diagnostic tools remain largely inaccessible in low-resource settings.\nPurpose This scoping review aimed to map the existing evidence on the use of portable devices for the detection, diagnosis and monitoring of glaucoma.\nMethods We conducted a scoping review in accordance with the Joanna Briggs Institute Manual and Preferred Reporting Items for Systematic Reviews and MetaAnalyses extension for Scoping Reviews guidelines. A comprehensive search was performed across major databases to identify studies that evaluated handheld tonometers, portable fundus cameras and visual field testing devices. Data were extracted on study design, population characteristics, devices used, comparators and reported outcomes.\nResults A total of 216 studies published between 1975 and 2024 were included. Most studies (90.3%) were method agreement studies, primarily focused on intraocular pressure (IOP) devices. Only two studies evaluated all three glaucoma assessment domains (IOP, visual fields and fundus imaging). Most studies were conducted in high-income countries, with a smaller number from low- and middle-income countries. Despite variability in performance, many devices demonstrated acceptable agreement with gold standard methods and were assessed in a range of clinical and community settings.\nConclusion This review highlights the range and characteristics of portable glaucoma devices and their potential for enhancing access to diagnosis and monitoring, particularly in underserved settings. However, the predominance of method agreement studies and the limited integration of multimodal assessments point to gaps in the literature. Future research should focus on comprehensive diagnostic pathways using multiple portable tools and on expanding evaluations in lowresource settings to inform policy and service planning.","container-title":"BMJ Open","DOI":"10.1136/bmjopen-2025-105681","ISSN":"2044-6055, 2044-6055","issue":"10","journalAbbreviation":"BMJ Open","language":"en","page":"e105681","source":"DOI.org (Crossref)","title":"Portable devices for the diagnosis of glaucoma: a scoping review","title-short":"Portable devices for the diagnosis of glaucoma","volume":"15","author":[{"family":"Garba","given":"Farouk"},{"family":"Kyari","given":"Fatima"},{"family":"Burton","given":"Matthew J"},{"family":"Adler","given":"Samuel Harris"},{"family":"Khan","given":"Zunaira"},{"family":"Bello","given":"Mubarak"},{"family":"Evans","given":"Jennifer"},{"family":"Gordon","given":"Iris"},{"family":"Hu","given":"Victor H"},{"family":"Nolan","given":"Winifred"}],"issued":{"date-parts":[["2025",10]]}}}],"schema":"https://github.com/citation-style-language/schema/raw/master/csl-citation.json"} </w:instrText>
      </w:r>
      <w:r w:rsidR="006856C6">
        <w:rPr>
          <w:rFonts w:ascii="Times New Roman" w:hAnsi="Times New Roman" w:cs="Times New Roman"/>
          <w:sz w:val="22"/>
          <w:szCs w:val="22"/>
          <w:lang w:val="en-US"/>
        </w:rPr>
        <w:fldChar w:fldCharType="separate"/>
      </w:r>
      <w:r w:rsidR="006856C6">
        <w:rPr>
          <w:rFonts w:ascii="Times New Roman" w:hAnsi="Times New Roman" w:cs="Times New Roman"/>
          <w:noProof/>
          <w:sz w:val="22"/>
          <w:szCs w:val="22"/>
          <w:lang w:val="en-US"/>
        </w:rPr>
        <w:t>(9)</w:t>
      </w:r>
      <w:r w:rsidR="006856C6">
        <w:rPr>
          <w:rFonts w:ascii="Times New Roman" w:hAnsi="Times New Roman" w:cs="Times New Roman"/>
          <w:sz w:val="22"/>
          <w:szCs w:val="22"/>
          <w:lang w:val="en-US"/>
        </w:rPr>
        <w:fldChar w:fldCharType="end"/>
      </w:r>
      <w:r w:rsidR="006856C6">
        <w:rPr>
          <w:rFonts w:ascii="Times New Roman" w:hAnsi="Times New Roman" w:cs="Times New Roman"/>
          <w:sz w:val="22"/>
          <w:szCs w:val="22"/>
          <w:lang w:val="en-US"/>
        </w:rPr>
        <w:t>. This technology</w:t>
      </w:r>
      <w:r w:rsidR="006856C6" w:rsidRPr="00F67401">
        <w:rPr>
          <w:rFonts w:ascii="Times New Roman" w:hAnsi="Times New Roman" w:cs="Times New Roman"/>
          <w:sz w:val="22"/>
          <w:szCs w:val="22"/>
          <w:lang w:val="en-US"/>
        </w:rPr>
        <w:t xml:space="preserve"> </w:t>
      </w:r>
      <w:r w:rsidR="006856C6">
        <w:rPr>
          <w:rFonts w:ascii="Times New Roman" w:hAnsi="Times New Roman" w:cs="Times New Roman"/>
          <w:sz w:val="22"/>
          <w:szCs w:val="22"/>
          <w:lang w:val="en-US"/>
        </w:rPr>
        <w:t xml:space="preserve">may </w:t>
      </w:r>
      <w:r w:rsidR="006856C6" w:rsidRPr="00916BE4">
        <w:rPr>
          <w:rFonts w:ascii="Times New Roman" w:hAnsi="Times New Roman" w:cs="Times New Roman"/>
          <w:sz w:val="22"/>
          <w:szCs w:val="22"/>
          <w:lang w:val="en-US"/>
        </w:rPr>
        <w:t xml:space="preserve">be particularly </w:t>
      </w:r>
      <w:r w:rsidR="006856C6">
        <w:rPr>
          <w:rFonts w:ascii="Times New Roman" w:hAnsi="Times New Roman" w:cs="Times New Roman"/>
          <w:sz w:val="22"/>
          <w:szCs w:val="22"/>
          <w:lang w:val="en-US"/>
        </w:rPr>
        <w:t>valuable</w:t>
      </w:r>
      <w:r w:rsidR="006856C6" w:rsidRPr="00916BE4">
        <w:rPr>
          <w:rFonts w:ascii="Times New Roman" w:hAnsi="Times New Roman" w:cs="Times New Roman"/>
          <w:sz w:val="22"/>
          <w:szCs w:val="22"/>
          <w:lang w:val="en-US"/>
        </w:rPr>
        <w:t xml:space="preserve"> </w:t>
      </w:r>
      <w:r w:rsidR="006856C6">
        <w:rPr>
          <w:rFonts w:ascii="Times New Roman" w:hAnsi="Times New Roman" w:cs="Times New Roman"/>
          <w:sz w:val="22"/>
          <w:szCs w:val="22"/>
          <w:lang w:val="en-US"/>
        </w:rPr>
        <w:t>for</w:t>
      </w:r>
      <w:r w:rsidR="006856C6" w:rsidRPr="00F67401">
        <w:rPr>
          <w:rFonts w:ascii="Times New Roman" w:hAnsi="Times New Roman" w:cs="Times New Roman"/>
          <w:sz w:val="22"/>
          <w:szCs w:val="22"/>
          <w:lang w:val="en-US"/>
        </w:rPr>
        <w:t xml:space="preserve"> </w:t>
      </w:r>
      <w:r w:rsidR="006856C6">
        <w:rPr>
          <w:rFonts w:ascii="Times New Roman" w:hAnsi="Times New Roman" w:cs="Times New Roman"/>
          <w:sz w:val="22"/>
          <w:szCs w:val="22"/>
          <w:lang w:val="en-US"/>
        </w:rPr>
        <w:t>improving</w:t>
      </w:r>
      <w:r w:rsidR="006856C6" w:rsidRPr="00F67401">
        <w:rPr>
          <w:rFonts w:ascii="Times New Roman" w:hAnsi="Times New Roman" w:cs="Times New Roman"/>
          <w:sz w:val="22"/>
          <w:szCs w:val="22"/>
          <w:lang w:val="en-US"/>
        </w:rPr>
        <w:t xml:space="preserve"> access in resource-limited </w:t>
      </w:r>
      <w:r w:rsidR="006856C6">
        <w:rPr>
          <w:rFonts w:ascii="Times New Roman" w:hAnsi="Times New Roman" w:cs="Times New Roman"/>
          <w:sz w:val="22"/>
          <w:szCs w:val="22"/>
          <w:lang w:val="en-US"/>
        </w:rPr>
        <w:t>environments</w:t>
      </w:r>
      <w:r w:rsidR="006856C6" w:rsidRPr="00F67401">
        <w:rPr>
          <w:rFonts w:ascii="Times New Roman" w:hAnsi="Times New Roman" w:cs="Times New Roman"/>
          <w:sz w:val="22"/>
          <w:szCs w:val="22"/>
          <w:lang w:val="en-US"/>
        </w:rPr>
        <w:t xml:space="preserve">, and </w:t>
      </w:r>
      <w:r w:rsidR="006856C6" w:rsidRPr="00DB34EE">
        <w:rPr>
          <w:rFonts w:ascii="Times New Roman" w:hAnsi="Times New Roman" w:cs="Times New Roman"/>
          <w:sz w:val="22"/>
          <w:szCs w:val="22"/>
          <w:lang w:val="en-US"/>
        </w:rPr>
        <w:t xml:space="preserve">facilitating </w:t>
      </w:r>
      <w:r w:rsidR="006856C6" w:rsidRPr="00F67401">
        <w:rPr>
          <w:rFonts w:ascii="Times New Roman" w:hAnsi="Times New Roman" w:cs="Times New Roman"/>
          <w:sz w:val="22"/>
          <w:szCs w:val="22"/>
          <w:lang w:val="en-US"/>
        </w:rPr>
        <w:t>home-based testing</w:t>
      </w:r>
      <w:r w:rsidR="006856C6">
        <w:rPr>
          <w:rFonts w:ascii="Times New Roman" w:hAnsi="Times New Roman" w:cs="Times New Roman"/>
          <w:sz w:val="22"/>
          <w:szCs w:val="22"/>
          <w:lang w:val="en-US"/>
        </w:rPr>
        <w:t>,</w:t>
      </w:r>
      <w:r w:rsidR="006856C6" w:rsidRPr="00F67401">
        <w:rPr>
          <w:rFonts w:ascii="Times New Roman" w:hAnsi="Times New Roman" w:cs="Times New Roman"/>
          <w:sz w:val="22"/>
          <w:szCs w:val="22"/>
          <w:lang w:val="en-US"/>
        </w:rPr>
        <w:t xml:space="preserve"> offering patients the opportunity for more frequent visual-field assessments</w:t>
      </w:r>
      <w:r w:rsidR="006856C6">
        <w:rPr>
          <w:rFonts w:ascii="Times New Roman" w:hAnsi="Times New Roman" w:cs="Times New Roman"/>
          <w:sz w:val="22"/>
          <w:szCs w:val="22"/>
          <w:lang w:val="en-US"/>
        </w:rPr>
        <w:t xml:space="preserve"> </w:t>
      </w:r>
      <w:r w:rsidR="006856C6" w:rsidRPr="00511459">
        <w:rPr>
          <w:rFonts w:ascii="Times New Roman" w:hAnsi="Times New Roman" w:cs="Times New Roman"/>
          <w:sz w:val="22"/>
          <w:szCs w:val="22"/>
          <w:lang w:val="en-US"/>
        </w:rPr>
        <w:fldChar w:fldCharType="begin"/>
      </w:r>
      <w:r w:rsidR="006856C6">
        <w:rPr>
          <w:rFonts w:ascii="Times New Roman" w:hAnsi="Times New Roman" w:cs="Times New Roman"/>
          <w:sz w:val="22"/>
          <w:szCs w:val="22"/>
          <w:lang w:val="en-US"/>
        </w:rPr>
        <w:instrText xml:space="preserve"> ADDIN ZOTERO_ITEM CSL_CITATION {"citationID":"mG1BmQbk","properties":{"formattedCitation":"(7,10,11)","plainCitation":"(7,10,11)","noteIndex":0},"citationItems":[{"id":999,"uris":["http://zotero.org/users/15549944/items/TI95PHAA"],"itemData":{"id":999,"type":"article-journal","abstract":"Background Glaucoma is a leading cause of irreversible blindness worldwide. Early detection and continuous monitoring are essential to preventing vision loss, yet traditional diagnostic tools remain largely inaccessible in low-resource settings.\nPurpose This scoping review aimed to map the existing evidence on the use of portable devices for the detection, diagnosis and monitoring of glaucoma.\nMethods We conducted a scoping review in accordance with the Joanna Briggs Institute Manual and Preferred Reporting Items for Systematic Reviews and MetaAnalyses extension for Scoping Reviews guidelines. A comprehensive search was performed across major databases to identify studies that evaluated handheld tonometers, portable fundus cameras and visual field testing devices. Data were extracted on study design, population characteristics, devices used, comparators and reported outcomes.\nResults A total of 216 studies published between 1975 and 2024 were included. Most studies (90.3%) were method agreement studies, primarily focused on intraocular pressure (IOP) devices. Only two studies evaluated all three glaucoma assessment domains (IOP, visual fields and fundus imaging). Most studies were conducted in high-income countries, with a smaller number from low- and middle-income countries. Despite variability in performance, many devices demonstrated acceptable agreement with gold standard methods and were assessed in a range of clinical and community settings.\nConclusion This review highlights the range and characteristics of portable glaucoma devices and their potential for enhancing access to diagnosis and monitoring, particularly in underserved settings. However, the predominance of method agreement studies and the limited integration of multimodal assessments point to gaps in the literature. Future research should focus on comprehensive diagnostic pathways using multiple portable tools and on expanding evaluations in lowresource settings to inform policy and service planning.","container-title":"BMJ Open","DOI":"10.1136/bmjopen-2025-105681","ISSN":"2044-6055, 2044-6055","issue":"10","journalAbbreviation":"BMJ Open","language":"en","page":"e105681","source":"DOI.org (Crossref)","title":"Portable devices for the diagnosis of glaucoma: a scoping review","title-short":"Portable devices for the diagnosis of glaucoma","volume":"15","author":[{"family":"Garba","given":"Farouk"},{"family":"Kyari","given":"Fatima"},{"family":"Burton","given":"Matthew J"},{"family":"Adler","given":"Samuel Harris"},{"family":"Khan","given":"Zunaira"},{"family":"Bello","given":"Mubarak"},{"family":"Evans","given":"Jennifer"},{"family":"Gordon","given":"Iris"},{"family":"Hu","given":"Victor H"},{"family":"Nolan","given":"Winifred"}],"issued":{"date-parts":[["2025",10]]}}},{"id":1005,"uris":["http://zotero.org/users/15549944/items/ULPWVK2Q"],"itemData":{"id":1005,"type":"article-journal","abstract":"To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sidR="006856C6">
        <w:rPr>
          <w:rFonts w:ascii="Cambria Math" w:hAnsi="Cambria Math" w:cs="Cambria Math"/>
          <w:sz w:val="22"/>
          <w:szCs w:val="22"/>
          <w:lang w:val="en-US"/>
        </w:rPr>
        <w:instrText>∼</w:instrText>
      </w:r>
      <w:r w:rsidR="006856C6">
        <w:rPr>
          <w:rFonts w:ascii="Times New Roman" w:hAnsi="Times New Roman" w:cs="Times New Roman"/>
          <w:sz w:val="22"/>
          <w:szCs w:val="22"/>
          <w:lang w:val="en-US"/>
        </w:rPr>
        <w:instrText xml:space="preserve">2.9 dB) in normal regions and 48.1% (SD </w:instrText>
      </w:r>
      <w:r w:rsidR="006856C6">
        <w:rPr>
          <w:rFonts w:ascii="Cambria Math" w:hAnsi="Cambria Math" w:cs="Cambria Math"/>
          <w:sz w:val="22"/>
          <w:szCs w:val="22"/>
          <w:lang w:val="en-US"/>
        </w:rPr>
        <w:instrText>∼</w:instrText>
      </w:r>
      <w:r w:rsidR="006856C6">
        <w:rPr>
          <w:rFonts w:ascii="Times New Roman" w:hAnsi="Times New Roman" w:cs="Times New Roman"/>
          <w:sz w:val="22"/>
          <w:szCs w:val="22"/>
          <w:lang w:val="en-US"/>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X."}],"issued":{"date-parts":[["2016",7,12]]}}},{"id":1037,"uris":["http://zotero.org/users/15549944/items/2JKFH7ZW"],"itemData":{"id":1037,"type":"article-journal","abstract":"Purpose: Recent developments in electronic technology are making it possible to home monitor the sensitivity of the central visual ﬁeld using portable devices. We used simulations to investigate whether the higher test frequency afforded by home monitoring improves the early detection of rapid visual ﬁeld loss in glaucoma and how any beneﬁts might be affected by imperfect compliance or increased variability in the home-monitoring test. Design: Computer simulation, with parameter selection conﬁrmed with a cohort study. Participants: A total of 43 patients with treated glaucoma (both open-angle and closed-angle), ocular hypertension or glaucoma suspects (mean age, 71 years; range, 37e89 years), were followed in the cohort study.\nMethods: We simulated series (n ¼ 100 000) of visual ﬁelds for patients with stable glaucoma and patients with progressing glaucoma for 2 in-clinic (yearly and 6-monthly) and 3 home-monitoring (monthly, fortnightly, and weekly) schedules, each running over a 5-year period. Various percentages of home-monitored ﬁelds were omitted at random to simulate reduced compliance, and the variability of the home monitored ﬁelds also was manipulated. We used previously published variability characteristics for perimetry and conﬁrmed their appropriateness for a home-monitoring device by measuring the device’s retest variability at 2 months in a cohort of 43 patients. The criterion for ﬂagging progression in our simulation was a signiﬁcant slope of the ordinary least squares regression of a simulated patient’s mean deviation (MD) data. Main Outcome Measures: The sensitivity for identifying rapid visual ﬁeld loss ( 2 decibels [dB]/year loss of MD).\nResults: Although a sensitivity of 0.8 for rapid ﬁeld loss was achieved after 2.5 years of 6-monthly testing in the clinic, weekly home monitoring achieved this by 0.9 years despite moderate test compliance of 63%. The improved performance of weekly home monitoring over 6-monthly clinical testing was retained even when home monitoring was assumed to produce more variable test results or be associated with low patient compliance.\nConclusions: Detecting rapid visual ﬁeld progression may be improved using a home-monitoring strategy, even when compliance is imperfect. The cost-beneﬁt of such an approach is yet to be demonstrated, however. Ophthalmology 2017;124:1735-1742 ª 2017 by the American Academy of Ophthalmology","container-title":"Ophthalmology","DOI":"10.1016/j.ophtha.2017.06.028","ISSN":"01616420","issue":"12","journalAbbreviation":"Ophthalmology","language":"en","page":"1735-1742","source":"DOI.org (Crossref)","title":"Can Home Monitoring Allow Earlier Detection of Rapid Visual Field Progression in Glaucoma?","volume":"124","author":[{"family":"Anderson","given":"Andrew J."},{"family":"Bedggood","given":"Phillip A."},{"family":"George Kong","given":"Yu Xiang"},{"family":"Martin","given":"Keith R."},{"family":"Vingrys","given":"Algis J."}],"issued":{"date-parts":[["2017",12]]}}}],"schema":"https://github.com/citation-style-language/schema/raw/master/csl-citation.json"} </w:instrText>
      </w:r>
      <w:r w:rsidR="006856C6" w:rsidRPr="00511459">
        <w:rPr>
          <w:rFonts w:ascii="Times New Roman" w:hAnsi="Times New Roman" w:cs="Times New Roman"/>
          <w:sz w:val="22"/>
          <w:szCs w:val="22"/>
          <w:lang w:val="en-US"/>
        </w:rPr>
        <w:fldChar w:fldCharType="separate"/>
      </w:r>
      <w:r w:rsidR="006856C6">
        <w:rPr>
          <w:rFonts w:ascii="Times New Roman" w:hAnsi="Times New Roman" w:cs="Times New Roman"/>
          <w:noProof/>
          <w:sz w:val="22"/>
          <w:szCs w:val="22"/>
          <w:lang w:val="en-US"/>
        </w:rPr>
        <w:t>(7,10,11)</w:t>
      </w:r>
      <w:r w:rsidR="006856C6" w:rsidRPr="00511459">
        <w:rPr>
          <w:rFonts w:ascii="Times New Roman" w:hAnsi="Times New Roman" w:cs="Times New Roman"/>
          <w:sz w:val="22"/>
          <w:szCs w:val="22"/>
          <w:lang w:val="en-US"/>
        </w:rPr>
        <w:fldChar w:fldCharType="end"/>
      </w:r>
      <w:r w:rsidR="006856C6" w:rsidRPr="00511459">
        <w:rPr>
          <w:rFonts w:ascii="Times New Roman" w:hAnsi="Times New Roman" w:cs="Times New Roman"/>
          <w:sz w:val="22"/>
          <w:szCs w:val="22"/>
          <w:lang w:val="en-US"/>
        </w:rPr>
        <w:t>.</w:t>
      </w:r>
    </w:p>
    <w:p w14:paraId="059D1D08" w14:textId="77777777" w:rsidR="006856C6" w:rsidRPr="00511459" w:rsidRDefault="006856C6" w:rsidP="006856C6">
      <w:pPr>
        <w:spacing w:after="0" w:line="240" w:lineRule="auto"/>
        <w:jc w:val="both"/>
        <w:rPr>
          <w:rFonts w:ascii="Times New Roman" w:hAnsi="Times New Roman" w:cs="Times New Roman"/>
          <w:sz w:val="22"/>
          <w:szCs w:val="22"/>
          <w:lang w:val="en-US"/>
        </w:rPr>
      </w:pPr>
    </w:p>
    <w:p w14:paraId="776F627E" w14:textId="5E5B3A5C" w:rsidR="006856C6" w:rsidRPr="00511459" w:rsidRDefault="00A66438" w:rsidP="006856C6">
      <w:pPr>
        <w:spacing w:after="0" w:line="240" w:lineRule="auto"/>
        <w:jc w:val="both"/>
        <w:rPr>
          <w:rFonts w:ascii="Times New Roman" w:hAnsi="Times New Roman" w:cs="Times New Roman"/>
          <w:sz w:val="22"/>
          <w:szCs w:val="22"/>
        </w:rPr>
      </w:pPr>
      <w:r>
        <w:rPr>
          <w:rFonts w:ascii="Times New Roman" w:hAnsi="Times New Roman" w:cs="Times New Roman"/>
          <w:sz w:val="22"/>
          <w:szCs w:val="22"/>
        </w:rPr>
        <w:t xml:space="preserve">The </w:t>
      </w:r>
      <w:r w:rsidR="006856C6" w:rsidRPr="00511459">
        <w:rPr>
          <w:rFonts w:ascii="Times New Roman" w:hAnsi="Times New Roman" w:cs="Times New Roman"/>
          <w:sz w:val="22"/>
          <w:szCs w:val="22"/>
        </w:rPr>
        <w:t xml:space="preserve">Melbourne Rapid Fields (MRF) is a tablet-based perimetry platform that has been validated for assessing visual field function </w:t>
      </w:r>
      <w:r w:rsidR="006856C6" w:rsidRPr="00511459">
        <w:rPr>
          <w:rFonts w:ascii="Times New Roman" w:hAnsi="Times New Roman" w:cs="Times New Roman"/>
          <w:sz w:val="22"/>
          <w:szCs w:val="22"/>
        </w:rPr>
        <w:fldChar w:fldCharType="begin"/>
      </w:r>
      <w:r w:rsidR="006856C6">
        <w:rPr>
          <w:rFonts w:ascii="Times New Roman" w:hAnsi="Times New Roman" w:cs="Times New Roman"/>
          <w:sz w:val="22"/>
          <w:szCs w:val="22"/>
        </w:rPr>
        <w:instrText xml:space="preserve"> ADDIN ZOTERO_ITEM CSL_CITATION {"citationID":"85oLcDwl","properties":{"formattedCitation":"(10)","plainCitation":"(10)","noteIndex":0},"citationItems":[{"id":1005,"uris":["http://zotero.org/users/15549944/items/ULPWVK2Q"],"itemData":{"id":1005,"type":"article-journal","abstract":"To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sidR="006856C6">
        <w:rPr>
          <w:rFonts w:ascii="Cambria Math" w:hAnsi="Cambria Math" w:cs="Cambria Math"/>
          <w:sz w:val="22"/>
          <w:szCs w:val="22"/>
        </w:rPr>
        <w:instrText>∼</w:instrText>
      </w:r>
      <w:r w:rsidR="006856C6">
        <w:rPr>
          <w:rFonts w:ascii="Times New Roman" w:hAnsi="Times New Roman" w:cs="Times New Roman"/>
          <w:sz w:val="22"/>
          <w:szCs w:val="22"/>
        </w:rPr>
        <w:instrText xml:space="preserve">2.9 dB) in normal regions and 48.1% (SD </w:instrText>
      </w:r>
      <w:r w:rsidR="006856C6">
        <w:rPr>
          <w:rFonts w:ascii="Cambria Math" w:hAnsi="Cambria Math" w:cs="Cambria Math"/>
          <w:sz w:val="22"/>
          <w:szCs w:val="22"/>
        </w:rPr>
        <w:instrText>∼</w:instrText>
      </w:r>
      <w:r w:rsidR="006856C6">
        <w:rPr>
          <w:rFonts w:ascii="Times New Roman" w:hAnsi="Times New Roman" w:cs="Times New Roman"/>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sidR="006856C6" w:rsidRPr="00511459">
        <w:rPr>
          <w:rFonts w:ascii="Times New Roman" w:hAnsi="Times New Roman" w:cs="Times New Roman"/>
          <w:sz w:val="22"/>
          <w:szCs w:val="22"/>
        </w:rPr>
        <w:fldChar w:fldCharType="separate"/>
      </w:r>
      <w:r w:rsidR="006856C6">
        <w:rPr>
          <w:rFonts w:ascii="Times New Roman" w:hAnsi="Times New Roman" w:cs="Times New Roman"/>
          <w:noProof/>
          <w:sz w:val="22"/>
          <w:szCs w:val="22"/>
        </w:rPr>
        <w:t>(10)</w:t>
      </w:r>
      <w:r w:rsidR="006856C6" w:rsidRPr="00511459">
        <w:rPr>
          <w:rFonts w:ascii="Times New Roman" w:hAnsi="Times New Roman" w:cs="Times New Roman"/>
          <w:sz w:val="22"/>
          <w:szCs w:val="22"/>
        </w:rPr>
        <w:fldChar w:fldCharType="end"/>
      </w:r>
      <w:r w:rsidR="006856C6" w:rsidRPr="00511459">
        <w:rPr>
          <w:rFonts w:ascii="Times New Roman" w:hAnsi="Times New Roman" w:cs="Times New Roman"/>
          <w:sz w:val="22"/>
          <w:szCs w:val="22"/>
        </w:rPr>
        <w:t>. Developed nearly a decade ago</w:t>
      </w:r>
      <w:r w:rsidR="006856C6">
        <w:rPr>
          <w:rFonts w:ascii="Times New Roman" w:hAnsi="Times New Roman" w:cs="Times New Roman"/>
          <w:sz w:val="22"/>
          <w:szCs w:val="22"/>
        </w:rPr>
        <w:t xml:space="preserve"> </w:t>
      </w:r>
      <w:r w:rsidR="006856C6">
        <w:rPr>
          <w:rFonts w:ascii="Times New Roman" w:hAnsi="Times New Roman" w:cs="Times New Roman"/>
          <w:sz w:val="22"/>
          <w:szCs w:val="22"/>
        </w:rPr>
        <w:fldChar w:fldCharType="begin"/>
      </w:r>
      <w:r w:rsidR="006856C6">
        <w:rPr>
          <w:rFonts w:ascii="Times New Roman" w:hAnsi="Times New Roman" w:cs="Times New Roman"/>
          <w:sz w:val="22"/>
          <w:szCs w:val="22"/>
        </w:rPr>
        <w:instrText xml:space="preserve"> ADDIN ZOTERO_ITEM CSL_CITATION {"citationID":"Ic1gTYTy","properties":{"formattedCitation":"(10)","plainCitation":"(10)","noteIndex":0},"citationItems":[{"id":1005,"uris":["http://zotero.org/users/15549944/items/ULPWVK2Q"],"itemData":{"id":1005,"type":"article-journal","abstract":"To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sidR="006856C6">
        <w:rPr>
          <w:rFonts w:ascii="Cambria Math" w:hAnsi="Cambria Math" w:cs="Cambria Math"/>
          <w:sz w:val="22"/>
          <w:szCs w:val="22"/>
        </w:rPr>
        <w:instrText>∼</w:instrText>
      </w:r>
      <w:r w:rsidR="006856C6">
        <w:rPr>
          <w:rFonts w:ascii="Times New Roman" w:hAnsi="Times New Roman" w:cs="Times New Roman"/>
          <w:sz w:val="22"/>
          <w:szCs w:val="22"/>
        </w:rPr>
        <w:instrText xml:space="preserve">2.9 dB) in normal regions and 48.1% (SD </w:instrText>
      </w:r>
      <w:r w:rsidR="006856C6">
        <w:rPr>
          <w:rFonts w:ascii="Cambria Math" w:hAnsi="Cambria Math" w:cs="Cambria Math"/>
          <w:sz w:val="22"/>
          <w:szCs w:val="22"/>
        </w:rPr>
        <w:instrText>∼</w:instrText>
      </w:r>
      <w:r w:rsidR="006856C6">
        <w:rPr>
          <w:rFonts w:ascii="Times New Roman" w:hAnsi="Times New Roman" w:cs="Times New Roman"/>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sidR="006856C6">
        <w:rPr>
          <w:rFonts w:ascii="Times New Roman" w:hAnsi="Times New Roman" w:cs="Times New Roman"/>
          <w:sz w:val="22"/>
          <w:szCs w:val="22"/>
        </w:rPr>
        <w:fldChar w:fldCharType="separate"/>
      </w:r>
      <w:r w:rsidR="006856C6">
        <w:rPr>
          <w:rFonts w:ascii="Times New Roman" w:hAnsi="Times New Roman" w:cs="Times New Roman"/>
          <w:noProof/>
          <w:sz w:val="22"/>
          <w:szCs w:val="22"/>
        </w:rPr>
        <w:t>(10)</w:t>
      </w:r>
      <w:r w:rsidR="006856C6">
        <w:rPr>
          <w:rFonts w:ascii="Times New Roman" w:hAnsi="Times New Roman" w:cs="Times New Roman"/>
          <w:sz w:val="22"/>
          <w:szCs w:val="22"/>
        </w:rPr>
        <w:fldChar w:fldCharType="end"/>
      </w:r>
      <w:r w:rsidR="006856C6" w:rsidRPr="00511459">
        <w:rPr>
          <w:rFonts w:ascii="Times New Roman" w:hAnsi="Times New Roman" w:cs="Times New Roman"/>
          <w:sz w:val="22"/>
          <w:szCs w:val="22"/>
        </w:rPr>
        <w:t xml:space="preserve">, MRF has since been </w:t>
      </w:r>
      <w:r w:rsidR="006856C6">
        <w:rPr>
          <w:rFonts w:ascii="Times New Roman" w:hAnsi="Times New Roman" w:cs="Times New Roman"/>
          <w:sz w:val="22"/>
          <w:szCs w:val="22"/>
        </w:rPr>
        <w:t>tested</w:t>
      </w:r>
      <w:r w:rsidR="006856C6" w:rsidRPr="00511459">
        <w:rPr>
          <w:rFonts w:ascii="Times New Roman" w:hAnsi="Times New Roman" w:cs="Times New Roman"/>
          <w:sz w:val="22"/>
          <w:szCs w:val="22"/>
        </w:rPr>
        <w:t xml:space="preserve"> in </w:t>
      </w:r>
      <w:r w:rsidR="006856C6">
        <w:rPr>
          <w:rFonts w:ascii="Times New Roman" w:hAnsi="Times New Roman" w:cs="Times New Roman"/>
          <w:sz w:val="22"/>
          <w:szCs w:val="22"/>
        </w:rPr>
        <w:t>patients</w:t>
      </w:r>
      <w:r w:rsidR="006856C6" w:rsidRPr="00511459">
        <w:rPr>
          <w:rFonts w:ascii="Times New Roman" w:hAnsi="Times New Roman" w:cs="Times New Roman"/>
          <w:sz w:val="22"/>
          <w:szCs w:val="22"/>
        </w:rPr>
        <w:t xml:space="preserve"> with glaucoma and other conditions affecting the visual pathways </w:t>
      </w:r>
      <w:r w:rsidR="006856C6" w:rsidRPr="00511459">
        <w:rPr>
          <w:rFonts w:ascii="Times New Roman" w:hAnsi="Times New Roman" w:cs="Times New Roman"/>
          <w:sz w:val="22"/>
          <w:szCs w:val="22"/>
        </w:rPr>
        <w:fldChar w:fldCharType="begin"/>
      </w:r>
      <w:r w:rsidR="006856C6">
        <w:rPr>
          <w:rFonts w:ascii="Times New Roman" w:hAnsi="Times New Roman" w:cs="Times New Roman"/>
          <w:sz w:val="22"/>
          <w:szCs w:val="22"/>
        </w:rPr>
        <w:instrText xml:space="preserve"> ADDIN ZOTERO_ITEM CSL_CITATION {"citationID":"LGlhX930","properties":{"formattedCitation":"(12,13)","plainCitation":"(12,13)","noteIndex":0},"citationItems":[{"id":1011,"uris":["http://zotero.org/users/15549944/items/MIECT2LK"],"itemData":{"id":1011,"type":"article-journal","abstract":"Purpose\nTo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J."}],"issued":{"date-parts":[["2016",11,3]]}}},{"id":1008,"uris":["http://zotero.org/users/15549944/items/SKKFZSKR"],"itemData":{"id":1008,"type":"article-journal","abstract":"PURPOSE: The aim of this study was to determine the short-term compliance with regular home monitoring of macular retinal sensitivity (RS) in intermediate age-related macular degeneration (iAMD). Home-based outcomes were compared with in-clinic outcomes determined using (1) the same tablet device under supervision, and (2) the Macular Integrity Assessment (MaIA) microperimeter.\nDESIGN: Single-center longitudinal compliance and reliability study.\nMETHODS: A total of 73 participants with iAMD were trained to perform macular field testing with the Melbourne Rapid Fields-macular (MRF-m) iPad application. Volunteers were asked to return 6 weekly tests from home, guided by audio instructions. We determined compliance with weekly testing and surveyed for factors that limited compliance. Test reliability (false positive, false negative) and RS were compared to in-clinic assays (MaIA). Data are given as mean ± SD or as median [quartile 1-3 range]. Group comparisons were achieved with bootstrap to define the 95% confidence limits.\nRESULTS: A total of 59 participants submitted 6 home examinations with a median intertest interval of 8.0 [7.0-17] days. Compliance with weekly testing (7 days ±24 hours) was 55%. The main barrier to compliance was information technology (IT) logistic reasons. Of 694 home examinations submitted, 96% were reliable (false-positive results &lt;25%). The mean RS returned by the tablet was significantly higher (+3.2 dB, P &lt; .05) compared to the MaIA.\nCONCLUSIONS: Home monitoring produces reliable results that differ from in-clinic tests because of test design. This should not affect self-monitoring once an at-home baseline is established, but these differences will affect comparisons with in-clinic outcomes. Reasonable compliance with weekly testing was achieved. Improved IT support might lead to better compliance.","container-title":"American Journal of Ophthalmology","DOI":"10.1016/j.ajo.2021.09.003","ISSN":"1879-1891","journalAbbreviation":"Am J Ophthalmol","language":"eng","note":"PMID: 34509437","page":"280-290","source":"PubMed","title":"The Short-Term Compliance and Concordance to in Clinic Testing for Tablet-Based Home Monitoring in Age-Related Macular Degeneration","volume":"235","author":[{"family":"Prea","given":"Selwyn M."},{"family":"Kong","given":"George Y. X."},{"family":"Guymer","given":"Robyn H."},{"family":"Sivarajah","given":"Pyrawy"},{"family":"Baglin","given":"Elizabeth K."},{"family":"Vingrys","given":"Algis J."}],"issued":{"date-parts":[["2022",3]]}}}],"schema":"https://github.com/citation-style-language/schema/raw/master/csl-citation.json"} </w:instrText>
      </w:r>
      <w:r w:rsidR="006856C6" w:rsidRPr="00511459">
        <w:rPr>
          <w:rFonts w:ascii="Times New Roman" w:hAnsi="Times New Roman" w:cs="Times New Roman"/>
          <w:sz w:val="22"/>
          <w:szCs w:val="22"/>
        </w:rPr>
        <w:fldChar w:fldCharType="separate"/>
      </w:r>
      <w:r w:rsidR="006856C6">
        <w:rPr>
          <w:rFonts w:ascii="Times New Roman" w:hAnsi="Times New Roman" w:cs="Times New Roman"/>
          <w:noProof/>
          <w:sz w:val="22"/>
          <w:szCs w:val="22"/>
        </w:rPr>
        <w:t>(12,13)</w:t>
      </w:r>
      <w:r w:rsidR="006856C6" w:rsidRPr="00511459">
        <w:rPr>
          <w:rFonts w:ascii="Times New Roman" w:hAnsi="Times New Roman" w:cs="Times New Roman"/>
          <w:sz w:val="22"/>
          <w:szCs w:val="22"/>
        </w:rPr>
        <w:fldChar w:fldCharType="end"/>
      </w:r>
      <w:r w:rsidR="006856C6" w:rsidRPr="00511459">
        <w:rPr>
          <w:rFonts w:ascii="Times New Roman" w:hAnsi="Times New Roman" w:cs="Times New Roman"/>
          <w:sz w:val="22"/>
          <w:szCs w:val="22"/>
        </w:rPr>
        <w:t xml:space="preserve">. Its performance has been studied </w:t>
      </w:r>
      <w:r w:rsidR="000C2A4B">
        <w:rPr>
          <w:rFonts w:ascii="Times New Roman" w:hAnsi="Times New Roman" w:cs="Times New Roman"/>
          <w:sz w:val="22"/>
          <w:szCs w:val="22"/>
        </w:rPr>
        <w:t>across</w:t>
      </w:r>
      <w:r w:rsidR="006856C6" w:rsidRPr="00511459">
        <w:rPr>
          <w:rFonts w:ascii="Times New Roman" w:hAnsi="Times New Roman" w:cs="Times New Roman"/>
          <w:sz w:val="22"/>
          <w:szCs w:val="22"/>
        </w:rPr>
        <w:t xml:space="preserve"> </w:t>
      </w:r>
      <w:r w:rsidR="006856C6">
        <w:rPr>
          <w:rFonts w:ascii="Times New Roman" w:hAnsi="Times New Roman" w:cs="Times New Roman"/>
          <w:sz w:val="22"/>
          <w:szCs w:val="22"/>
        </w:rPr>
        <w:t>multiple</w:t>
      </w:r>
      <w:r w:rsidR="006856C6" w:rsidRPr="00511459">
        <w:rPr>
          <w:rFonts w:ascii="Times New Roman" w:hAnsi="Times New Roman" w:cs="Times New Roman"/>
          <w:sz w:val="22"/>
          <w:szCs w:val="22"/>
        </w:rPr>
        <w:t xml:space="preserve"> geographic regions a</w:t>
      </w:r>
      <w:r w:rsidR="000C2A4B">
        <w:rPr>
          <w:rFonts w:ascii="Times New Roman" w:hAnsi="Times New Roman" w:cs="Times New Roman"/>
          <w:sz w:val="22"/>
          <w:szCs w:val="22"/>
        </w:rPr>
        <w:t>nd</w:t>
      </w:r>
      <w:r w:rsidR="006856C6" w:rsidRPr="00511459">
        <w:rPr>
          <w:rFonts w:ascii="Times New Roman" w:hAnsi="Times New Roman" w:cs="Times New Roman"/>
          <w:sz w:val="22"/>
          <w:szCs w:val="22"/>
        </w:rPr>
        <w:t xml:space="preserve"> in clinical and home settings </w:t>
      </w:r>
      <w:r w:rsidR="006856C6" w:rsidRPr="00511459">
        <w:rPr>
          <w:rFonts w:ascii="Times New Roman" w:hAnsi="Times New Roman" w:cs="Times New Roman"/>
          <w:sz w:val="22"/>
          <w:szCs w:val="22"/>
        </w:rPr>
        <w:fldChar w:fldCharType="begin"/>
      </w:r>
      <w:r w:rsidR="006856C6">
        <w:rPr>
          <w:rFonts w:ascii="Times New Roman" w:hAnsi="Times New Roman" w:cs="Times New Roman"/>
          <w:sz w:val="22"/>
          <w:szCs w:val="22"/>
        </w:rPr>
        <w:instrText xml:space="preserve"> ADDIN ZOTERO_ITEM CSL_CITATION {"citationID":"DHrU8WCQ","properties":{"formattedCitation":"(7,14)","plainCitation":"(7,14)","noteIndex":0},"citationItems":[{"id":999,"uris":["http://zotero.org/users/15549944/items/TI95PHAA"],"itemData":{"id":999,"type":"article-journal","abstract":"Background Glaucoma is a leading cause of irreversible blindness worldwide. Early detection and continuous monitoring are essential to preventing vision loss, yet traditional diagnostic tools remain largely inaccessible in low-resource settings.\nPurpose This scoping review aimed to map the existing evidence on the use of portable devices for the detection, diagnosis and monitoring of glaucoma.\nMethods We conducted a scoping review in accordance with the Joanna Briggs Institute Manual and Preferred Reporting Items for Systematic Reviews and MetaAnalyses extension for Scoping Reviews guidelines. A comprehensive search was performed across major databases to identify studies that evaluated handheld tonometers, portable fundus cameras and visual field testing devices. Data were extracted on study design, population characteristics, devices used, comparators and reported outcomes.\nResults A total of 216 studies published between 1975 and 2024 were included. Most studies (90.3%) were method agreement studies, primarily focused on intraocular pressure (IOP) devices. Only two studies evaluated all three glaucoma assessment domains (IOP, visual fields and fundus imaging). Most studies were conducted in high-income countries, with a smaller number from low- and middle-income countries. Despite variability in performance, many devices demonstrated acceptable agreement with gold standard methods and were assessed in a range of clinical and community settings.\nConclusion This review highlights the range and characteristics of portable glaucoma devices and their potential for enhancing access to diagnosis and monitoring, particularly in underserved settings. However, the predominance of method agreement studies and the limited integration of multimodal assessments point to gaps in the literature. Future research should focus on comprehensive diagnostic pathways using multiple portable tools and on expanding evaluations in lowresource settings to inform policy and service planning.","container-title":"BMJ Open","DOI":"10.1136/bmjopen-2025-105681","ISSN":"2044-6055, 2044-6055","issue":"10","journalAbbreviation":"BMJ Open","language":"en","page":"e105681","source":"DOI.org (Crossref)","title":"Portable devices for the diagnosis of glaucoma: a scoping review","title-short":"Portable devices for the diagnosis of glaucoma","volume":"15","author":[{"family":"Garba","given":"Farouk"},{"family":"Kyari","given":"Fatima"},{"family":"Burton","given":"Matthew J"},{"family":"Adler","given":"Samuel Harris"},{"family":"Khan","given":"Zunaira"},{"family":"Bello","given":"Mubarak"},{"family":"Evans","given":"Jennifer"},{"family":"Gordon","given":"Iris"},{"family":"Hu","given":"Victor H"},{"family":"Nolan","given":"Winifred"}],"issued":{"date-parts":[["2025",10]]}}},{"id":1014,"uris":["http://zotero.org/users/15549944/items/XRW3ARDR"],"itemData":{"id":1014,"type":"article-journal","abstract":"Background: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Xiang"}],"issued":{"date-parts":[["2022",7,25]]}}}],"schema":"https://github.com/citation-style-language/schema/raw/master/csl-citation.json"} </w:instrText>
      </w:r>
      <w:r w:rsidR="006856C6" w:rsidRPr="00511459">
        <w:rPr>
          <w:rFonts w:ascii="Times New Roman" w:hAnsi="Times New Roman" w:cs="Times New Roman"/>
          <w:sz w:val="22"/>
          <w:szCs w:val="22"/>
        </w:rPr>
        <w:fldChar w:fldCharType="separate"/>
      </w:r>
      <w:r w:rsidR="006856C6">
        <w:rPr>
          <w:rFonts w:ascii="Times New Roman" w:hAnsi="Times New Roman" w:cs="Times New Roman"/>
          <w:noProof/>
          <w:sz w:val="22"/>
          <w:szCs w:val="22"/>
        </w:rPr>
        <w:t>(7,14)</w:t>
      </w:r>
      <w:r w:rsidR="006856C6" w:rsidRPr="00511459">
        <w:rPr>
          <w:rFonts w:ascii="Times New Roman" w:hAnsi="Times New Roman" w:cs="Times New Roman"/>
          <w:sz w:val="22"/>
          <w:szCs w:val="22"/>
        </w:rPr>
        <w:fldChar w:fldCharType="end"/>
      </w:r>
      <w:r w:rsidR="006856C6" w:rsidRPr="00511459">
        <w:rPr>
          <w:rFonts w:ascii="Times New Roman" w:hAnsi="Times New Roman" w:cs="Times New Roman"/>
          <w:sz w:val="22"/>
          <w:szCs w:val="22"/>
        </w:rPr>
        <w:t xml:space="preserve">. Despite </w:t>
      </w:r>
      <w:r w:rsidR="000C2A4B">
        <w:rPr>
          <w:rFonts w:ascii="Times New Roman" w:hAnsi="Times New Roman" w:cs="Times New Roman"/>
          <w:kern w:val="0"/>
          <w:sz w:val="22"/>
          <w:szCs w:val="22"/>
          <w14:ligatures w14:val="none"/>
        </w:rPr>
        <w:t>recent growth in the literature on MRF, to our knowledge, no study has synthesized the evidence through meta-analysis and compared its perimetric performance with</w:t>
      </w:r>
      <w:r w:rsidR="006856C6" w:rsidRPr="00511459">
        <w:rPr>
          <w:rFonts w:ascii="Times New Roman" w:hAnsi="Times New Roman" w:cs="Times New Roman"/>
          <w:sz w:val="22"/>
          <w:szCs w:val="22"/>
        </w:rPr>
        <w:t xml:space="preserve"> that of HFA.</w:t>
      </w:r>
      <w:r w:rsidR="006856C6">
        <w:rPr>
          <w:rFonts w:ascii="Times New Roman" w:hAnsi="Times New Roman" w:cs="Times New Roman"/>
          <w:sz w:val="22"/>
          <w:szCs w:val="22"/>
        </w:rPr>
        <w:t xml:space="preserve"> </w:t>
      </w:r>
      <w:r w:rsidR="006856C6" w:rsidRPr="00511459">
        <w:rPr>
          <w:rFonts w:ascii="Times New Roman" w:hAnsi="Times New Roman" w:cs="Times New Roman"/>
          <w:sz w:val="22"/>
          <w:szCs w:val="22"/>
        </w:rPr>
        <w:t xml:space="preserve">To address this gap, we conducted a systematic review and meta-analysis of published studies that compared perimetric outcomes and performance </w:t>
      </w:r>
      <w:r w:rsidR="000C2A4B">
        <w:rPr>
          <w:rFonts w:ascii="Times New Roman" w:hAnsi="Times New Roman" w:cs="Times New Roman"/>
          <w:sz w:val="22"/>
          <w:szCs w:val="22"/>
        </w:rPr>
        <w:t>between</w:t>
      </w:r>
      <w:r w:rsidR="006856C6" w:rsidRPr="00511459">
        <w:rPr>
          <w:rFonts w:ascii="Times New Roman" w:hAnsi="Times New Roman" w:cs="Times New Roman"/>
          <w:sz w:val="22"/>
          <w:szCs w:val="22"/>
        </w:rPr>
        <w:t xml:space="preserve"> MRF </w:t>
      </w:r>
      <w:r w:rsidR="000C2A4B">
        <w:rPr>
          <w:rFonts w:ascii="Times New Roman" w:hAnsi="Times New Roman" w:cs="Times New Roman"/>
          <w:sz w:val="22"/>
          <w:szCs w:val="22"/>
        </w:rPr>
        <w:t>and</w:t>
      </w:r>
      <w:r w:rsidR="006856C6" w:rsidRPr="00511459">
        <w:rPr>
          <w:rFonts w:ascii="Times New Roman" w:hAnsi="Times New Roman" w:cs="Times New Roman"/>
          <w:sz w:val="22"/>
          <w:szCs w:val="22"/>
        </w:rPr>
        <w:t xml:space="preserve"> HFA in patients with glaucoma or suspected of glaucoma. </w:t>
      </w:r>
    </w:p>
    <w:p w14:paraId="07226A85" w14:textId="77777777" w:rsidR="006856C6" w:rsidRPr="00511459" w:rsidRDefault="006856C6" w:rsidP="006856C6">
      <w:pPr>
        <w:spacing w:after="0" w:line="240" w:lineRule="auto"/>
        <w:jc w:val="both"/>
        <w:outlineLvl w:val="2"/>
        <w:rPr>
          <w:rFonts w:ascii="Times New Roman" w:hAnsi="Times New Roman" w:cs="Times New Roman"/>
          <w:b/>
          <w:bCs/>
          <w:color w:val="000000" w:themeColor="text1"/>
          <w:sz w:val="22"/>
          <w:szCs w:val="22"/>
        </w:rPr>
      </w:pPr>
    </w:p>
    <w:p w14:paraId="4E5D35A0" w14:textId="77777777" w:rsidR="006856C6" w:rsidRPr="00511459" w:rsidRDefault="006856C6" w:rsidP="006856C6">
      <w:pPr>
        <w:spacing w:after="0" w:line="240" w:lineRule="auto"/>
        <w:jc w:val="both"/>
        <w:outlineLvl w:val="2"/>
        <w:rPr>
          <w:rFonts w:ascii="Times New Roman" w:hAnsi="Times New Roman" w:cs="Times New Roman"/>
          <w:b/>
          <w:bCs/>
          <w:color w:val="000000" w:themeColor="text1"/>
          <w:sz w:val="22"/>
          <w:szCs w:val="22"/>
        </w:rPr>
      </w:pPr>
      <w:r w:rsidRPr="00511459">
        <w:rPr>
          <w:rFonts w:ascii="Times New Roman" w:hAnsi="Times New Roman" w:cs="Times New Roman"/>
          <w:b/>
          <w:bCs/>
          <w:color w:val="000000" w:themeColor="text1"/>
          <w:sz w:val="22"/>
          <w:szCs w:val="22"/>
        </w:rPr>
        <w:t>Methods</w:t>
      </w:r>
    </w:p>
    <w:p w14:paraId="68DF15A3" w14:textId="77777777" w:rsidR="006856C6" w:rsidRPr="00511459" w:rsidRDefault="006856C6" w:rsidP="006856C6">
      <w:pPr>
        <w:spacing w:after="0" w:line="240" w:lineRule="auto"/>
        <w:jc w:val="both"/>
        <w:outlineLvl w:val="2"/>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Following PROSPERO and protocol registration (CRD420251009468), we conducted a systematic review from April 2025 to November 2025 to compare the perimetric performance of MRF with HFA in patients with glaucoma.</w:t>
      </w:r>
    </w:p>
    <w:p w14:paraId="514DF83D" w14:textId="77777777" w:rsidR="006856C6" w:rsidRPr="00511459" w:rsidRDefault="006856C6" w:rsidP="006856C6">
      <w:pPr>
        <w:spacing w:after="0" w:line="240" w:lineRule="auto"/>
        <w:jc w:val="both"/>
        <w:outlineLvl w:val="2"/>
        <w:rPr>
          <w:rFonts w:ascii="Times New Roman" w:hAnsi="Times New Roman" w:cs="Times New Roman"/>
          <w:i/>
          <w:iCs/>
          <w:color w:val="000000" w:themeColor="text1"/>
          <w:sz w:val="22"/>
          <w:szCs w:val="22"/>
        </w:rPr>
      </w:pPr>
    </w:p>
    <w:p w14:paraId="373916D3" w14:textId="77777777" w:rsidR="006856C6" w:rsidRPr="00511459" w:rsidRDefault="006856C6" w:rsidP="006856C6">
      <w:pPr>
        <w:spacing w:after="0" w:line="240" w:lineRule="auto"/>
        <w:jc w:val="both"/>
        <w:outlineLvl w:val="2"/>
        <w:rPr>
          <w:rFonts w:ascii="Times New Roman" w:hAnsi="Times New Roman" w:cs="Times New Roman"/>
          <w:i/>
          <w:iCs/>
          <w:color w:val="000000" w:themeColor="text1"/>
          <w:sz w:val="22"/>
          <w:szCs w:val="22"/>
        </w:rPr>
      </w:pPr>
      <w:r w:rsidRPr="00511459">
        <w:rPr>
          <w:rFonts w:ascii="Times New Roman" w:hAnsi="Times New Roman" w:cs="Times New Roman"/>
          <w:i/>
          <w:iCs/>
          <w:color w:val="000000" w:themeColor="text1"/>
          <w:sz w:val="22"/>
          <w:szCs w:val="22"/>
        </w:rPr>
        <w:t>Search Strategy</w:t>
      </w:r>
    </w:p>
    <w:p w14:paraId="242D6E40" w14:textId="0C7BFE4B"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A systematic review of the literature was designed by the team (AI</w:t>
      </w:r>
      <w:r w:rsidR="000C2A4B">
        <w:rPr>
          <w:rFonts w:ascii="Times New Roman" w:hAnsi="Times New Roman" w:cs="Times New Roman"/>
          <w:color w:val="000000" w:themeColor="text1"/>
          <w:sz w:val="22"/>
          <w:szCs w:val="22"/>
        </w:rPr>
        <w:t xml:space="preserve"> and</w:t>
      </w:r>
      <w:r w:rsidRPr="00511459">
        <w:rPr>
          <w:rFonts w:ascii="Times New Roman" w:hAnsi="Times New Roman" w:cs="Times New Roman"/>
          <w:color w:val="000000" w:themeColor="text1"/>
          <w:sz w:val="22"/>
          <w:szCs w:val="22"/>
        </w:rPr>
        <w:t xml:space="preserve"> DSF) and executed by a medical librarian (DG). The search strategy and its results were documented </w:t>
      </w:r>
      <w:r w:rsidR="000C2A4B">
        <w:rPr>
          <w:rFonts w:ascii="Times New Roman" w:hAnsi="Times New Roman" w:cs="Times New Roman"/>
          <w:color w:val="000000" w:themeColor="text1"/>
          <w:sz w:val="22"/>
          <w:szCs w:val="22"/>
        </w:rPr>
        <w:t>in</w:t>
      </w:r>
      <w:r w:rsidRPr="00511459">
        <w:rPr>
          <w:rFonts w:ascii="Times New Roman" w:hAnsi="Times New Roman" w:cs="Times New Roman"/>
          <w:color w:val="000000" w:themeColor="text1"/>
          <w:sz w:val="22"/>
          <w:szCs w:val="22"/>
        </w:rPr>
        <w:t xml:space="preserve"> </w:t>
      </w:r>
      <w:r w:rsidR="000C2A4B">
        <w:rPr>
          <w:rFonts w:ascii="Times New Roman" w:hAnsi="Times New Roman" w:cs="Times New Roman"/>
          <w:color w:val="000000" w:themeColor="text1"/>
          <w:sz w:val="22"/>
          <w:szCs w:val="22"/>
        </w:rPr>
        <w:t>accordance with</w:t>
      </w:r>
      <w:r w:rsidRPr="00511459">
        <w:rPr>
          <w:rFonts w:ascii="Times New Roman" w:hAnsi="Times New Roman" w:cs="Times New Roman"/>
          <w:color w:val="000000" w:themeColor="text1"/>
          <w:sz w:val="22"/>
          <w:szCs w:val="22"/>
        </w:rPr>
        <w:t xml:space="preserve"> PRISMA guidelines.</w:t>
      </w:r>
    </w:p>
    <w:p w14:paraId="7DEB5FAB"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36B285D5" w14:textId="331B5ED0" w:rsidR="006856C6"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Searches were performed on March 11, 2025, across Ovid MEDLINE (1946-), Embase.com (1947-), Web of Science Core Collection (1900-), and Cochrane Library (Wiley 1996-) on March 11, 2025, using controlled vocabulary and keywords focused on the concepts of visual field outcomes using standard automated perimetry versus tablet portable perimetry devices. The full search details are provided in the Appendix. No filters for language, study design, publication date, or country of origin. All references were exported into EndNote 7.8 (Thomson Reuters, 1988-2016) for deduplication</w:t>
      </w:r>
      <w:r w:rsidR="006160A2">
        <w:rPr>
          <w:rFonts w:ascii="Times New Roman" w:hAnsi="Times New Roman" w:cs="Times New Roman"/>
          <w:color w:val="000000" w:themeColor="text1"/>
          <w:sz w:val="22"/>
          <w:szCs w:val="22"/>
        </w:rPr>
        <w:t>,</w:t>
      </w:r>
      <w:r w:rsidRPr="00511459">
        <w:rPr>
          <w:rFonts w:ascii="Times New Roman" w:hAnsi="Times New Roman" w:cs="Times New Roman"/>
          <w:color w:val="000000" w:themeColor="text1"/>
          <w:sz w:val="22"/>
          <w:szCs w:val="22"/>
        </w:rPr>
        <w:t xml:space="preserve"> then to Covidence (Veritas Health Innovation) for further deduplication, study </w:t>
      </w:r>
      <w:r w:rsidR="006160A2">
        <w:rPr>
          <w:rFonts w:ascii="Times New Roman" w:hAnsi="Times New Roman" w:cs="Times New Roman"/>
          <w:color w:val="000000" w:themeColor="text1"/>
          <w:sz w:val="22"/>
          <w:szCs w:val="22"/>
        </w:rPr>
        <w:t>scree</w:t>
      </w:r>
      <w:r w:rsidRPr="00511459">
        <w:rPr>
          <w:rFonts w:ascii="Times New Roman" w:hAnsi="Times New Roman" w:cs="Times New Roman"/>
          <w:color w:val="000000" w:themeColor="text1"/>
          <w:sz w:val="22"/>
          <w:szCs w:val="22"/>
        </w:rPr>
        <w:t xml:space="preserve">ning, selection, and data extraction. The search yielded 527 studies before deduplication, and </w:t>
      </w:r>
      <w:r w:rsidR="00E6094A">
        <w:rPr>
          <w:rFonts w:ascii="Times New Roman" w:hAnsi="Times New Roman" w:cs="Times New Roman"/>
          <w:color w:val="000000" w:themeColor="text1"/>
          <w:sz w:val="22"/>
          <w:szCs w:val="22"/>
        </w:rPr>
        <w:t>289</w:t>
      </w:r>
      <w:r w:rsidRPr="00511459">
        <w:rPr>
          <w:rFonts w:ascii="Times New Roman" w:hAnsi="Times New Roman" w:cs="Times New Roman"/>
          <w:color w:val="000000" w:themeColor="text1"/>
          <w:sz w:val="22"/>
          <w:szCs w:val="22"/>
        </w:rPr>
        <w:t xml:space="preserve"> after deduplication.</w:t>
      </w:r>
      <w:r w:rsidR="000E2DEE">
        <w:rPr>
          <w:rFonts w:ascii="Times New Roman" w:hAnsi="Times New Roman" w:cs="Times New Roman"/>
          <w:color w:val="000000" w:themeColor="text1"/>
          <w:sz w:val="22"/>
          <w:szCs w:val="22"/>
        </w:rPr>
        <w:t xml:space="preserve"> </w:t>
      </w:r>
      <w:r w:rsidR="000E2DEE" w:rsidRPr="000E2DEE">
        <w:rPr>
          <w:rFonts w:ascii="Times New Roman" w:hAnsi="Times New Roman" w:cs="Times New Roman"/>
          <w:color w:val="000000" w:themeColor="text1"/>
          <w:sz w:val="22"/>
          <w:szCs w:val="22"/>
        </w:rPr>
        <w:t>The study by Chen et al. (2025), published in July</w:t>
      </w:r>
      <w:r w:rsidR="000E2DEE">
        <w:rPr>
          <w:rFonts w:ascii="Times New Roman" w:hAnsi="Times New Roman" w:cs="Times New Roman"/>
          <w:color w:val="000000" w:themeColor="text1"/>
          <w:sz w:val="22"/>
          <w:szCs w:val="22"/>
        </w:rPr>
        <w:t xml:space="preserve"> 2025</w:t>
      </w:r>
      <w:r w:rsidR="000E2DEE" w:rsidRPr="000E2DEE">
        <w:rPr>
          <w:rFonts w:ascii="Times New Roman" w:hAnsi="Times New Roman" w:cs="Times New Roman"/>
          <w:color w:val="000000" w:themeColor="text1"/>
          <w:sz w:val="22"/>
          <w:szCs w:val="22"/>
        </w:rPr>
        <w:t>, was manually added in November to update the search results</w:t>
      </w:r>
      <w:r w:rsidR="00614D65">
        <w:rPr>
          <w:rFonts w:ascii="Times New Roman" w:hAnsi="Times New Roman" w:cs="Times New Roman"/>
          <w:color w:val="000000" w:themeColor="text1"/>
          <w:sz w:val="22"/>
          <w:szCs w:val="22"/>
        </w:rPr>
        <w:t xml:space="preserve">, </w:t>
      </w:r>
      <w:r w:rsidR="006160A2">
        <w:rPr>
          <w:rFonts w:ascii="Times New Roman" w:hAnsi="Times New Roman" w:cs="Times New Roman"/>
          <w:color w:val="000000" w:themeColor="text1"/>
          <w:sz w:val="22"/>
          <w:szCs w:val="22"/>
        </w:rPr>
        <w:t>bring</w:t>
      </w:r>
      <w:r w:rsidR="00614D65">
        <w:rPr>
          <w:rFonts w:ascii="Times New Roman" w:hAnsi="Times New Roman" w:cs="Times New Roman"/>
          <w:color w:val="000000" w:themeColor="text1"/>
          <w:sz w:val="22"/>
          <w:szCs w:val="22"/>
        </w:rPr>
        <w:t xml:space="preserve">ing </w:t>
      </w:r>
      <w:r w:rsidR="006160A2">
        <w:rPr>
          <w:rFonts w:ascii="Times New Roman" w:hAnsi="Times New Roman" w:cs="Times New Roman"/>
          <w:color w:val="000000" w:themeColor="text1"/>
          <w:sz w:val="22"/>
          <w:szCs w:val="22"/>
        </w:rPr>
        <w:t>the</w:t>
      </w:r>
      <w:r w:rsidR="00614D65">
        <w:rPr>
          <w:rFonts w:ascii="Times New Roman" w:hAnsi="Times New Roman" w:cs="Times New Roman"/>
          <w:color w:val="000000" w:themeColor="text1"/>
          <w:sz w:val="22"/>
          <w:szCs w:val="22"/>
        </w:rPr>
        <w:t xml:space="preserve"> total </w:t>
      </w:r>
      <w:r w:rsidR="006160A2">
        <w:rPr>
          <w:rFonts w:ascii="Times New Roman" w:hAnsi="Times New Roman" w:cs="Times New Roman"/>
          <w:color w:val="000000" w:themeColor="text1"/>
          <w:sz w:val="22"/>
          <w:szCs w:val="22"/>
        </w:rPr>
        <w:t>to</w:t>
      </w:r>
      <w:r w:rsidR="00614D65">
        <w:rPr>
          <w:rFonts w:ascii="Times New Roman" w:hAnsi="Times New Roman" w:cs="Times New Roman"/>
          <w:color w:val="000000" w:themeColor="text1"/>
          <w:sz w:val="22"/>
          <w:szCs w:val="22"/>
        </w:rPr>
        <w:t xml:space="preserve"> 290 screened studies</w:t>
      </w:r>
      <w:r w:rsidR="000E2DEE" w:rsidRPr="000E2DEE">
        <w:rPr>
          <w:rFonts w:ascii="Times New Roman" w:hAnsi="Times New Roman" w:cs="Times New Roman"/>
          <w:color w:val="000000" w:themeColor="text1"/>
          <w:sz w:val="22"/>
          <w:szCs w:val="22"/>
        </w:rPr>
        <w:t>.</w:t>
      </w:r>
    </w:p>
    <w:p w14:paraId="321A07FF" w14:textId="77777777" w:rsidR="000E2DEE" w:rsidRPr="00511459" w:rsidRDefault="000E2DEE" w:rsidP="006856C6">
      <w:pPr>
        <w:spacing w:after="0" w:line="240" w:lineRule="auto"/>
        <w:jc w:val="both"/>
        <w:rPr>
          <w:rFonts w:ascii="Times New Roman" w:hAnsi="Times New Roman" w:cs="Times New Roman"/>
          <w:i/>
          <w:iCs/>
          <w:color w:val="000000" w:themeColor="text1"/>
          <w:sz w:val="22"/>
          <w:szCs w:val="22"/>
        </w:rPr>
      </w:pPr>
    </w:p>
    <w:p w14:paraId="79C512D8" w14:textId="77777777" w:rsidR="006856C6" w:rsidRPr="00511459" w:rsidRDefault="006856C6" w:rsidP="006856C6">
      <w:pPr>
        <w:spacing w:after="0" w:line="240" w:lineRule="auto"/>
        <w:jc w:val="both"/>
        <w:rPr>
          <w:rFonts w:ascii="Times New Roman" w:hAnsi="Times New Roman" w:cs="Times New Roman"/>
          <w:i/>
          <w:iCs/>
          <w:color w:val="000000" w:themeColor="text1"/>
          <w:sz w:val="22"/>
          <w:szCs w:val="22"/>
        </w:rPr>
      </w:pPr>
      <w:r w:rsidRPr="00511459">
        <w:rPr>
          <w:rFonts w:ascii="Times New Roman" w:hAnsi="Times New Roman" w:cs="Times New Roman"/>
          <w:i/>
          <w:iCs/>
          <w:color w:val="000000" w:themeColor="text1"/>
          <w:sz w:val="22"/>
          <w:szCs w:val="22"/>
        </w:rPr>
        <w:t>Study inclusion</w:t>
      </w:r>
    </w:p>
    <w:p w14:paraId="1870D9D7"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This review included studies reporting the performance of MRF. Other tablet platforms, such as Online Contrast Circular Perimetry, were excluded due to limited methodological comparability and the use of different normative databases.</w:t>
      </w:r>
    </w:p>
    <w:p w14:paraId="3C61B9D7" w14:textId="77777777" w:rsidR="006856C6" w:rsidRPr="00511459" w:rsidRDefault="006856C6" w:rsidP="006856C6">
      <w:pPr>
        <w:spacing w:after="0" w:line="240" w:lineRule="auto"/>
        <w:jc w:val="both"/>
        <w:rPr>
          <w:rFonts w:ascii="Times New Roman" w:hAnsi="Times New Roman" w:cs="Times New Roman"/>
          <w:i/>
          <w:iCs/>
          <w:color w:val="000000" w:themeColor="text1"/>
          <w:sz w:val="22"/>
          <w:szCs w:val="22"/>
        </w:rPr>
      </w:pPr>
    </w:p>
    <w:p w14:paraId="0C233172" w14:textId="1B305392"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7D14D6">
        <w:rPr>
          <w:rFonts w:ascii="Times New Roman" w:hAnsi="Times New Roman" w:cs="Times New Roman"/>
          <w:color w:val="000000" w:themeColor="text1"/>
          <w:sz w:val="22"/>
          <w:szCs w:val="22"/>
        </w:rPr>
        <w:t xml:space="preserve">We included studies that </w:t>
      </w:r>
      <w:r>
        <w:rPr>
          <w:rFonts w:ascii="Times New Roman" w:hAnsi="Times New Roman" w:cs="Times New Roman"/>
          <w:color w:val="000000" w:themeColor="text1"/>
          <w:sz w:val="22"/>
          <w:szCs w:val="22"/>
        </w:rPr>
        <w:t>tested</w:t>
      </w:r>
      <w:r w:rsidRPr="007D14D6">
        <w:rPr>
          <w:rFonts w:ascii="Times New Roman" w:hAnsi="Times New Roman" w:cs="Times New Roman"/>
          <w:color w:val="000000" w:themeColor="text1"/>
          <w:sz w:val="22"/>
          <w:szCs w:val="22"/>
        </w:rPr>
        <w:t xml:space="preserve"> MRF in adults with glaucoma, suspected glaucoma, ocular hypertension, or normal visual fields</w:t>
      </w:r>
      <w:r w:rsidR="009D0F19">
        <w:rPr>
          <w:rFonts w:ascii="Times New Roman" w:hAnsi="Times New Roman" w:cs="Times New Roman"/>
          <w:color w:val="000000" w:themeColor="text1"/>
          <w:sz w:val="22"/>
          <w:szCs w:val="22"/>
        </w:rPr>
        <w:t>.</w:t>
      </w:r>
      <w:r w:rsidR="009D0F19" w:rsidRPr="007D14D6">
        <w:rPr>
          <w:rFonts w:ascii="Times New Roman" w:hAnsi="Times New Roman" w:cs="Times New Roman"/>
          <w:color w:val="000000" w:themeColor="text1"/>
          <w:sz w:val="22"/>
          <w:szCs w:val="22"/>
        </w:rPr>
        <w:t xml:space="preserve"> </w:t>
      </w:r>
      <w:r w:rsidR="009D0F19">
        <w:rPr>
          <w:rFonts w:ascii="Times New Roman" w:hAnsi="Times New Roman" w:cs="Times New Roman"/>
          <w:color w:val="000000" w:themeColor="text1"/>
          <w:sz w:val="22"/>
          <w:szCs w:val="22"/>
        </w:rPr>
        <w:t>We</w:t>
      </w:r>
      <w:r w:rsidRPr="007D14D6">
        <w:rPr>
          <w:rFonts w:ascii="Times New Roman" w:hAnsi="Times New Roman" w:cs="Times New Roman"/>
          <w:color w:val="000000" w:themeColor="text1"/>
          <w:sz w:val="22"/>
          <w:szCs w:val="22"/>
        </w:rPr>
        <w:t xml:space="preserve"> compared the performance of the first-generation MRF with that of the HFA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{"citationID":"5C61Cr8L","properties":{"formattedCitation":"(10)","plainCitation":"(10)","noteIndex":0},"citationItems":[{"id":1005,"uris":["http://zotero.org/users/15549944/items/ULPWVK2Q"],"itemData":{"id":1005,"type":"article-journal","abstract":"To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w:t>
      </w:r>
      <w:r w:rsidRPr="00553664">
        <w:t xml:space="preserve"> </w:t>
      </w:r>
      <w:r w:rsidRPr="00553664">
        <w:rPr>
          <w:rFonts w:ascii="Times New Roman" w:hAnsi="Times New Roman" w:cs="Times New Roman"/>
          <w:color w:val="000000" w:themeColor="text1"/>
          <w:sz w:val="22"/>
          <w:szCs w:val="22"/>
        </w:rPr>
        <w:t>Studies were required to report at least one prespecified outcome of interest and to use the 24-2 SITA Standard algorithm</w:t>
      </w:r>
      <w:r>
        <w:rPr>
          <w:rFonts w:ascii="Times New Roman" w:hAnsi="Times New Roman" w:cs="Times New Roman"/>
          <w:color w:val="000000" w:themeColor="text1"/>
          <w:sz w:val="22"/>
          <w:szCs w:val="22"/>
        </w:rPr>
        <w:t xml:space="preserve"> as the comparator</w:t>
      </w:r>
      <w:r w:rsidRPr="00511459">
        <w:rPr>
          <w:rFonts w:ascii="Times New Roman" w:hAnsi="Times New Roman" w:cs="Times New Roman"/>
          <w:color w:val="000000" w:themeColor="text1"/>
          <w:sz w:val="22"/>
          <w:szCs w:val="22"/>
        </w:rPr>
        <w:t>. One study included data from SITA Standard and SITA Fast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{"citationID":"AsKp7sgr","properties":{"formattedCitation":"(15)","plainCitation":"(15)","noteIndex":0},"citationItems":[{"id":1020,"uris":["http://zotero.org/users/15549944/items/UCHYBAMG"],"itemData":{"id":1020,"type":"article-journal","container-title":"American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(15)</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for that study, only the data from SITA Standard w</w:t>
      </w:r>
      <w:r w:rsidR="00D63B68">
        <w:rPr>
          <w:rFonts w:ascii="Times New Roman" w:hAnsi="Times New Roman" w:cs="Times New Roman"/>
          <w:color w:val="000000" w:themeColor="text1"/>
          <w:sz w:val="22"/>
          <w:szCs w:val="22"/>
        </w:rPr>
        <w:t>ere</w:t>
      </w:r>
      <w:r w:rsidRPr="00511459">
        <w:rPr>
          <w:rFonts w:ascii="Times New Roman" w:hAnsi="Times New Roman" w:cs="Times New Roman"/>
          <w:color w:val="000000" w:themeColor="text1"/>
          <w:sz w:val="22"/>
          <w:szCs w:val="22"/>
        </w:rPr>
        <w:t xml:space="preserve"> extracted. </w:t>
      </w:r>
      <w:r w:rsidRPr="00553664">
        <w:rPr>
          <w:rFonts w:ascii="Times New Roman" w:hAnsi="Times New Roman" w:cs="Times New Roman"/>
          <w:color w:val="000000" w:themeColor="text1"/>
          <w:sz w:val="22"/>
          <w:szCs w:val="22"/>
        </w:rPr>
        <w:t>Publications</w:t>
      </w:r>
      <w:r>
        <w:rPr>
          <w:rFonts w:ascii="Times New Roman" w:hAnsi="Times New Roman" w:cs="Times New Roman"/>
          <w:color w:val="000000" w:themeColor="text1"/>
          <w:sz w:val="22"/>
          <w:szCs w:val="22"/>
        </w:rPr>
        <w:t xml:space="preserve"> </w:t>
      </w:r>
      <w:r w:rsidR="009D0F19">
        <w:rPr>
          <w:rFonts w:ascii="Times New Roman" w:hAnsi="Times New Roman" w:cs="Times New Roman"/>
          <w:color w:val="000000" w:themeColor="text1"/>
          <w:sz w:val="22"/>
          <w:szCs w:val="22"/>
        </w:rPr>
        <w:t xml:space="preserve">on </w:t>
      </w:r>
      <w:r>
        <w:rPr>
          <w:rFonts w:ascii="Times New Roman" w:hAnsi="Times New Roman" w:cs="Times New Roman"/>
          <w:color w:val="000000" w:themeColor="text1"/>
          <w:sz w:val="22"/>
          <w:szCs w:val="22"/>
        </w:rPr>
        <w:t>patients with glaucoma</w:t>
      </w:r>
      <w:r w:rsidRPr="00553664">
        <w:rPr>
          <w:rFonts w:ascii="Times New Roman" w:hAnsi="Times New Roman" w:cs="Times New Roman"/>
          <w:color w:val="000000" w:themeColor="text1"/>
          <w:sz w:val="22"/>
          <w:szCs w:val="22"/>
        </w:rPr>
        <w:t xml:space="preserve"> </w:t>
      </w:r>
      <w:r w:rsidR="009D0F19">
        <w:rPr>
          <w:rFonts w:ascii="Times New Roman" w:hAnsi="Times New Roman" w:cs="Times New Roman"/>
          <w:color w:val="000000" w:themeColor="text1"/>
          <w:sz w:val="22"/>
          <w:szCs w:val="22"/>
        </w:rPr>
        <w:t>that compared</w:t>
      </w:r>
      <w:r w:rsidRPr="00553664">
        <w:rPr>
          <w:rFonts w:ascii="Times New Roman" w:hAnsi="Times New Roman" w:cs="Times New Roman"/>
          <w:color w:val="000000" w:themeColor="text1"/>
          <w:sz w:val="22"/>
          <w:szCs w:val="22"/>
        </w:rPr>
        <w:t xml:space="preserve"> MRF performance </w:t>
      </w:r>
      <w:r w:rsidR="009D0F19">
        <w:rPr>
          <w:rFonts w:ascii="Times New Roman" w:hAnsi="Times New Roman" w:cs="Times New Roman"/>
          <w:color w:val="000000" w:themeColor="text1"/>
          <w:sz w:val="22"/>
          <w:szCs w:val="22"/>
        </w:rPr>
        <w:t>using</w:t>
      </w:r>
      <w:r w:rsidRPr="00553664">
        <w:rPr>
          <w:rFonts w:ascii="Times New Roman" w:hAnsi="Times New Roman" w:cs="Times New Roman"/>
          <w:color w:val="000000" w:themeColor="text1"/>
          <w:sz w:val="22"/>
          <w:szCs w:val="22"/>
        </w:rPr>
        <w:t xml:space="preserve"> 30-2 or 10-2 test patterns were excluded to maximize comparability across studies.</w:t>
      </w:r>
      <w:r>
        <w:rPr>
          <w:rFonts w:ascii="Times New Roman" w:hAnsi="Times New Roman" w:cs="Times New Roman"/>
          <w:color w:val="000000" w:themeColor="text1"/>
          <w:sz w:val="22"/>
          <w:szCs w:val="22"/>
        </w:rPr>
        <w:t xml:space="preserve"> </w:t>
      </w:r>
      <w:r w:rsidRPr="001004EF">
        <w:rPr>
          <w:rFonts w:ascii="Times New Roman" w:hAnsi="Times New Roman" w:cs="Times New Roman"/>
          <w:color w:val="000000" w:themeColor="text1"/>
          <w:sz w:val="22"/>
          <w:szCs w:val="22"/>
        </w:rPr>
        <w:t xml:space="preserve">When a study provided only at-home MRF data, those measurements were included. For studies that reported MRF performance separately for in-clinic and at-home settings, we </w:t>
      </w:r>
      <w:r>
        <w:rPr>
          <w:rFonts w:ascii="Times New Roman" w:hAnsi="Times New Roman" w:cs="Times New Roman"/>
          <w:color w:val="000000" w:themeColor="text1"/>
          <w:sz w:val="22"/>
          <w:szCs w:val="22"/>
        </w:rPr>
        <w:t>used</w:t>
      </w:r>
      <w:r w:rsidRPr="001004EF">
        <w:rPr>
          <w:rFonts w:ascii="Times New Roman" w:hAnsi="Times New Roman" w:cs="Times New Roman"/>
          <w:color w:val="000000" w:themeColor="text1"/>
          <w:sz w:val="22"/>
          <w:szCs w:val="22"/>
        </w:rPr>
        <w:t xml:space="preserve"> the in-clinic data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{"citationID":"mfmfVcO1","properties":{"formattedCitation":"(14)","plainCitation":"(14)","noteIndex":0},"citationItems":[{"id":1014,"uris":["http://zotero.org/users/15549944/items/XRW3ARDR"],"itemData":{"id":1014,"type":"article-journal","abstract":"Background: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(14)</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t>
      </w:r>
    </w:p>
    <w:p w14:paraId="3D2C88B4"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70853442"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 xml:space="preserve">Studies were imported into COVIDENCE® (Veritas Health Innovation, Melbourne, Australia) for title and abstract screening and full-text review by two independent reviewers (AI and EAMD). Screening of titles and abstracts was performed </w:t>
      </w:r>
      <w:r>
        <w:rPr>
          <w:rFonts w:ascii="Times New Roman" w:hAnsi="Times New Roman" w:cs="Times New Roman"/>
          <w:color w:val="000000" w:themeColor="text1"/>
          <w:sz w:val="22"/>
          <w:szCs w:val="22"/>
        </w:rPr>
        <w:t>asynchronous</w:t>
      </w:r>
      <w:r w:rsidRPr="00511459">
        <w:rPr>
          <w:rFonts w:ascii="Times New Roman" w:hAnsi="Times New Roman" w:cs="Times New Roman"/>
          <w:color w:val="000000" w:themeColor="text1"/>
          <w:sz w:val="22"/>
          <w:szCs w:val="22"/>
        </w:rPr>
        <w:t xml:space="preserve">ly by the two reviewers. Eligible studies underwent a full-text review, with disagreements resolved by </w:t>
      </w:r>
      <w:r>
        <w:rPr>
          <w:rFonts w:ascii="Times New Roman" w:hAnsi="Times New Roman" w:cs="Times New Roman"/>
          <w:color w:val="000000" w:themeColor="text1"/>
          <w:sz w:val="22"/>
          <w:szCs w:val="22"/>
        </w:rPr>
        <w:t xml:space="preserve">written </w:t>
      </w:r>
      <w:r w:rsidRPr="00511459">
        <w:rPr>
          <w:rFonts w:ascii="Times New Roman" w:hAnsi="Times New Roman" w:cs="Times New Roman"/>
          <w:color w:val="000000" w:themeColor="text1"/>
          <w:sz w:val="22"/>
          <w:szCs w:val="22"/>
        </w:rPr>
        <w:t xml:space="preserve">consensus. Data from the included studies were extracted into a centralized external </w:t>
      </w:r>
      <w:r>
        <w:rPr>
          <w:rFonts w:ascii="Times New Roman" w:hAnsi="Times New Roman" w:cs="Times New Roman"/>
          <w:color w:val="000000" w:themeColor="text1"/>
          <w:sz w:val="22"/>
          <w:szCs w:val="22"/>
        </w:rPr>
        <w:t>spreadsheet</w:t>
      </w:r>
      <w:r w:rsidRPr="00511459">
        <w:rPr>
          <w:rFonts w:ascii="Times New Roman" w:hAnsi="Times New Roman" w:cs="Times New Roman"/>
          <w:color w:val="000000" w:themeColor="text1"/>
          <w:sz w:val="22"/>
          <w:szCs w:val="22"/>
        </w:rPr>
        <w:t>.</w:t>
      </w:r>
    </w:p>
    <w:p w14:paraId="4132C422"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539B2571" w14:textId="24369C15"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We contacted the corresponding authors of</w:t>
      </w:r>
      <w:r>
        <w:rPr>
          <w:rFonts w:ascii="Times New Roman" w:hAnsi="Times New Roman" w:cs="Times New Roman"/>
          <w:color w:val="000000" w:themeColor="text1"/>
          <w:sz w:val="22"/>
          <w:szCs w:val="22"/>
        </w:rPr>
        <w:t xml:space="preserve"> 8 of</w:t>
      </w:r>
      <w:r w:rsidRPr="00511459">
        <w:rPr>
          <w:rFonts w:ascii="Times New Roman" w:hAnsi="Times New Roman" w:cs="Times New Roman"/>
          <w:color w:val="000000" w:themeColor="text1"/>
          <w:sz w:val="22"/>
          <w:szCs w:val="22"/>
        </w:rPr>
        <w:t xml:space="preserve"> the</w:t>
      </w:r>
      <w:r>
        <w:rPr>
          <w:rFonts w:ascii="Times New Roman" w:hAnsi="Times New Roman" w:cs="Times New Roman"/>
          <w:color w:val="000000" w:themeColor="text1"/>
          <w:sz w:val="22"/>
          <w:szCs w:val="22"/>
        </w:rPr>
        <w:t xml:space="preserve"> 9</w:t>
      </w:r>
      <w:r w:rsidRPr="00511459">
        <w:rPr>
          <w:rFonts w:ascii="Times New Roman" w:hAnsi="Times New Roman" w:cs="Times New Roman"/>
          <w:color w:val="000000" w:themeColor="text1"/>
          <w:sz w:val="22"/>
          <w:szCs w:val="22"/>
        </w:rPr>
        <w:t xml:space="preserve"> included studies and submitted </w:t>
      </w:r>
      <w:r>
        <w:rPr>
          <w:rFonts w:ascii="Times New Roman" w:hAnsi="Times New Roman" w:cs="Times New Roman"/>
          <w:color w:val="000000" w:themeColor="text1"/>
          <w:sz w:val="22"/>
          <w:szCs w:val="22"/>
        </w:rPr>
        <w:t>10</w:t>
      </w:r>
      <w:r w:rsidRPr="00511459">
        <w:rPr>
          <w:rFonts w:ascii="Times New Roman" w:hAnsi="Times New Roman" w:cs="Times New Roman"/>
          <w:color w:val="000000" w:themeColor="text1"/>
          <w:sz w:val="22"/>
          <w:szCs w:val="22"/>
        </w:rPr>
        <w:t xml:space="preserve"> data requests, seeking more than </w:t>
      </w:r>
      <w:r>
        <w:rPr>
          <w:rFonts w:ascii="Times New Roman" w:hAnsi="Times New Roman" w:cs="Times New Roman"/>
          <w:color w:val="000000" w:themeColor="text1"/>
          <w:sz w:val="22"/>
          <w:szCs w:val="22"/>
        </w:rPr>
        <w:t>200</w:t>
      </w:r>
      <w:r w:rsidRPr="00511459">
        <w:rPr>
          <w:rFonts w:ascii="Times New Roman" w:hAnsi="Times New Roman" w:cs="Times New Roman"/>
          <w:color w:val="000000" w:themeColor="text1"/>
          <w:sz w:val="22"/>
          <w:szCs w:val="22"/>
        </w:rPr>
        <w:t xml:space="preserve"> additional data points not reported in the published manuscripts.</w:t>
      </w:r>
      <w:r>
        <w:rPr>
          <w:rFonts w:ascii="Times New Roman" w:hAnsi="Times New Roman" w:cs="Times New Roman"/>
          <w:color w:val="000000" w:themeColor="text1"/>
          <w:sz w:val="22"/>
          <w:szCs w:val="22"/>
        </w:rPr>
        <w:t xml:space="preserve"> The authors of 6 of the 9 studies provided additional data.</w:t>
      </w:r>
      <w:r w:rsidRPr="00511459">
        <w:rPr>
          <w:rFonts w:ascii="Times New Roman" w:hAnsi="Times New Roman" w:cs="Times New Roman"/>
          <w:color w:val="000000" w:themeColor="text1"/>
          <w:sz w:val="22"/>
          <w:szCs w:val="22"/>
        </w:rPr>
        <w:t xml:space="preserve"> Risk of bias was manually assessed by one of the authors (</w:t>
      </w:r>
      <w:r w:rsidR="006664BD">
        <w:rPr>
          <w:rFonts w:ascii="Times New Roman" w:hAnsi="Times New Roman" w:cs="Times New Roman"/>
          <w:color w:val="000000" w:themeColor="text1"/>
          <w:sz w:val="22"/>
          <w:szCs w:val="22"/>
        </w:rPr>
        <w:t>AI</w:t>
      </w:r>
      <w:r w:rsidR="006664BD" w:rsidRPr="00511459">
        <w:rPr>
          <w:rFonts w:ascii="Times New Roman" w:hAnsi="Times New Roman" w:cs="Times New Roman"/>
          <w:color w:val="000000" w:themeColor="text1"/>
          <w:sz w:val="22"/>
          <w:szCs w:val="22"/>
        </w:rPr>
        <w:t>) using</w:t>
      </w:r>
      <w:r w:rsidRPr="00511459">
        <w:rPr>
          <w:rFonts w:ascii="Times New Roman" w:hAnsi="Times New Roman" w:cs="Times New Roman"/>
          <w:color w:val="000000" w:themeColor="text1"/>
          <w:sz w:val="22"/>
          <w:szCs w:val="22"/>
        </w:rPr>
        <w:t xml:space="preserve"> the QUADAS 2 critical appraisal tools</w:t>
      </w:r>
      <w:r w:rsidR="00DD31AF">
        <w:rPr>
          <w:rFonts w:ascii="Times New Roman" w:hAnsi="Times New Roman" w:cs="Times New Roman"/>
          <w:color w:val="000000" w:themeColor="text1"/>
          <w:sz w:val="22"/>
          <w:szCs w:val="22"/>
        </w:rPr>
        <w:t xml:space="preserve"> (included in the appendix)</w:t>
      </w:r>
      <w:r w:rsidRPr="00511459">
        <w:rPr>
          <w:rFonts w:ascii="Times New Roman" w:hAnsi="Times New Roman" w:cs="Times New Roman"/>
          <w:color w:val="000000" w:themeColor="text1"/>
          <w:sz w:val="22"/>
          <w:szCs w:val="22"/>
        </w:rPr>
        <w:t>.</w:t>
      </w:r>
      <w:r w:rsidR="00F75114">
        <w:rPr>
          <w:rFonts w:ascii="Times New Roman" w:hAnsi="Times New Roman" w:cs="Times New Roman"/>
          <w:color w:val="000000" w:themeColor="text1"/>
          <w:sz w:val="22"/>
          <w:szCs w:val="22"/>
        </w:rPr>
        <w:t xml:space="preserve"> </w:t>
      </w:r>
      <w:r w:rsidR="00F02B30" w:rsidRPr="00F02B30">
        <w:rPr>
          <w:rFonts w:ascii="Times New Roman" w:hAnsi="Times New Roman" w:cs="Times New Roman"/>
          <w:color w:val="000000" w:themeColor="text1"/>
          <w:sz w:val="22"/>
          <w:szCs w:val="22"/>
        </w:rPr>
        <w:t xml:space="preserve">Visualization of the risk-of-bias assessment was performed using RStudio (version 2026.01.0+392; Posit Software, Boston, MA, USA) and the </w:t>
      </w:r>
      <w:r w:rsidR="00A75864">
        <w:rPr>
          <w:rFonts w:ascii="Times New Roman" w:hAnsi="Times New Roman" w:cs="Times New Roman"/>
          <w:color w:val="000000" w:themeColor="text1"/>
          <w:sz w:val="22"/>
          <w:szCs w:val="22"/>
        </w:rPr>
        <w:t>“</w:t>
      </w:r>
      <w:r w:rsidR="00F02B30" w:rsidRPr="00A75864">
        <w:rPr>
          <w:rFonts w:ascii="Times New Roman" w:hAnsi="Times New Roman" w:cs="Times New Roman"/>
          <w:i/>
          <w:iCs/>
          <w:color w:val="000000" w:themeColor="text1"/>
          <w:sz w:val="22"/>
          <w:szCs w:val="22"/>
        </w:rPr>
        <w:t>ggplot2</w:t>
      </w:r>
      <w:r w:rsidR="00A75864">
        <w:rPr>
          <w:rFonts w:ascii="Times New Roman" w:hAnsi="Times New Roman" w:cs="Times New Roman"/>
          <w:i/>
          <w:iCs/>
          <w:color w:val="000000" w:themeColor="text1"/>
          <w:sz w:val="22"/>
          <w:szCs w:val="22"/>
        </w:rPr>
        <w:t>”</w:t>
      </w:r>
      <w:r w:rsidR="00F02B30" w:rsidRPr="00F02B30">
        <w:rPr>
          <w:rFonts w:ascii="Times New Roman" w:hAnsi="Times New Roman" w:cs="Times New Roman"/>
          <w:color w:val="000000" w:themeColor="text1"/>
          <w:sz w:val="22"/>
          <w:szCs w:val="22"/>
        </w:rPr>
        <w:t xml:space="preserve"> visualization package</w:t>
      </w:r>
      <w:r w:rsidR="00F75114">
        <w:rPr>
          <w:rFonts w:ascii="Times New Roman" w:hAnsi="Times New Roman" w:cs="Times New Roman"/>
          <w:color w:val="000000" w:themeColor="text1"/>
          <w:sz w:val="22"/>
          <w:szCs w:val="22"/>
        </w:rPr>
        <w:t xml:space="preserve">. </w:t>
      </w:r>
      <w:r w:rsidRPr="00511459">
        <w:rPr>
          <w:rFonts w:ascii="Times New Roman" w:hAnsi="Times New Roman" w:cs="Times New Roman"/>
          <w:color w:val="000000" w:themeColor="text1"/>
          <w:sz w:val="22"/>
          <w:szCs w:val="22"/>
        </w:rPr>
        <w:t>No automated tools were used for screening, extraction, or risk of bias appraisal.</w:t>
      </w:r>
    </w:p>
    <w:p w14:paraId="01F838C5"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2AA69371" w14:textId="77777777" w:rsidR="006856C6" w:rsidRPr="00511459" w:rsidRDefault="006856C6" w:rsidP="006856C6">
      <w:pPr>
        <w:spacing w:after="0" w:line="240" w:lineRule="auto"/>
        <w:jc w:val="both"/>
        <w:rPr>
          <w:rFonts w:ascii="Times New Roman" w:hAnsi="Times New Roman" w:cs="Times New Roman"/>
          <w:i/>
          <w:iCs/>
          <w:color w:val="000000" w:themeColor="text1"/>
          <w:sz w:val="22"/>
          <w:szCs w:val="22"/>
        </w:rPr>
      </w:pPr>
      <w:r w:rsidRPr="00511459">
        <w:rPr>
          <w:rFonts w:ascii="Times New Roman" w:hAnsi="Times New Roman" w:cs="Times New Roman"/>
          <w:i/>
          <w:iCs/>
          <w:color w:val="000000" w:themeColor="text1"/>
          <w:sz w:val="22"/>
          <w:szCs w:val="22"/>
        </w:rPr>
        <w:t>Statistical Analysis</w:t>
      </w:r>
    </w:p>
    <w:p w14:paraId="53732088" w14:textId="2D46C9A9"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 xml:space="preserve">We performed meta-analyses to compare the test duration, functional sensitivity, reliability indices, and agreement metrics of MRF and HFA. All analyses were performed using Stata 18 (College Station, TX) </w:t>
      </w:r>
      <w:r w:rsidRPr="00511459">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{"citationID":"znVWYy3F","properties":{"formattedCitation":"(16)","plainCitation":"(16)","noteIndex":0},"citationItems":[{"id":464,"uris":["http://zotero.org/users/15549944/items/IDM2I4LN"],"itemData":{"id":464,"type":"software","collection-title":"Stata","publisher":"StataCorp LLC.","title":"Stata 18","version":"18","author":[{"family":"Stata","given":"Corp"}],"issued":{"date-parts":[["2023"]]}}}],"schema":"https://github.com/citation-style-language/schema/raw/master/csl-citation.json"} </w:instrText>
      </w:r>
      <w:r w:rsidRPr="00511459">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(16)</w:t>
      </w:r>
      <w:r w:rsidRPr="00511459">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with the “</w:t>
      </w:r>
      <w:r w:rsidRPr="00511459">
        <w:rPr>
          <w:rFonts w:ascii="Times New Roman" w:hAnsi="Times New Roman" w:cs="Times New Roman"/>
          <w:i/>
          <w:iCs/>
          <w:color w:val="000000" w:themeColor="text1"/>
          <w:sz w:val="22"/>
          <w:szCs w:val="22"/>
        </w:rPr>
        <w:t>meta</w:t>
      </w:r>
      <w:r w:rsidRPr="00511459">
        <w:rPr>
          <w:rFonts w:ascii="Times New Roman" w:hAnsi="Times New Roman" w:cs="Times New Roman"/>
          <w:color w:val="000000" w:themeColor="text1"/>
          <w:sz w:val="22"/>
          <w:szCs w:val="22"/>
        </w:rPr>
        <w:t>” and “</w:t>
      </w:r>
      <w:proofErr w:type="spellStart"/>
      <w:r w:rsidRPr="00511459">
        <w:rPr>
          <w:rFonts w:ascii="Times New Roman" w:hAnsi="Times New Roman" w:cs="Times New Roman"/>
          <w:i/>
          <w:iCs/>
          <w:color w:val="000000" w:themeColor="text1"/>
          <w:sz w:val="22"/>
          <w:szCs w:val="22"/>
        </w:rPr>
        <w:t>metan</w:t>
      </w:r>
      <w:proofErr w:type="spellEnd"/>
      <w:r w:rsidRPr="00511459">
        <w:rPr>
          <w:rFonts w:ascii="Times New Roman" w:hAnsi="Times New Roman" w:cs="Times New Roman"/>
          <w:color w:val="000000" w:themeColor="text1"/>
          <w:sz w:val="22"/>
          <w:szCs w:val="22"/>
        </w:rPr>
        <w:t xml:space="preserve">” packages </w:t>
      </w:r>
      <w:r w:rsidRPr="00511459">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{"citationID":"HX1jeWXs","properties":{"formattedCitation":"(17)","plainCitation":"(17)","noteIndex":0},"citationItems":[{"id":465,"uris":["http://zotero.org/users/15549944/items/XJMFAGS9"],"itemData":{"id":465,"type":"document","publisher":"College Station, TX: Stata Press","title":"Stata 18 Meta-Analysis Reference Manual.","author":[{"literal":"StataCorp"}],"issued":{"date-parts":[["2023"]]}}}],"schema":"https://github.com/citation-style-language/schema/raw/master/csl-citation.json"} </w:instrText>
      </w:r>
      <w:r w:rsidRPr="00511459">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(17)</w:t>
      </w:r>
      <w:r w:rsidRPr="00511459">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A random-effects model with restricted maximum likelihood (REML) was selected a priori, </w:t>
      </w:r>
      <w:r w:rsidR="00422062">
        <w:rPr>
          <w:rFonts w:ascii="Times New Roman" w:hAnsi="Times New Roman" w:cs="Times New Roman"/>
          <w:color w:val="000000" w:themeColor="text1"/>
          <w:sz w:val="22"/>
          <w:szCs w:val="22"/>
        </w:rPr>
        <w:t>assuming</w:t>
      </w:r>
      <w:r w:rsidRPr="00511459">
        <w:rPr>
          <w:rFonts w:ascii="Times New Roman" w:hAnsi="Times New Roman" w:cs="Times New Roman"/>
          <w:color w:val="000000" w:themeColor="text1"/>
          <w:sz w:val="22"/>
          <w:szCs w:val="22"/>
        </w:rPr>
        <w:t xml:space="preserve"> that </w:t>
      </w:r>
      <w:r>
        <w:rPr>
          <w:rFonts w:ascii="Times New Roman" w:hAnsi="Times New Roman" w:cs="Times New Roman"/>
          <w:color w:val="000000" w:themeColor="text1"/>
          <w:sz w:val="22"/>
          <w:szCs w:val="22"/>
        </w:rPr>
        <w:t xml:space="preserve">the </w:t>
      </w:r>
      <w:r w:rsidRPr="00511459">
        <w:rPr>
          <w:rFonts w:ascii="Times New Roman" w:hAnsi="Times New Roman" w:cs="Times New Roman"/>
          <w:color w:val="000000" w:themeColor="text1"/>
          <w:sz w:val="22"/>
          <w:szCs w:val="22"/>
        </w:rPr>
        <w:t>true effect size</w:t>
      </w:r>
      <w:r>
        <w:rPr>
          <w:rFonts w:ascii="Times New Roman" w:hAnsi="Times New Roman" w:cs="Times New Roman"/>
          <w:color w:val="000000" w:themeColor="text1"/>
          <w:sz w:val="22"/>
          <w:szCs w:val="22"/>
        </w:rPr>
        <w:t xml:space="preserve"> </w:t>
      </w:r>
      <w:r w:rsidR="00422062">
        <w:rPr>
          <w:rFonts w:ascii="Times New Roman" w:hAnsi="Times New Roman" w:cs="Times New Roman"/>
          <w:color w:val="000000" w:themeColor="text1"/>
          <w:sz w:val="22"/>
          <w:szCs w:val="22"/>
        </w:rPr>
        <w:t>varies</w:t>
      </w:r>
      <w:r w:rsidRPr="00511459">
        <w:rPr>
          <w:rFonts w:ascii="Times New Roman" w:hAnsi="Times New Roman" w:cs="Times New Roman"/>
          <w:color w:val="000000" w:themeColor="text1"/>
          <w:sz w:val="22"/>
          <w:szCs w:val="22"/>
        </w:rPr>
        <w:t xml:space="preserve"> across studies </w:t>
      </w:r>
      <w:r w:rsidRPr="00511459">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{"citationID":"0Gd415ru","properties":{"formattedCitation":"(18)","plainCitation":"(18)","noteIndex":0},"citationItems":[{"id":466,"uris":["http://zotero.org/users/15549944/items/TVQ2LAIW"],"itemData":{"id":466,"type":"article-journal","abstract":"&lt;p&gt;Summary estimates of treatment effect from random effects meta-analysis give only the average effect across all studies. Inclusion of prediction intervals, which estimate the likely effect in an individual setting, could make it easier to apply the results to clinical practice &lt;/p&gt;","container-title":"BMJ","DOI":"10.1136/bmj.d549","ISSN":"0959-8138, 1468-5833","journalAbbreviation":"BMJ","language":"en","license":"© BMJ Publishing Group Ltd 2011","note":"publisher: British Medical Journal Publishing Group\nsection: Research Methods &amp;amp; Reporting\nPMID: 21310794","page":"d549","source":"www.bmj.com","title":"Interpretation of random effects meta-analyses","volume":"342","author":[{"family":"Riley","given":"Richard D."},{"family":"Higgins","given":"Julian P. T."},{"family":"Deeks","given":"Jonathan J."}],"issued":{"date-parts":[["2011",2,10]]}}}],"schema":"https://github.com/citation-style-language/schema/raw/master/csl-citation.json"} </w:instrText>
      </w:r>
      <w:r w:rsidRPr="00511459">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(18)</w:t>
      </w:r>
      <w:r w:rsidRPr="00511459">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Heterogeneity was quantified using I², τ², H, and Q statistics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{"citationID":"1laILmuw","properties":{"formattedCitation":"(19)","plainCitation":"(19)","noteIndex":0},"citationItems":[{"id":1038,"uris":["http://zotero.org/users/15549944/items/BU8UI2NW"],"itemData":{"id":1038,"type":"article-journal","abstract":"Cochrane Reviews have recently started including the quantity I2 to help readers assess the consistency of the results of studies in meta-analyses. What does this new quantity mean, and why is assessment of heterogeneity so important to clinical practice?","container-title":"BMJ : British Medical Journal","DOI":"10.1136/bmj.327.7414.557","ISSN":"0959-8138","issue":"7414","journalAbbreviation":"BMJ","note":"PMID: 12958120\nPMCID: PMC192859","page":"557-560","source":"PubMed Central","title":"Measuring inconsistency in meta-analyses","volume":"327","author":[{"family":"Higgins","given":"Julian P T"},{"family":"Thompson","given":"Simon G"},{"family":"Deeks","given":"Jonathan J"},{"family":"Altman","given":"Douglas G"}],"issued":{"date-parts":[["2003",9,6]]}}}],"schema":"https://github.com/citation-style-language/schema/raw/master/csl-citation.json"}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(19)</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S</w:t>
      </w:r>
      <w:r w:rsidRPr="00511459">
        <w:rPr>
          <w:rFonts w:ascii="Times New Roman" w:hAnsi="Times New Roman" w:cs="Times New Roman"/>
          <w:color w:val="000000" w:themeColor="text1"/>
          <w:sz w:val="22"/>
          <w:szCs w:val="22"/>
        </w:rPr>
        <w:t xml:space="preserve">tandard errors </w:t>
      </w:r>
      <w:r>
        <w:rPr>
          <w:rFonts w:ascii="Times New Roman" w:hAnsi="Times New Roman" w:cs="Times New Roman"/>
          <w:color w:val="000000" w:themeColor="text1"/>
          <w:sz w:val="22"/>
          <w:szCs w:val="22"/>
        </w:rPr>
        <w:t xml:space="preserve">were calculated </w:t>
      </w:r>
      <w:r w:rsidRPr="00511459">
        <w:rPr>
          <w:rFonts w:ascii="Times New Roman" w:hAnsi="Times New Roman" w:cs="Times New Roman"/>
          <w:color w:val="000000" w:themeColor="text1"/>
          <w:sz w:val="22"/>
          <w:szCs w:val="22"/>
        </w:rPr>
        <w:t xml:space="preserve">using </w:t>
      </w:r>
      <w:r>
        <w:rPr>
          <w:rFonts w:ascii="Times New Roman" w:hAnsi="Times New Roman" w:cs="Times New Roman"/>
          <w:color w:val="000000" w:themeColor="text1"/>
          <w:sz w:val="22"/>
          <w:szCs w:val="22"/>
        </w:rPr>
        <w:t xml:space="preserve">standard deviations </w:t>
      </w:r>
      <w:r w:rsidRPr="00511459">
        <w:rPr>
          <w:rFonts w:ascii="Times New Roman" w:hAnsi="Times New Roman" w:cs="Times New Roman"/>
          <w:color w:val="000000" w:themeColor="text1"/>
          <w:sz w:val="22"/>
          <w:szCs w:val="22"/>
        </w:rPr>
        <w:t xml:space="preserve">and </w:t>
      </w:r>
      <w:r>
        <w:rPr>
          <w:rFonts w:ascii="Times New Roman" w:hAnsi="Times New Roman" w:cs="Times New Roman"/>
          <w:color w:val="000000" w:themeColor="text1"/>
          <w:sz w:val="22"/>
          <w:szCs w:val="22"/>
        </w:rPr>
        <w:t>the number of eyes as the sample size</w:t>
      </w:r>
      <w:r w:rsidRPr="00511459">
        <w:rPr>
          <w:rFonts w:ascii="Times New Roman" w:hAnsi="Times New Roman" w:cs="Times New Roman"/>
          <w:color w:val="000000" w:themeColor="text1"/>
          <w:sz w:val="22"/>
          <w:szCs w:val="22"/>
        </w:rPr>
        <w:t>, then pooled and displayed using forest plots</w:t>
      </w:r>
      <w:r w:rsidRPr="00110B1F">
        <w:rPr>
          <w:rFonts w:ascii="Times New Roman" w:hAnsi="Times New Roman" w:cs="Times New Roman"/>
          <w:color w:val="000000" w:themeColor="text1"/>
          <w:sz w:val="22"/>
          <w:szCs w:val="22"/>
        </w:rPr>
        <w:t>.</w:t>
      </w:r>
      <w:r w:rsidRPr="00AF5F8C">
        <w:rPr>
          <w:rFonts w:ascii="Times New Roman" w:hAnsi="Times New Roman" w:cs="Times New Roman"/>
          <w:color w:val="000000" w:themeColor="text1"/>
          <w:sz w:val="22"/>
          <w:szCs w:val="22"/>
        </w:rPr>
        <w:t xml:space="preserve"> </w:t>
      </w:r>
      <w:r w:rsidRPr="00DB22F4">
        <w:rPr>
          <w:rFonts w:ascii="Times New Roman" w:hAnsi="Times New Roman" w:cs="Times New Roman"/>
          <w:color w:val="000000" w:themeColor="text1"/>
          <w:sz w:val="22"/>
          <w:szCs w:val="22"/>
        </w:rPr>
        <w:t>For outcomes reported as median and IQR, we estimated the mean and standard deviation using the methods described by Wan, Luo, and Tong</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{"citationID":"jqTx7jqS","properties":{"formattedCitation":"(20)","plainCitation":"(20)","noteIndex":0},"citationItems":[{"id":1023,"uris":["http://zotero.org/users/15549944/items/NT82NYG5"],"itemData":{"id":1023,"type":"article-journal","abstract":"The era of big data is coming, and evidence-based medicine is attracting increasing attention to improve decision making in medical practice via integrating evidence from well designed and conducted clinical research. Meta-analysis is a statistical technique widely used in evidence-based medicine for analytically combining the findings from independent clinical trials to provide an overall estimation of a treatment effectiveness. The sample mean and standard deviation are two commonly used statistics in meta-analysis but some trials use the median, the minimum and maximum values, or sometimes the first and third quartiles to report the results. Thus, to pool results in a consistent format, researchers need to transform those information back to the sample mean and standard deviation. In this article, we investigate the optimal estimation of the sample mean for meta-analysis from both theoretical and empirical perspectives. A major drawback in the literature is that the sample size, needless to say its importance, is either ignored or used in a stepwise but somewhat arbitrary manner, e.g. the famous method proposed by Hozo et al. We solve this issue by incorporating the sample size in a smoothly changing weight in the estimators to reach the optimal estimation. Our proposed estimators not only improve the existing ones significantly but also share the same virtue of the simplicity. The real data application indicates that our proposed estimators are capable to serve as “rules of thumb” and will be widely applied in evidence-based medicine.","container-title":"Statistical Methods in Medical Research","DOI":"10.1177/0962280216669183","ISSN":"0962-2802","issue":"6","journalAbbreviation":"Stat Methods Med Res","language":"EN","note":"publisher: SAGE Publications Ltd STM","page":"1785-1805","source":"SAGE Journals","title":"Optimally estimating the sample mean from the sample size, median, mid-range, and/or mid-quartile range","volume":"27","author":[{"family":"Luo","given":"Dehui"},{"family":"Wan","given":"Xiang"},{"family":"Liu","given":"Jiming"},{"family":"Tong","given":"Tiejun"}],"issued":{"date-parts":[["2018",6,1]]}}}],"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(20)</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t>
      </w:r>
    </w:p>
    <w:p w14:paraId="02B3E105"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49CC279A" w14:textId="6086EC31" w:rsidR="006856C6" w:rsidRDefault="006856C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The </w:t>
      </w:r>
      <w:r w:rsidR="002326E2">
        <w:rPr>
          <w:rFonts w:ascii="Times New Roman" w:hAnsi="Times New Roman" w:cs="Times New Roman"/>
          <w:color w:val="000000" w:themeColor="text1"/>
          <w:kern w:val="0"/>
          <w:sz w:val="22"/>
          <w:szCs w:val="22"/>
          <w14:ligatures w14:val="none"/>
        </w:rPr>
        <w:t xml:space="preserve">absolute difference in means was used as the effect size to </w:t>
      </w:r>
      <w:proofErr w:type="spellStart"/>
      <w:r w:rsidR="002326E2">
        <w:rPr>
          <w:rFonts w:ascii="Times New Roman" w:hAnsi="Times New Roman" w:cs="Times New Roman"/>
          <w:color w:val="000000" w:themeColor="text1"/>
          <w:kern w:val="0"/>
          <w:sz w:val="22"/>
          <w:szCs w:val="22"/>
          <w14:ligatures w14:val="none"/>
        </w:rPr>
        <w:t>analyze</w:t>
      </w:r>
      <w:proofErr w:type="spellEnd"/>
      <w:r>
        <w:rPr>
          <w:rFonts w:ascii="Times New Roman" w:hAnsi="Times New Roman" w:cs="Times New Roman"/>
          <w:color w:val="000000" w:themeColor="text1"/>
          <w:sz w:val="22"/>
          <w:szCs w:val="22"/>
        </w:rPr>
        <w:t xml:space="preserve"> differences in test</w:t>
      </w:r>
      <w:r w:rsidRPr="00511459">
        <w:rPr>
          <w:rFonts w:ascii="Times New Roman" w:hAnsi="Times New Roman" w:cs="Times New Roman"/>
          <w:color w:val="000000" w:themeColor="text1"/>
          <w:sz w:val="22"/>
          <w:szCs w:val="22"/>
        </w:rPr>
        <w:t xml:space="preserve"> duration, MD, and PD/PSD</w:t>
      </w:r>
      <w:r>
        <w:rPr>
          <w:rFonts w:ascii="Times New Roman" w:hAnsi="Times New Roman" w:cs="Times New Roman"/>
          <w:color w:val="000000" w:themeColor="text1"/>
          <w:sz w:val="22"/>
          <w:szCs w:val="22"/>
        </w:rPr>
        <w:t xml:space="preserve"> between devices. </w:t>
      </w:r>
      <w:r w:rsidRPr="00110B1F">
        <w:rPr>
          <w:rFonts w:ascii="Times New Roman" w:hAnsi="Times New Roman" w:cs="Times New Roman"/>
          <w:color w:val="000000" w:themeColor="text1"/>
          <w:sz w:val="22"/>
          <w:szCs w:val="22"/>
        </w:rPr>
        <w:t>Th</w:t>
      </w:r>
      <w:r>
        <w:rPr>
          <w:rFonts w:ascii="Times New Roman" w:hAnsi="Times New Roman" w:cs="Times New Roman"/>
          <w:color w:val="000000" w:themeColor="text1"/>
          <w:sz w:val="22"/>
          <w:szCs w:val="22"/>
        </w:rPr>
        <w:t>ese</w:t>
      </w:r>
      <w:r w:rsidRPr="00110B1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differences in means were calculated using formulas for paired observations</w:t>
      </w:r>
      <w:r w:rsidR="002326E2">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 xml:space="preserve"> </w:t>
      </w:r>
      <w:r w:rsidR="002326E2">
        <w:rPr>
          <w:rFonts w:ascii="Times New Roman" w:hAnsi="Times New Roman" w:cs="Times New Roman"/>
          <w:color w:val="000000" w:themeColor="text1"/>
          <w:sz w:val="22"/>
          <w:szCs w:val="22"/>
        </w:rPr>
        <w:t>assuming</w:t>
      </w:r>
      <w:r>
        <w:rPr>
          <w:rFonts w:ascii="Times New Roman" w:hAnsi="Times New Roman" w:cs="Times New Roman"/>
          <w:color w:val="000000" w:themeColor="text1"/>
          <w:sz w:val="22"/>
          <w:szCs w:val="22"/>
        </w:rPr>
        <w:t xml:space="preserve"> a</w:t>
      </w:r>
      <w:r w:rsidRPr="00110B1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high </w:t>
      </w:r>
      <w:r w:rsidRPr="00110B1F">
        <w:rPr>
          <w:rFonts w:ascii="Times New Roman" w:hAnsi="Times New Roman" w:cs="Times New Roman"/>
          <w:color w:val="000000" w:themeColor="text1"/>
          <w:sz w:val="22"/>
          <w:szCs w:val="22"/>
        </w:rPr>
        <w:t>correlation</w:t>
      </w:r>
      <w:r>
        <w:rPr>
          <w:rFonts w:ascii="Times New Roman" w:hAnsi="Times New Roman" w:cs="Times New Roman"/>
          <w:color w:val="000000" w:themeColor="text1"/>
          <w:sz w:val="22"/>
          <w:szCs w:val="22"/>
        </w:rPr>
        <w:t xml:space="preserve"> (0.8)</w:t>
      </w:r>
      <w:r w:rsidR="002326E2">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{"citationID":"rLWKgjSb","properties":{"formattedCitation":"(21)","plainCitation":"(21)","noteIndex":0},"citationItems":[{"id":1041,"uris":["http://zotero.org/users/15549944/items/DH4HTB3G"],"itemData":{"id":1041,"type":"webpage","title":"Chapter 6: Choosing effect measures and computing estimates of effect | Cochrane","URL":"https://www.cochrane.org/authors/handbooks-and-manuals/handbook/current/chapter-06#section-6-5-2","accessed":{"date-parts":[["2025",12,4]]}}}],"schema":"https://github.com/citation-style-language/schema/raw/master/csl-citation.json"}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(21)</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This assumption is consistent with the literature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{"citationID":"nKfmNhzk","properties":{"formattedCitation":"(12)","plainCitation":"(12)","noteIndex":0},"citationItems":[{"id":1011,"uris":["http://zotero.org/users/15549944/items/MIECT2LK"],"itemData":{"id":1011,"type":"article-journal","abstract":"Purpose\nTo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(12)</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and also reflects</w:t>
      </w:r>
      <w:r w:rsidRPr="00110B1F">
        <w:rPr>
          <w:rFonts w:ascii="Times New Roman" w:hAnsi="Times New Roman" w:cs="Times New Roman"/>
          <w:color w:val="000000" w:themeColor="text1"/>
          <w:sz w:val="22"/>
          <w:szCs w:val="22"/>
        </w:rPr>
        <w:t xml:space="preserve"> the expectation that measurements would be strongly correlated </w:t>
      </w:r>
      <w:r>
        <w:rPr>
          <w:rFonts w:ascii="Times New Roman" w:hAnsi="Times New Roman" w:cs="Times New Roman"/>
          <w:color w:val="000000" w:themeColor="text1"/>
          <w:sz w:val="22"/>
          <w:szCs w:val="22"/>
        </w:rPr>
        <w:t xml:space="preserve">since </w:t>
      </w:r>
      <w:r w:rsidR="002326E2">
        <w:rPr>
          <w:rFonts w:ascii="Times New Roman" w:hAnsi="Times New Roman" w:cs="Times New Roman"/>
          <w:color w:val="000000" w:themeColor="text1"/>
          <w:sz w:val="22"/>
          <w:szCs w:val="22"/>
        </w:rPr>
        <w:t>the</w:t>
      </w:r>
      <w:r w:rsidRPr="00110B1F">
        <w:rPr>
          <w:rFonts w:ascii="Times New Roman" w:hAnsi="Times New Roman" w:cs="Times New Roman"/>
          <w:color w:val="000000" w:themeColor="text1"/>
          <w:sz w:val="22"/>
          <w:szCs w:val="22"/>
        </w:rPr>
        <w:t xml:space="preserve"> </w:t>
      </w:r>
      <w:r w:rsidR="002326E2">
        <w:rPr>
          <w:rFonts w:ascii="Times New Roman" w:hAnsi="Times New Roman" w:cs="Times New Roman"/>
          <w:color w:val="000000" w:themeColor="text1"/>
          <w:sz w:val="22"/>
          <w:szCs w:val="22"/>
        </w:rPr>
        <w:t>same</w:t>
      </w:r>
      <w:r w:rsidRPr="00110B1F">
        <w:rPr>
          <w:rFonts w:ascii="Times New Roman" w:hAnsi="Times New Roman" w:cs="Times New Roman"/>
          <w:color w:val="000000" w:themeColor="text1"/>
          <w:sz w:val="22"/>
          <w:szCs w:val="22"/>
        </w:rPr>
        <w:t xml:space="preserve"> </w:t>
      </w:r>
      <w:r w:rsidR="002326E2">
        <w:rPr>
          <w:rFonts w:ascii="Times New Roman" w:hAnsi="Times New Roman" w:cs="Times New Roman"/>
          <w:color w:val="000000" w:themeColor="text1"/>
          <w:sz w:val="22"/>
          <w:szCs w:val="22"/>
        </w:rPr>
        <w:t>participants</w:t>
      </w:r>
      <w:r w:rsidRPr="00110B1F">
        <w:rPr>
          <w:rFonts w:ascii="Times New Roman" w:hAnsi="Times New Roman" w:cs="Times New Roman"/>
          <w:color w:val="000000" w:themeColor="text1"/>
          <w:sz w:val="22"/>
          <w:szCs w:val="22"/>
        </w:rPr>
        <w:t xml:space="preserve"> performed b</w:t>
      </w:r>
      <w:r w:rsidR="002326E2">
        <w:rPr>
          <w:rFonts w:ascii="Times New Roman" w:hAnsi="Times New Roman" w:cs="Times New Roman"/>
          <w:color w:val="000000" w:themeColor="text1"/>
          <w:sz w:val="22"/>
          <w:szCs w:val="22"/>
        </w:rPr>
        <w:t>oth</w:t>
      </w:r>
      <w:r w:rsidRPr="00110B1F">
        <w:rPr>
          <w:rFonts w:ascii="Times New Roman" w:hAnsi="Times New Roman" w:cs="Times New Roman"/>
          <w:color w:val="000000" w:themeColor="text1"/>
          <w:sz w:val="22"/>
          <w:szCs w:val="22"/>
        </w:rPr>
        <w:t xml:space="preserve"> </w:t>
      </w:r>
      <w:r w:rsidR="002326E2">
        <w:rPr>
          <w:rFonts w:ascii="Times New Roman" w:hAnsi="Times New Roman" w:cs="Times New Roman"/>
          <w:color w:val="000000" w:themeColor="text1"/>
          <w:sz w:val="22"/>
          <w:szCs w:val="22"/>
        </w:rPr>
        <w:t>tes</w:t>
      </w:r>
      <w:r w:rsidRPr="00110B1F">
        <w:rPr>
          <w:rFonts w:ascii="Times New Roman" w:hAnsi="Times New Roman" w:cs="Times New Roman"/>
          <w:color w:val="000000" w:themeColor="text1"/>
          <w:sz w:val="22"/>
          <w:szCs w:val="22"/>
        </w:rPr>
        <w:t>ts.</w:t>
      </w:r>
      <w:r>
        <w:rPr>
          <w:rFonts w:ascii="Times New Roman" w:hAnsi="Times New Roman" w:cs="Times New Roman"/>
          <w:color w:val="000000" w:themeColor="text1"/>
          <w:sz w:val="22"/>
          <w:szCs w:val="22"/>
        </w:rPr>
        <w:t xml:space="preserve"> To further assess this assumption, we</w:t>
      </w:r>
      <w:r w:rsidRPr="00110B1F">
        <w:rPr>
          <w:rFonts w:ascii="Times New Roman" w:hAnsi="Times New Roman" w:cs="Times New Roman"/>
          <w:color w:val="000000" w:themeColor="text1"/>
          <w:sz w:val="22"/>
          <w:szCs w:val="22"/>
        </w:rPr>
        <w:t xml:space="preserve"> conducted sensitivity analyses</w:t>
      </w:r>
      <w:r>
        <w:rPr>
          <w:rFonts w:ascii="Times New Roman" w:hAnsi="Times New Roman" w:cs="Times New Roman"/>
          <w:color w:val="000000" w:themeColor="text1"/>
          <w:sz w:val="22"/>
          <w:szCs w:val="22"/>
        </w:rPr>
        <w:t xml:space="preserve"> </w:t>
      </w:r>
      <w:r w:rsidRPr="00110B1F">
        <w:rPr>
          <w:rFonts w:ascii="Times New Roman" w:hAnsi="Times New Roman" w:cs="Times New Roman"/>
          <w:color w:val="000000" w:themeColor="text1"/>
          <w:sz w:val="22"/>
          <w:szCs w:val="22"/>
        </w:rPr>
        <w:t xml:space="preserve">calculating </w:t>
      </w:r>
      <w:r>
        <w:rPr>
          <w:rFonts w:ascii="Times New Roman" w:hAnsi="Times New Roman" w:cs="Times New Roman"/>
          <w:color w:val="000000" w:themeColor="text1"/>
          <w:sz w:val="22"/>
          <w:szCs w:val="22"/>
        </w:rPr>
        <w:t xml:space="preserve">the </w:t>
      </w:r>
      <w:r w:rsidRPr="00110B1F">
        <w:rPr>
          <w:rFonts w:ascii="Times New Roman" w:hAnsi="Times New Roman" w:cs="Times New Roman"/>
          <w:color w:val="000000" w:themeColor="text1"/>
          <w:sz w:val="22"/>
          <w:szCs w:val="22"/>
        </w:rPr>
        <w:t>differenc</w:t>
      </w:r>
      <w:r>
        <w:rPr>
          <w:rFonts w:ascii="Times New Roman" w:hAnsi="Times New Roman" w:cs="Times New Roman"/>
          <w:color w:val="000000" w:themeColor="text1"/>
          <w:sz w:val="22"/>
          <w:szCs w:val="22"/>
        </w:rPr>
        <w:t>e in means using formulas for</w:t>
      </w:r>
      <w:r w:rsidRPr="00110B1F">
        <w:rPr>
          <w:rFonts w:ascii="Times New Roman" w:hAnsi="Times New Roman" w:cs="Times New Roman"/>
          <w:color w:val="000000" w:themeColor="text1"/>
          <w:sz w:val="22"/>
          <w:szCs w:val="22"/>
        </w:rPr>
        <w:t xml:space="preserve"> unpaired data, and varying the assumed correlation between paired measurements (0.5, 0.8, 0.9)</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{"citationID":"wbASHMzr","properties":{"formattedCitation":"(21)","plainCitation":"(21)","noteIndex":0},"citationItems":[{"id":1041,"uris":["http://zotero.org/users/15549944/items/DH4HTB3G"],"itemData":{"id":1041,"type":"webpage","title":"Chapter 6: Choosing effect measures and computing estimates of effect | Cochrane","URL":"https://www.cochrane.org/authors/handbooks-and-manuals/handbook/current/chapter-06#section-6-5-2","accessed":{"date-parts":[["2025",12,4]]}}}],"schema":"https://github.com/citation-style-language/schema/raw/master/csl-citation.json"}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(21)</w:t>
      </w:r>
      <w:r>
        <w:rPr>
          <w:rFonts w:ascii="Times New Roman" w:hAnsi="Times New Roman" w:cs="Times New Roman"/>
          <w:color w:val="000000" w:themeColor="text1"/>
          <w:sz w:val="22"/>
          <w:szCs w:val="22"/>
        </w:rPr>
        <w:fldChar w:fldCharType="end"/>
      </w:r>
      <w:r w:rsidR="002A1FFE">
        <w:rPr>
          <w:rFonts w:ascii="Times New Roman" w:hAnsi="Times New Roman" w:cs="Times New Roman"/>
          <w:color w:val="000000" w:themeColor="text1"/>
          <w:sz w:val="22"/>
          <w:szCs w:val="22"/>
        </w:rPr>
        <w:t>.</w:t>
      </w:r>
    </w:p>
    <w:p w14:paraId="38180DEC"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0DDAF273" w14:textId="1530A9CA" w:rsidR="006856C6" w:rsidRDefault="006856C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correlation coefficients</w:t>
      </w:r>
      <w:r w:rsidRPr="0051145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of</w:t>
      </w:r>
      <w:r w:rsidRPr="00511459">
        <w:rPr>
          <w:rFonts w:ascii="Times New Roman" w:hAnsi="Times New Roman" w:cs="Times New Roman"/>
          <w:color w:val="000000" w:themeColor="text1"/>
          <w:sz w:val="22"/>
          <w:szCs w:val="22"/>
        </w:rPr>
        <w:t xml:space="preserve"> MD</w:t>
      </w:r>
      <w:r>
        <w:rPr>
          <w:rFonts w:ascii="Times New Roman" w:hAnsi="Times New Roman" w:cs="Times New Roman"/>
          <w:color w:val="000000" w:themeColor="text1"/>
          <w:sz w:val="22"/>
          <w:szCs w:val="22"/>
        </w:rPr>
        <w:t xml:space="preserve"> and PSD</w:t>
      </w:r>
      <w:r w:rsidRPr="0051145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by </w:t>
      </w:r>
      <w:r w:rsidRPr="00511459">
        <w:rPr>
          <w:rFonts w:ascii="Times New Roman" w:hAnsi="Times New Roman" w:cs="Times New Roman"/>
          <w:color w:val="000000" w:themeColor="text1"/>
          <w:sz w:val="22"/>
          <w:szCs w:val="22"/>
        </w:rPr>
        <w:t xml:space="preserve">MRF and HFA </w:t>
      </w:r>
      <w:r>
        <w:rPr>
          <w:rFonts w:ascii="Times New Roman" w:hAnsi="Times New Roman" w:cs="Times New Roman"/>
          <w:color w:val="000000" w:themeColor="text1"/>
          <w:sz w:val="22"/>
          <w:szCs w:val="22"/>
        </w:rPr>
        <w:t>were</w:t>
      </w:r>
      <w:r w:rsidRPr="00511459">
        <w:rPr>
          <w:rFonts w:ascii="Times New Roman" w:hAnsi="Times New Roman" w:cs="Times New Roman"/>
          <w:color w:val="000000" w:themeColor="text1"/>
          <w:sz w:val="22"/>
          <w:szCs w:val="22"/>
        </w:rPr>
        <w:t xml:space="preserve"> synthesized using Fisher’s z-transformed correlation coefficients and intraclass correlation coefficients (ICC), with summary effects back-transformed for interpretation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{"citationID":"MVOxftcY","properties":{"formattedCitation":"(22)","plainCitation":"(22)","noteIndex":0},"citationItems":[{"id":1028,"uris":["http://zotero.org/users/15549944/items/VX5VHVLX"],"itemData":{"id":1028,"type":"article-journal","abstract":"The partial correlation coefficient (PCC) is used to quantify the linear relationship between two variables while taking into account/controlling for other variables. Researchers frequently synthesize PCCs in a meta-analysis, but two of the assumptions of the common equal-effect and random-effects meta-analysis model are by definition violated. First, the sampling variance of the PCC cannot assumed to be known, because the sampling variance is a function of the PCC. Second, the sampling distribution of each primary study's PCC is not normal since PCCs are bounded between -1 and 1. I advocate applying the Fisher's z transformation analogous to applying Fisher's z transformation for Pearson correlation coefficients, because the Fisher's z transformed PCC is independent of the sampling variance and its sampling distribution more closely follows a normal distribution. Reproducing a simulation study by Stanley and Doucouliagos and adding meta-analyses based on Fisher's z transformed PCCs shows that the meta-analysis based on Fisher's z transformed PCCs had lower bias and root mean square error than meta-analyzing PCCs. Hence, meta-analyzing Fisher's z transformed PCCs is a viable alternative to meta-analyzing PCCs, and I recommend to accompany any meta-analysis based on PCCs with one using Fisher's z transformed PCCs to assess the robustness of the results.","container-title":"Research Synthesis Methods","DOI":"10.1002/jrsm.1654","ISSN":"1759-2887","issue":"5","journalAbbreviation":"Res Synth Methods","language":"eng","note":"PMID: 37421188","page":"768-773","source":"PubMed","title":"Meta-analyzing partial correlation coefficients using Fisher's z transformation","volume":"14","author":[{"family":"Aert","given":"Robbie C. M.","non-dropping-particle":"van"}],"issued":{"date-parts":[["2023",9]]}}}],"schema":"https://github.com/citation-style-language/schema/raw/master/csl-citation.json"}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(22)</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The Area Under the Curve (</w:t>
      </w:r>
      <w:r w:rsidRPr="007B5DE3">
        <w:rPr>
          <w:rFonts w:ascii="Times New Roman" w:eastAsia="Times New Roman" w:hAnsi="Times New Roman" w:cs="Times New Roman"/>
          <w:color w:val="000000"/>
          <w:kern w:val="0"/>
          <w:sz w:val="22"/>
          <w:szCs w:val="22"/>
          <w14:ligatures w14:val="none"/>
        </w:rPr>
        <w:t>AUC</w:t>
      </w:r>
      <w:r>
        <w:rPr>
          <w:rFonts w:ascii="Times New Roman" w:eastAsia="Times New Roman" w:hAnsi="Times New Roman" w:cs="Times New Roman"/>
          <w:color w:val="000000"/>
          <w:kern w:val="0"/>
          <w:sz w:val="22"/>
          <w:szCs w:val="22"/>
          <w14:ligatures w14:val="none"/>
        </w:rPr>
        <w:t>) of Receiver Operating Characteristic (ROC)</w:t>
      </w:r>
      <w:r w:rsidRPr="007B5DE3">
        <w:rPr>
          <w:rFonts w:ascii="Times New Roman" w:eastAsia="Times New Roman" w:hAnsi="Times New Roman" w:cs="Times New Roman"/>
          <w:color w:val="000000"/>
          <w:kern w:val="0"/>
          <w:sz w:val="22"/>
          <w:szCs w:val="22"/>
          <w14:ligatures w14:val="none"/>
        </w:rPr>
        <w:t xml:space="preserve"> </w:t>
      </w:r>
      <w:r w:rsidR="00D21960">
        <w:rPr>
          <w:rFonts w:ascii="Times New Roman" w:eastAsia="Times New Roman" w:hAnsi="Times New Roman" w:cs="Times New Roman"/>
          <w:color w:val="000000"/>
          <w:kern w:val="0"/>
          <w:sz w:val="22"/>
          <w:szCs w:val="22"/>
          <w14:ligatures w14:val="none"/>
        </w:rPr>
        <w:t xml:space="preserve">curves </w:t>
      </w:r>
      <w:r w:rsidRPr="007B5DE3">
        <w:rPr>
          <w:rFonts w:ascii="Times New Roman" w:eastAsia="Times New Roman" w:hAnsi="Times New Roman" w:cs="Times New Roman"/>
          <w:color w:val="000000"/>
          <w:kern w:val="0"/>
          <w:sz w:val="22"/>
          <w:szCs w:val="22"/>
          <w14:ligatures w14:val="none"/>
        </w:rPr>
        <w:t>w</w:t>
      </w:r>
      <w:r w:rsidR="00D21960">
        <w:rPr>
          <w:rFonts w:ascii="Times New Roman" w:eastAsia="Times New Roman" w:hAnsi="Times New Roman" w:cs="Times New Roman"/>
          <w:color w:val="000000"/>
          <w:kern w:val="0"/>
          <w:sz w:val="22"/>
          <w:szCs w:val="22"/>
          <w14:ligatures w14:val="none"/>
        </w:rPr>
        <w:t>as</w:t>
      </w:r>
      <w:r w:rsidRPr="007B5DE3">
        <w:rPr>
          <w:rFonts w:ascii="Times New Roman" w:eastAsia="Times New Roman" w:hAnsi="Times New Roman" w:cs="Times New Roman"/>
          <w:color w:val="000000"/>
          <w:kern w:val="0"/>
          <w:sz w:val="22"/>
          <w:szCs w:val="22"/>
          <w14:ligatures w14:val="none"/>
        </w:rPr>
        <w:t xml:space="preserve"> logit-transformed for meta-analysi</w:t>
      </w:r>
      <w:r>
        <w:rPr>
          <w:rFonts w:ascii="Times New Roman" w:eastAsia="Times New Roman" w:hAnsi="Times New Roman" w:cs="Times New Roman"/>
          <w:color w:val="000000"/>
          <w:kern w:val="0"/>
          <w:sz w:val="22"/>
          <w:szCs w:val="22"/>
          <w14:ligatures w14:val="none"/>
        </w:rPr>
        <w:t>s. B</w:t>
      </w:r>
      <w:r w:rsidRPr="007B5DE3">
        <w:rPr>
          <w:rFonts w:ascii="Times New Roman" w:eastAsia="Times New Roman" w:hAnsi="Times New Roman" w:cs="Times New Roman"/>
          <w:color w:val="000000"/>
          <w:kern w:val="0"/>
          <w:sz w:val="22"/>
          <w:szCs w:val="22"/>
          <w14:ligatures w14:val="none"/>
        </w:rPr>
        <w:t xml:space="preserve">ack-transformed pooled AUCs were </w:t>
      </w:r>
      <w:r>
        <w:rPr>
          <w:rFonts w:ascii="Times New Roman" w:eastAsia="Times New Roman" w:hAnsi="Times New Roman" w:cs="Times New Roman"/>
          <w:color w:val="000000"/>
          <w:kern w:val="0"/>
          <w:sz w:val="22"/>
          <w:szCs w:val="22"/>
          <w14:ligatures w14:val="none"/>
        </w:rPr>
        <w:t>used for visual representation</w:t>
      </w:r>
      <w:r w:rsidRPr="007B5DE3">
        <w:rPr>
          <w:rFonts w:ascii="Times New Roman" w:eastAsia="Times New Roman" w:hAnsi="Times New Roman" w:cs="Times New Roman"/>
          <w:color w:val="000000"/>
          <w:kern w:val="0"/>
          <w:sz w:val="22"/>
          <w:szCs w:val="22"/>
          <w14:ligatures w14:val="none"/>
        </w:rPr>
        <w:t xml:space="preserve"> in forest plots. </w:t>
      </w:r>
      <w:r w:rsidRPr="00511459">
        <w:rPr>
          <w:rFonts w:ascii="Times New Roman" w:hAnsi="Times New Roman" w:cs="Times New Roman"/>
          <w:color w:val="000000" w:themeColor="text1"/>
          <w:sz w:val="22"/>
          <w:szCs w:val="22"/>
        </w:rPr>
        <w:t>Agreement was assessed by meta-</w:t>
      </w:r>
      <w:proofErr w:type="spellStart"/>
      <w:r w:rsidRPr="00511459">
        <w:rPr>
          <w:rFonts w:ascii="Times New Roman" w:hAnsi="Times New Roman" w:cs="Times New Roman"/>
          <w:color w:val="000000" w:themeColor="text1"/>
          <w:sz w:val="22"/>
          <w:szCs w:val="22"/>
        </w:rPr>
        <w:t>analyzing</w:t>
      </w:r>
      <w:proofErr w:type="spellEnd"/>
      <w:r w:rsidRPr="00511459">
        <w:rPr>
          <w:rFonts w:ascii="Times New Roman" w:hAnsi="Times New Roman" w:cs="Times New Roman"/>
          <w:color w:val="000000" w:themeColor="text1"/>
          <w:sz w:val="22"/>
          <w:szCs w:val="22"/>
        </w:rPr>
        <w:t xml:space="preserve"> the Bland–Altman</w:t>
      </w:r>
      <w:r>
        <w:rPr>
          <w:rFonts w:ascii="Times New Roman" w:hAnsi="Times New Roman" w:cs="Times New Roman"/>
          <w:color w:val="000000" w:themeColor="text1"/>
          <w:sz w:val="22"/>
          <w:szCs w:val="22"/>
        </w:rPr>
        <w:t xml:space="preserve"> MD</w:t>
      </w:r>
      <w:r w:rsidRPr="00511459">
        <w:rPr>
          <w:rFonts w:ascii="Times New Roman" w:hAnsi="Times New Roman" w:cs="Times New Roman"/>
          <w:color w:val="000000" w:themeColor="text1"/>
          <w:sz w:val="22"/>
          <w:szCs w:val="22"/>
        </w:rPr>
        <w:t xml:space="preserve"> bias and limits of agreement derived from the study-reported limits of agreement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{"citationID":"DaDg2mcb","properties":{"formattedCitation":"(23)","plainCitation":"(23)","noteIndex":0},"citationItems":[{"id":1025,"uris":["http://zotero.org/users/15549944/items/LATSLKEN"],"itemData":{"id":1025,"type":"article-journal","abstract":"Bland-Altman method comparison studies are common in the medical sciences and are used to compare a new measure to a gold-standard (often costlier or more invasive) measure. The distribution of these differences is summarized by two statistics, the ‘bias’ and standard deviation, and these measures are combined to provide estimates of the Limits of Agreement (LoA). When these LoA are within the bounds of clinically insignificant differences, the new non-invasive measure is preferred. Very often multiple Bland-Altman studies have been conducted comparing the same two measures, and random-effects meta-analysis provides a means to pool these estimates. We provide a framework for the meta-analysis of Bland-Altman studies, including methods for estimating the LoA and measures of uncertainty (i.e., confidence intervals). Importantly, these LoA are likely to be wider than those typically reported in Bland-Altman meta-analyses. Frequently Bland-Altman studies report results based on repeated measures designs, but do not properly adjust for this design in the analysis. Meta-analyses of Bland-Altman studies frequently exclude these studies for this reason. We provide a meta-analytic approach that allows inclusion of estimates from these studies. This includes adjustments to the estimate of the standard deviation and a method for pooling the estimates based upon robust variance estimation. An example is included based on a previously published meta-analysis.","container-title":"Statistics in medicine","DOI":"10.1002/sim.7352","ISSN":"0277-6715","issue":"23","journalAbbreviation":"Stat Med","note":"PMID: 28664537\nPMCID: PMC5585060","page":"3621-3635","source":"PubMed Central","title":"A Framework for the Meta-Analysis of Bland-Altman Studies Based on a Limits of Agreement Approach","volume":"36","author":[{"family":"Tipton","given":"Elizabeth"},{"family":"Shuster","given":"Jonathan"}],"issued":{"date-parts":[["2017",10,15]]}}}],"schema":"https://github.com/citation-style-language/schema/raw/master/csl-citation.json"}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(23)</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Fixation losses, false positives, and false negatives were meta-</w:t>
      </w:r>
      <w:proofErr w:type="spellStart"/>
      <w:r w:rsidRPr="00511459">
        <w:rPr>
          <w:rFonts w:ascii="Times New Roman" w:hAnsi="Times New Roman" w:cs="Times New Roman"/>
          <w:color w:val="000000" w:themeColor="text1"/>
          <w:sz w:val="22"/>
          <w:szCs w:val="22"/>
        </w:rPr>
        <w:t>analyzed</w:t>
      </w:r>
      <w:proofErr w:type="spellEnd"/>
      <w:r w:rsidRPr="00511459">
        <w:rPr>
          <w:rFonts w:ascii="Times New Roman" w:hAnsi="Times New Roman" w:cs="Times New Roman"/>
          <w:color w:val="000000" w:themeColor="text1"/>
          <w:sz w:val="22"/>
          <w:szCs w:val="22"/>
        </w:rPr>
        <w:t xml:space="preserve"> using crude proportions. </w:t>
      </w:r>
      <w:r w:rsidRPr="00DB22F4">
        <w:rPr>
          <w:rFonts w:ascii="Times New Roman" w:hAnsi="Times New Roman" w:cs="Times New Roman"/>
          <w:color w:val="000000" w:themeColor="text1"/>
          <w:sz w:val="22"/>
          <w:szCs w:val="22"/>
        </w:rPr>
        <w:t xml:space="preserve">For </w:t>
      </w:r>
      <w:r>
        <w:rPr>
          <w:rFonts w:ascii="Times New Roman" w:hAnsi="Times New Roman" w:cs="Times New Roman"/>
          <w:color w:val="000000" w:themeColor="text1"/>
          <w:sz w:val="22"/>
          <w:szCs w:val="22"/>
        </w:rPr>
        <w:t>six data points</w:t>
      </w:r>
      <w:r w:rsidRPr="00DB22F4">
        <w:rPr>
          <w:rFonts w:ascii="Times New Roman" w:hAnsi="Times New Roman" w:cs="Times New Roman"/>
          <w:color w:val="000000" w:themeColor="text1"/>
          <w:sz w:val="22"/>
          <w:szCs w:val="22"/>
        </w:rPr>
        <w:t xml:space="preserve"> </w:t>
      </w:r>
      <w:r w:rsidRPr="00DB22F4">
        <w:rPr>
          <w:rFonts w:ascii="Times New Roman" w:hAnsi="Times New Roman" w:cs="Times New Roman"/>
          <w:color w:val="000000" w:themeColor="text1"/>
          <w:sz w:val="22"/>
          <w:szCs w:val="22"/>
        </w:rPr>
        <w:lastRenderedPageBreak/>
        <w:t xml:space="preserve">that </w:t>
      </w:r>
      <w:r>
        <w:rPr>
          <w:rFonts w:ascii="Times New Roman" w:hAnsi="Times New Roman" w:cs="Times New Roman"/>
          <w:color w:val="000000" w:themeColor="text1"/>
          <w:sz w:val="22"/>
          <w:szCs w:val="22"/>
        </w:rPr>
        <w:t xml:space="preserve">were </w:t>
      </w:r>
      <w:r w:rsidRPr="00DB22F4">
        <w:rPr>
          <w:rFonts w:ascii="Times New Roman" w:hAnsi="Times New Roman" w:cs="Times New Roman"/>
          <w:color w:val="000000" w:themeColor="text1"/>
          <w:sz w:val="22"/>
          <w:szCs w:val="22"/>
        </w:rPr>
        <w:t xml:space="preserve">presented visually but </w:t>
      </w:r>
      <w:r>
        <w:rPr>
          <w:rFonts w:ascii="Times New Roman" w:hAnsi="Times New Roman" w:cs="Times New Roman"/>
          <w:color w:val="000000" w:themeColor="text1"/>
          <w:sz w:val="22"/>
          <w:szCs w:val="22"/>
        </w:rPr>
        <w:t>whose</w:t>
      </w:r>
      <w:r w:rsidRPr="00DB22F4">
        <w:rPr>
          <w:rFonts w:ascii="Times New Roman" w:hAnsi="Times New Roman" w:cs="Times New Roman"/>
          <w:color w:val="000000" w:themeColor="text1"/>
          <w:sz w:val="22"/>
          <w:szCs w:val="22"/>
        </w:rPr>
        <w:t xml:space="preserve"> numerical values</w:t>
      </w:r>
      <w:r>
        <w:rPr>
          <w:rFonts w:ascii="Times New Roman" w:hAnsi="Times New Roman" w:cs="Times New Roman"/>
          <w:color w:val="000000" w:themeColor="text1"/>
          <w:sz w:val="22"/>
          <w:szCs w:val="22"/>
        </w:rPr>
        <w:t xml:space="preserve"> were not reported</w:t>
      </w:r>
      <w:r w:rsidRPr="00DB22F4">
        <w:rPr>
          <w:rFonts w:ascii="Times New Roman" w:hAnsi="Times New Roman" w:cs="Times New Roman"/>
          <w:color w:val="000000" w:themeColor="text1"/>
          <w:sz w:val="22"/>
          <w:szCs w:val="22"/>
        </w:rPr>
        <w:t xml:space="preserve"> in the text, we extracted the information using </w:t>
      </w:r>
      <w:proofErr w:type="spellStart"/>
      <w:r w:rsidRPr="00DB22F4">
        <w:rPr>
          <w:rFonts w:ascii="Times New Roman" w:hAnsi="Times New Roman" w:cs="Times New Roman"/>
          <w:color w:val="000000" w:themeColor="text1"/>
          <w:sz w:val="22"/>
          <w:szCs w:val="22"/>
        </w:rPr>
        <w:t>WebPlotDigitizer</w:t>
      </w:r>
      <w:proofErr w:type="spellEnd"/>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{"citationID":"nY1SgjG5","properties":{"formattedCitation":"(24)","plainCitation":"(24)","noteIndex":0},"citationItems":[{"id":1022,"uris":["http://zotero.org/users/15549944/items/HBJ6H8FK"],"itemData":{"id":1022,"type":"article-journal","abstract":"Quantitative synthesis of data from single-case designs (SCDs) is becoming increasingly common in psychology and education journals. Because researchers do not ordinarily report numerical data in addition to graphical displays, reliance on plot digitizing tools is often a necessary component of this research. Intercoder reliability of data extraction is a commonly overlooked, but potentially important, step of this process. The purpose of this study was to examine the intercoder reliability and validity of WebPlotDigitizer (Rohatgi, 2015), a web-based plot digitizing tool for extracting data from a variety of plots, including XY coordinates of interrupted time-series data. Two coders extracted 3,596 data points from 168 data series in 36 graphs across 18 studies. Results indicated high levels of intercoder reliability and validity. Implications of and recommendations based on these results are discussed in relation to researchers involved in quantitative synthesis of data from SCDs.","container-title":"Behavior Modification","DOI":"10.1177/0145445516673998","ISSN":"0145-4455","issue":"2","journalAbbreviation":"Behav Modif","language":"EN","note":"publisher: SAGE Publications Inc","page":"323-339","source":"SAGE Journals","title":"Intercoder Reliability and Validity of WebPlotDigitizer in Extracting Graphed Data","volume":"41","author":[{"family":"Drevon","given":"Daniel"},{"family":"Fursa","given":"Sophie R."},{"family":"Malcolm","given":"Allura L."}],"issued":{"date-parts":[["2017",3,1]]}}}],"schema":"https://github.com/citation-style-language/schema/raw/master/csl-citation.json"}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(24)</w:t>
      </w:r>
      <w:r>
        <w:rPr>
          <w:rFonts w:ascii="Times New Roman" w:hAnsi="Times New Roman" w:cs="Times New Roman"/>
          <w:color w:val="000000" w:themeColor="text1"/>
          <w:sz w:val="22"/>
          <w:szCs w:val="22"/>
        </w:rPr>
        <w:fldChar w:fldCharType="end"/>
      </w:r>
      <w:r w:rsidRPr="00DB22F4">
        <w:rPr>
          <w:rFonts w:ascii="Times New Roman" w:hAnsi="Times New Roman" w:cs="Times New Roman"/>
          <w:color w:val="000000" w:themeColor="text1"/>
          <w:sz w:val="22"/>
          <w:szCs w:val="22"/>
        </w:rPr>
        <w:t xml:space="preserve">. </w:t>
      </w:r>
    </w:p>
    <w:p w14:paraId="2393E5D8"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7BE54E8E" w14:textId="6BA76AE7" w:rsidR="006856C6" w:rsidRDefault="006856C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To </w:t>
      </w:r>
      <w:r w:rsidR="00752464">
        <w:rPr>
          <w:rFonts w:ascii="Times New Roman" w:hAnsi="Times New Roman" w:cs="Times New Roman"/>
          <w:color w:val="000000" w:themeColor="text1"/>
          <w:sz w:val="22"/>
          <w:szCs w:val="22"/>
        </w:rPr>
        <w:t xml:space="preserve">quantitatively </w:t>
      </w:r>
      <w:r>
        <w:rPr>
          <w:rFonts w:ascii="Times New Roman" w:hAnsi="Times New Roman" w:cs="Times New Roman"/>
          <w:color w:val="000000" w:themeColor="text1"/>
          <w:sz w:val="22"/>
          <w:szCs w:val="22"/>
        </w:rPr>
        <w:t xml:space="preserve">explore the possibility of sponsorship bias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{"citationID":"APO7W0aq","properties":{"formattedCitation":"(25)","plainCitation":"(25)","noteIndex":0},"citationItems":[{"id":1045,"uris":["http://zotero.org/users/15549944/items/K8X3GDAH"],"itemData":{"id":1045,"type":"article-journal","container-title":"Journal of the Royal Society of Medicine","DOI":"10.1177/0141076820914242","ISSN":"0141-0768","issue":"4","journalAbbreviation":"J R Soc Med","note":"PMID: 32286115\nPMCID: PMC7160793","page":"148-157","source":"PubMed Central","title":"Sponsorship bias in clinical trials: growing menace or dawning realisation?","title-short":"Sponsorship bias in clinical trials","volume":"113","author":[{"family":"Jefferson","given":"Tom"}],"issued":{"date-parts":[["2020",4]]}}}],"schema":"https://github.com/citation-style-language/schema/raw/master/csl-citation.json"}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(25)</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t>
      </w:r>
      <w:r w:rsidRPr="00674DA8">
        <w:rPr>
          <w:rFonts w:ascii="Times New Roman" w:hAnsi="Times New Roman" w:cs="Times New Roman"/>
          <w:color w:val="000000" w:themeColor="text1"/>
          <w:sz w:val="22"/>
          <w:szCs w:val="22"/>
        </w:rPr>
        <w:t xml:space="preserve">we performed a meta-regression </w:t>
      </w:r>
      <w:r>
        <w:rPr>
          <w:rFonts w:ascii="Times New Roman" w:hAnsi="Times New Roman" w:cs="Times New Roman"/>
          <w:color w:val="000000" w:themeColor="text1"/>
          <w:sz w:val="22"/>
          <w:szCs w:val="22"/>
        </w:rPr>
        <w:t>to examine</w:t>
      </w:r>
      <w:r w:rsidRPr="00674DA8">
        <w:rPr>
          <w:rFonts w:ascii="Times New Roman" w:hAnsi="Times New Roman" w:cs="Times New Roman"/>
          <w:color w:val="000000" w:themeColor="text1"/>
          <w:sz w:val="22"/>
          <w:szCs w:val="22"/>
        </w:rPr>
        <w:t xml:space="preserve"> whether involvement of the technology’s developers</w:t>
      </w:r>
      <w:r>
        <w:rPr>
          <w:rFonts w:ascii="Times New Roman" w:hAnsi="Times New Roman" w:cs="Times New Roman"/>
          <w:color w:val="000000" w:themeColor="text1"/>
          <w:sz w:val="22"/>
          <w:szCs w:val="22"/>
        </w:rPr>
        <w:t xml:space="preserve"> (</w:t>
      </w:r>
      <w:r w:rsidRPr="00674DA8">
        <w:rPr>
          <w:rFonts w:ascii="Times New Roman" w:hAnsi="Times New Roman" w:cs="Times New Roman"/>
          <w:color w:val="000000" w:themeColor="text1"/>
          <w:sz w:val="22"/>
          <w:szCs w:val="22"/>
        </w:rPr>
        <w:t>Vingrys or Kong</w:t>
      </w:r>
      <w:r>
        <w:rPr>
          <w:rFonts w:ascii="Times New Roman" w:hAnsi="Times New Roman" w:cs="Times New Roman"/>
          <w:color w:val="000000" w:themeColor="text1"/>
          <w:sz w:val="22"/>
          <w:szCs w:val="22"/>
        </w:rPr>
        <w:t xml:space="preserve">) </w:t>
      </w:r>
      <w:r w:rsidRPr="00674DA8">
        <w:rPr>
          <w:rFonts w:ascii="Times New Roman" w:hAnsi="Times New Roman" w:cs="Times New Roman"/>
          <w:color w:val="000000" w:themeColor="text1"/>
          <w:sz w:val="22"/>
          <w:szCs w:val="22"/>
        </w:rPr>
        <w:t xml:space="preserve">in data analysis or </w:t>
      </w:r>
      <w:r>
        <w:rPr>
          <w:rFonts w:ascii="Times New Roman" w:hAnsi="Times New Roman" w:cs="Times New Roman"/>
          <w:color w:val="000000" w:themeColor="text1"/>
          <w:sz w:val="22"/>
          <w:szCs w:val="22"/>
        </w:rPr>
        <w:t xml:space="preserve">senior </w:t>
      </w:r>
      <w:r w:rsidRPr="00674DA8">
        <w:rPr>
          <w:rFonts w:ascii="Times New Roman" w:hAnsi="Times New Roman" w:cs="Times New Roman"/>
          <w:color w:val="000000" w:themeColor="text1"/>
          <w:sz w:val="22"/>
          <w:szCs w:val="22"/>
        </w:rPr>
        <w:t>authorship was associated with the reported outcomes</w:t>
      </w:r>
      <w:r w:rsidR="002E2FA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{"citationID":"bfFQzxsJ","properties":{"formattedCitation":"(10)","plainCitation":"(10)","noteIndex":0},"citationItems":[{"id":1005,"uris":["http://zotero.org/users/15549944/items/ULPWVK2Q"],"itemData":{"id":1005,"type":"article-journal","abstract":"To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t>
      </w:r>
      <w:r w:rsidRPr="00FE5BA0">
        <w:rPr>
          <w:rFonts w:ascii="Times New Roman" w:hAnsi="Times New Roman" w:cs="Times New Roman"/>
          <w:color w:val="000000" w:themeColor="text1"/>
          <w:sz w:val="22"/>
          <w:szCs w:val="22"/>
        </w:rPr>
        <w:t>In this model, the perimetric outcomes (</w:t>
      </w:r>
      <w:r>
        <w:rPr>
          <w:rFonts w:ascii="Times New Roman" w:hAnsi="Times New Roman" w:cs="Times New Roman"/>
          <w:color w:val="000000" w:themeColor="text1"/>
          <w:sz w:val="22"/>
          <w:szCs w:val="22"/>
        </w:rPr>
        <w:t xml:space="preserve">mean </w:t>
      </w:r>
      <w:r w:rsidRPr="00FE5BA0">
        <w:rPr>
          <w:rFonts w:ascii="Times New Roman" w:hAnsi="Times New Roman" w:cs="Times New Roman"/>
          <w:color w:val="000000" w:themeColor="text1"/>
          <w:sz w:val="22"/>
          <w:szCs w:val="22"/>
        </w:rPr>
        <w:t xml:space="preserve">differences in testing time, mean differences in MD and PSD, </w:t>
      </w:r>
      <w:r>
        <w:rPr>
          <w:rFonts w:ascii="Times New Roman" w:hAnsi="Times New Roman" w:cs="Times New Roman"/>
          <w:color w:val="000000" w:themeColor="text1"/>
          <w:sz w:val="22"/>
          <w:szCs w:val="22"/>
        </w:rPr>
        <w:t xml:space="preserve">ICC </w:t>
      </w:r>
      <w:r w:rsidRPr="00FE5BA0">
        <w:rPr>
          <w:rFonts w:ascii="Times New Roman" w:hAnsi="Times New Roman" w:cs="Times New Roman"/>
          <w:color w:val="000000" w:themeColor="text1"/>
          <w:sz w:val="22"/>
          <w:szCs w:val="22"/>
        </w:rPr>
        <w:t>concordance between MRF and HFA, and test–retest ICC)</w:t>
      </w:r>
      <w:r>
        <w:rPr>
          <w:rFonts w:ascii="Times New Roman" w:hAnsi="Times New Roman" w:cs="Times New Roman"/>
          <w:color w:val="000000" w:themeColor="text1"/>
          <w:sz w:val="22"/>
          <w:szCs w:val="22"/>
        </w:rPr>
        <w:t xml:space="preserve"> were</w:t>
      </w:r>
      <w:r w:rsidRPr="00FE5BA0">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used as</w:t>
      </w:r>
      <w:r w:rsidRPr="00FE5BA0">
        <w:rPr>
          <w:rFonts w:ascii="Times New Roman" w:hAnsi="Times New Roman" w:cs="Times New Roman"/>
          <w:color w:val="000000" w:themeColor="text1"/>
          <w:sz w:val="22"/>
          <w:szCs w:val="22"/>
        </w:rPr>
        <w:t xml:space="preserve"> dependent variables, </w:t>
      </w:r>
      <w:r>
        <w:rPr>
          <w:rFonts w:ascii="Times New Roman" w:hAnsi="Times New Roman" w:cs="Times New Roman"/>
          <w:color w:val="000000" w:themeColor="text1"/>
          <w:sz w:val="22"/>
          <w:szCs w:val="22"/>
        </w:rPr>
        <w:t>and</w:t>
      </w:r>
      <w:r w:rsidRPr="00FE5BA0">
        <w:rPr>
          <w:rFonts w:ascii="Times New Roman" w:hAnsi="Times New Roman" w:cs="Times New Roman"/>
          <w:color w:val="000000" w:themeColor="text1"/>
          <w:sz w:val="22"/>
          <w:szCs w:val="22"/>
        </w:rPr>
        <w:t xml:space="preserve"> the presence or absence of developer involvement was the independent</w:t>
      </w:r>
      <w:r>
        <w:rPr>
          <w:rFonts w:ascii="Times New Roman" w:hAnsi="Times New Roman" w:cs="Times New Roman"/>
          <w:color w:val="000000" w:themeColor="text1"/>
          <w:sz w:val="22"/>
          <w:szCs w:val="22"/>
        </w:rPr>
        <w:t xml:space="preserve"> </w:t>
      </w:r>
      <w:r w:rsidRPr="00FE5BA0">
        <w:rPr>
          <w:rFonts w:ascii="Times New Roman" w:hAnsi="Times New Roman" w:cs="Times New Roman"/>
          <w:color w:val="000000" w:themeColor="text1"/>
          <w:sz w:val="22"/>
          <w:szCs w:val="22"/>
        </w:rPr>
        <w:t>variable.</w:t>
      </w:r>
    </w:p>
    <w:p w14:paraId="2E0C59FB" w14:textId="77777777" w:rsidR="00A9692C" w:rsidRDefault="00A9692C" w:rsidP="006856C6">
      <w:pPr>
        <w:spacing w:after="0" w:line="240" w:lineRule="auto"/>
        <w:jc w:val="both"/>
        <w:rPr>
          <w:rFonts w:ascii="Times New Roman" w:hAnsi="Times New Roman" w:cs="Times New Roman"/>
          <w:color w:val="000000" w:themeColor="text1"/>
          <w:sz w:val="22"/>
          <w:szCs w:val="22"/>
        </w:rPr>
      </w:pPr>
    </w:p>
    <w:p w14:paraId="2A736200" w14:textId="567559C4" w:rsidR="003B2BA3" w:rsidRPr="00511459" w:rsidRDefault="003B2BA3" w:rsidP="006856C6">
      <w:pPr>
        <w:spacing w:after="0" w:line="240" w:lineRule="auto"/>
        <w:jc w:val="both"/>
        <w:rPr>
          <w:rFonts w:ascii="Times New Roman" w:hAnsi="Times New Roman" w:cs="Times New Roman"/>
          <w:color w:val="000000" w:themeColor="text1"/>
          <w:sz w:val="22"/>
          <w:szCs w:val="22"/>
        </w:rPr>
      </w:pPr>
      <w:r w:rsidRPr="003B2BA3">
        <w:rPr>
          <w:rFonts w:ascii="Times New Roman" w:hAnsi="Times New Roman" w:cs="Times New Roman"/>
          <w:color w:val="000000" w:themeColor="text1"/>
          <w:sz w:val="22"/>
          <w:szCs w:val="22"/>
        </w:rPr>
        <w:t xml:space="preserve">To </w:t>
      </w:r>
      <w:r w:rsidR="00FE09E6">
        <w:rPr>
          <w:rFonts w:ascii="Times New Roman" w:hAnsi="Times New Roman" w:cs="Times New Roman"/>
          <w:color w:val="000000" w:themeColor="text1"/>
          <w:sz w:val="22"/>
          <w:szCs w:val="22"/>
        </w:rPr>
        <w:t xml:space="preserve">ensure transparency and </w:t>
      </w:r>
      <w:r w:rsidRPr="003B2BA3">
        <w:rPr>
          <w:rFonts w:ascii="Times New Roman" w:hAnsi="Times New Roman" w:cs="Times New Roman"/>
          <w:color w:val="000000" w:themeColor="text1"/>
          <w:sz w:val="22"/>
          <w:szCs w:val="22"/>
        </w:rPr>
        <w:t>facilitate reproducibility, the original protocol, PROSPERO registration, extracted datasets, risk-of-bias assessments, and complete statistical analysis code have been made publicly available via GitHub (</w:t>
      </w:r>
      <w:hyperlink r:id="rId8" w:history="1">
        <w:r w:rsidRPr="008A6141">
          <w:rPr>
            <w:rStyle w:val="Hyperlink"/>
            <w:rFonts w:ascii="Times New Roman" w:hAnsi="Times New Roman" w:cs="Times New Roman"/>
            <w:sz w:val="22"/>
            <w:szCs w:val="22"/>
          </w:rPr>
          <w:t>https://github.com/andresinzunza/pop_tag</w:t>
        </w:r>
      </w:hyperlink>
      <w:r w:rsidRPr="003B2BA3">
        <w:rPr>
          <w:rFonts w:ascii="Times New Roman" w:hAnsi="Times New Roman" w:cs="Times New Roman"/>
          <w:color w:val="000000" w:themeColor="text1"/>
          <w:sz w:val="22"/>
          <w:szCs w:val="22"/>
        </w:rPr>
        <w:t>).</w:t>
      </w:r>
    </w:p>
    <w:p w14:paraId="27039B8B" w14:textId="77777777"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p>
    <w:p w14:paraId="5072E402"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Results</w:t>
      </w:r>
    </w:p>
    <w:p w14:paraId="62A209A0" w14:textId="69640547"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sidRPr="00511459">
        <w:rPr>
          <w:rFonts w:ascii="Times New Roman" w:eastAsia="Times New Roman" w:hAnsi="Times New Roman" w:cs="Times New Roman"/>
          <w:color w:val="000000"/>
          <w:kern w:val="0"/>
          <w:sz w:val="22"/>
          <w:szCs w:val="22"/>
          <w14:ligatures w14:val="none"/>
        </w:rPr>
        <w:t xml:space="preserve">A total of </w:t>
      </w:r>
      <w:r w:rsidR="000A448F">
        <w:rPr>
          <w:rFonts w:ascii="Times New Roman" w:eastAsia="Times New Roman" w:hAnsi="Times New Roman" w:cs="Times New Roman"/>
          <w:color w:val="000000"/>
          <w:kern w:val="0"/>
          <w:sz w:val="22"/>
          <w:szCs w:val="22"/>
          <w14:ligatures w14:val="none"/>
        </w:rPr>
        <w:t>290</w:t>
      </w:r>
      <w:r w:rsidRPr="00511459">
        <w:rPr>
          <w:rFonts w:ascii="Times New Roman" w:eastAsia="Times New Roman" w:hAnsi="Times New Roman" w:cs="Times New Roman"/>
          <w:color w:val="000000"/>
          <w:kern w:val="0"/>
          <w:sz w:val="22"/>
          <w:szCs w:val="22"/>
          <w14:ligatures w14:val="none"/>
        </w:rPr>
        <w:t xml:space="preserve"> studies were screened, 4</w:t>
      </w:r>
      <w:r w:rsidR="00272F7F">
        <w:rPr>
          <w:rFonts w:ascii="Times New Roman" w:eastAsia="Times New Roman" w:hAnsi="Times New Roman" w:cs="Times New Roman"/>
          <w:color w:val="000000"/>
          <w:kern w:val="0"/>
          <w:sz w:val="22"/>
          <w:szCs w:val="22"/>
          <w14:ligatures w14:val="none"/>
        </w:rPr>
        <w:t>8</w:t>
      </w:r>
      <w:r w:rsidRPr="00511459">
        <w:rPr>
          <w:rFonts w:ascii="Times New Roman" w:eastAsia="Times New Roman" w:hAnsi="Times New Roman" w:cs="Times New Roman"/>
          <w:color w:val="000000"/>
          <w:kern w:val="0"/>
          <w:sz w:val="22"/>
          <w:szCs w:val="22"/>
          <w14:ligatures w14:val="none"/>
        </w:rPr>
        <w:t xml:space="preserve"> underwent full-text review, and 9 were included in the final analysis (Figure 1). Overall, 77</w:t>
      </w:r>
      <w:r>
        <w:rPr>
          <w:rFonts w:ascii="Times New Roman" w:eastAsia="Times New Roman" w:hAnsi="Times New Roman" w:cs="Times New Roman"/>
          <w:color w:val="000000"/>
          <w:kern w:val="0"/>
          <w:sz w:val="22"/>
          <w:szCs w:val="22"/>
          <w14:ligatures w14:val="none"/>
        </w:rPr>
        <w:t>7</w:t>
      </w:r>
      <w:r w:rsidRPr="00511459">
        <w:rPr>
          <w:rFonts w:ascii="Times New Roman" w:eastAsia="Times New Roman" w:hAnsi="Times New Roman" w:cs="Times New Roman"/>
          <w:color w:val="000000"/>
          <w:kern w:val="0"/>
          <w:sz w:val="22"/>
          <w:szCs w:val="22"/>
          <w14:ligatures w14:val="none"/>
        </w:rPr>
        <w:t xml:space="preserve"> eyes from 63</w:t>
      </w:r>
      <w:r w:rsidR="007671B0">
        <w:rPr>
          <w:rFonts w:ascii="Times New Roman" w:eastAsia="Times New Roman" w:hAnsi="Times New Roman" w:cs="Times New Roman"/>
          <w:color w:val="000000"/>
          <w:kern w:val="0"/>
          <w:sz w:val="22"/>
          <w:szCs w:val="22"/>
          <w14:ligatures w14:val="none"/>
        </w:rPr>
        <w:t>8</w:t>
      </w:r>
      <w:r w:rsidRPr="00511459">
        <w:rPr>
          <w:rFonts w:ascii="Times New Roman" w:eastAsia="Times New Roman" w:hAnsi="Times New Roman" w:cs="Times New Roman"/>
          <w:color w:val="000000"/>
          <w:kern w:val="0"/>
          <w:sz w:val="22"/>
          <w:szCs w:val="22"/>
          <w14:ligatures w14:val="none"/>
        </w:rPr>
        <w:t xml:space="preserve"> subjects were included (Table 1). Of these, 64</w:t>
      </w:r>
      <w:r w:rsidR="00E76231">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 xml:space="preserve"> eyes (83%) had glaucoma, 3</w:t>
      </w:r>
      <w:r w:rsidR="00E76231">
        <w:rPr>
          <w:rFonts w:ascii="Times New Roman" w:eastAsia="Times New Roman" w:hAnsi="Times New Roman" w:cs="Times New Roman"/>
          <w:color w:val="000000"/>
          <w:kern w:val="0"/>
          <w:sz w:val="22"/>
          <w:szCs w:val="22"/>
          <w14:ligatures w14:val="none"/>
        </w:rPr>
        <w:t>7</w:t>
      </w:r>
      <w:r w:rsidRPr="00511459">
        <w:rPr>
          <w:rFonts w:ascii="Times New Roman" w:eastAsia="Times New Roman" w:hAnsi="Times New Roman" w:cs="Times New Roman"/>
          <w:color w:val="000000"/>
          <w:kern w:val="0"/>
          <w:sz w:val="22"/>
          <w:szCs w:val="22"/>
          <w14:ligatures w14:val="none"/>
        </w:rPr>
        <w:t xml:space="preserve"> eyes (</w:t>
      </w:r>
      <w:r w:rsidR="00CF4E10">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xml:space="preserve">%) were classified as glaucoma suspects, and 96 eyes (12%) were </w:t>
      </w:r>
      <w:r w:rsidR="007671B0">
        <w:rPr>
          <w:rFonts w:ascii="Times New Roman" w:eastAsia="Times New Roman" w:hAnsi="Times New Roman" w:cs="Times New Roman"/>
          <w:color w:val="000000"/>
          <w:kern w:val="0"/>
          <w:sz w:val="22"/>
          <w:szCs w:val="22"/>
          <w14:ligatures w14:val="none"/>
        </w:rPr>
        <w:t>normal</w:t>
      </w:r>
      <w:r w:rsidRPr="00511459">
        <w:rPr>
          <w:rFonts w:ascii="Times New Roman" w:eastAsia="Times New Roman" w:hAnsi="Times New Roman" w:cs="Times New Roman"/>
          <w:color w:val="000000"/>
          <w:kern w:val="0"/>
          <w:sz w:val="22"/>
          <w:szCs w:val="22"/>
          <w14:ligatures w14:val="none"/>
        </w:rPr>
        <w:t xml:space="preserve">. The mean age across studies was 61 years (SD: 13.6), and approximately 47% of participants were female. </w:t>
      </w:r>
      <w:r>
        <w:rPr>
          <w:rFonts w:ascii="Times New Roman" w:eastAsia="Times New Roman" w:hAnsi="Times New Roman" w:cs="Times New Roman"/>
          <w:color w:val="000000"/>
          <w:kern w:val="0"/>
          <w:sz w:val="22"/>
          <w:szCs w:val="22"/>
          <w14:ligatures w14:val="none"/>
        </w:rPr>
        <w:t xml:space="preserve">All </w:t>
      </w:r>
      <w:r w:rsidR="00D21960">
        <w:rPr>
          <w:rFonts w:ascii="Times New Roman" w:eastAsia="Times New Roman" w:hAnsi="Times New Roman" w:cs="Times New Roman"/>
          <w:color w:val="000000"/>
          <w:kern w:val="0"/>
          <w:sz w:val="22"/>
          <w:szCs w:val="22"/>
          <w14:ligatures w14:val="none"/>
        </w:rPr>
        <w:t>extracted data were compared between the first version of the MRF technology and the HFA 24-2 using the SITA</w:t>
      </w:r>
      <w:r>
        <w:rPr>
          <w:rFonts w:ascii="Times New Roman" w:eastAsia="Times New Roman" w:hAnsi="Times New Roman" w:cs="Times New Roman"/>
          <w:color w:val="000000"/>
          <w:kern w:val="0"/>
          <w:sz w:val="22"/>
          <w:szCs w:val="22"/>
          <w14:ligatures w14:val="none"/>
        </w:rPr>
        <w:t xml:space="preserve"> Standard</w:t>
      </w:r>
      <w:r w:rsidR="00D21960">
        <w:rPr>
          <w:rFonts w:ascii="Times New Roman" w:eastAsia="Times New Roman" w:hAnsi="Times New Roman" w:cs="Times New Roman"/>
          <w:color w:val="000000"/>
          <w:kern w:val="0"/>
          <w:sz w:val="22"/>
          <w:szCs w:val="22"/>
          <w14:ligatures w14:val="none"/>
        </w:rPr>
        <w:t xml:space="preserve"> testing algorithm</w:t>
      </w:r>
      <w:r w:rsidRPr="00511459">
        <w:rPr>
          <w:rFonts w:ascii="Times New Roman" w:eastAsia="Times New Roman" w:hAnsi="Times New Roman" w:cs="Times New Roman"/>
          <w:color w:val="000000"/>
          <w:kern w:val="0"/>
          <w:sz w:val="22"/>
          <w:szCs w:val="22"/>
          <w14:ligatures w14:val="none"/>
        </w:rPr>
        <w:t>.</w:t>
      </w:r>
    </w:p>
    <w:p w14:paraId="7D58245A"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397779BF" w14:textId="10BD1449"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commentRangeStart w:id="0"/>
      <w:r w:rsidRPr="00511459">
        <w:rPr>
          <w:rFonts w:ascii="Times New Roman" w:eastAsia="Times New Roman" w:hAnsi="Times New Roman" w:cs="Times New Roman"/>
          <w:i/>
          <w:iCs/>
          <w:color w:val="000000"/>
          <w:kern w:val="0"/>
          <w:sz w:val="22"/>
          <w:szCs w:val="22"/>
          <w14:ligatures w14:val="none"/>
        </w:rPr>
        <w:t>Testing Time</w:t>
      </w:r>
      <w:commentRangeEnd w:id="0"/>
      <w:r w:rsidR="00D21960">
        <w:rPr>
          <w:rStyle w:val="CommentReference"/>
          <w:lang w:val="en-US"/>
        </w:rPr>
        <w:commentReference w:id="0"/>
      </w:r>
    </w:p>
    <w:p w14:paraId="37866130" w14:textId="1BE7049D"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sidRPr="00511459">
        <w:rPr>
          <w:rFonts w:ascii="Times New Roman" w:eastAsia="Times New Roman" w:hAnsi="Times New Roman" w:cs="Times New Roman"/>
          <w:color w:val="000000"/>
          <w:kern w:val="0"/>
          <w:sz w:val="22"/>
          <w:szCs w:val="22"/>
          <w14:ligatures w14:val="none"/>
        </w:rPr>
        <w:t>Seven studies reported testing times</w:t>
      </w:r>
      <w:r>
        <w:rPr>
          <w:rFonts w:ascii="Times New Roman" w:eastAsia="Times New Roman" w:hAnsi="Times New Roman" w:cs="Times New Roman"/>
          <w:color w:val="000000"/>
          <w:kern w:val="0"/>
          <w:sz w:val="22"/>
          <w:szCs w:val="22"/>
          <w14:ligatures w14:val="none"/>
        </w:rPr>
        <w:t>, including a total of 692 eyes in this analysis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pHeelAbe","properties":{"formattedCitation":"(12,15,26\\uc0\\u8211{}30)","plainCitation":"(12,15,26–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L"}],"issued":{"date-parts":[["2018"]]}}},{"id":488,"uris":["http://zotero.org/users/15549944/items/66G2EC44"],"itemData":{"id":488,"type":"article-journal","abstract":"Purpose. To compare visual field results obtained using Melbourne Rapid Fields (MRF) iPad-based perimeter software and Humphrey Field Analyzer (HFA) 24-2 Swedish Interactive Threshold Algorithm (SITA) standard program in glaucoma patients. Design. A cross-sectional observational study. Methods. In this single-centre study involving patients diagnosed with glaucoma, the perimetric outcomes of MRF were compared against those returned from the HFA 24-2 SITA standard. Outcomes included mean deviation (MD), pattern standard deviation (PSD), visual field index (VFI)/visual capacity (VC), foveal threshold, test time, number of points depressed at P &lt; 5% on PSD probability plot, and glaucoma hemifield test/color coded indicator. Results. The study included 28 eyes of 28 glaucoma patients. Mean (standard deviation) test times were 342.07 (56.70) seconds for MRF and 375.11 (88.95) for HFA 24-2 SITA standard (P = 0.046). Mean MD was significantly lower for MRF (Δ = 3.09, P &lt; 0.001), and mean PSD was significantly higher for MRF (Δ = 1.40, P = 0.005) compared with HFA. The mean foveal threshold for the MRF was significantly lower than the mean HFA foveal threshold ((Δ = 9.25, P &lt; 0.001). The number of points depressed at P &lt; 5% on the PSD probability plot was significantly less for MRF (P &lt; 0.001). Other perimetric outcomes showed no significant differences between both. Bland–Altman plots showed that considerable variability existed between the programs. Conclusion. MRF is a good cost-effective, time-saving, user-friendly tool for monitoring visual fields in settings where access to traditional perimetry is limited. The lack of Internet strength in rural areas and questionable detection of early cases may be two points in MRF fields requiring an upgrade.","container-title":"Journal of Ophthalmology","DOI":"10.1155/2020/8384509","ISSN":"2090-0058","issue":"1","language":"en","license":"Copyright © 2020 Harsh Kumar and Mithun Thulasidas.","note":"_eprint: https://onlinelibrary.wiley.com/doi/pdf/10.1155/2020/8384509","page":"8384509","source":"Wiley Online Library","title":"Comparison of Perimetric Outcomes from Melbourne Rapid Fields Tablet Perimeter Software and Humphrey Field Analyzer in Glaucoma Patients","volume":"2020","author":[{"family":"Kumar","given":"Harsh"},{"family":"Thulasidas","given":"Mithun"}],"issued":{"date-parts":[["2020"]]}}},{"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J."}],"issued":{"date-parts":[["2021",3,1]]}}},{"id":514,"uris":["http://zotero.org/users/15549944/items/8VTVJ5Q6"],"itemData":{"id":514,"type":"article-journal","abstract":"Purpose: To investigate the performance of the Melbourne Rapid Fields (MRF) for use in clinic-based visual ﬁeld testing in a low-resource setting. Design: Prospective cross-sectional study. Participants: One hundred and three participants (66 patients with glaucoma and 37 control participants) attending a clinical appointment at the Tema Eye Center, Tema, Ghana.\nMethods: Patients with glaucoma and control participants underwent MRF and Humphrey Field Analyzer (HFA) testing. Main Outcome Measures: Mean deviation (MD), pattern standard deviation (PSD), reliability parameters, sensitivity, speciﬁcity, and area under the receiver operating characteristic curve.\nResults: Mean MD was less negative and mean PSD was more positive on the MRF than the HFA in both groups (all P &lt; 0.001). False-positive and false-negative rates were comparable between methods (P ¼ 0.09 and P ¼ 0.35, respectively). In patients with glaucoma, MD and PSD from the 2 devices were correlated strongly (r ¼ 0.84; P &lt; 0.001) and moderately (r ¼ 0.61; P &lt; 0.001), respectively. Agreement analysis revealed that MRF tended to generate signiﬁcantly higher MD (bias, 3.3 4.1 dB; P ¼ 0.03) and PSD (bias, 1.9 2.8 dB; P ¼ 0.03) with wide limits of agreement. For detecting moderate to advanced glaucoma, the sensitivity was 60.9% for the MRF and 78.3% for the HFA (P ¼ 0.10); respective speciﬁcities were 86.5% and 83.8% (P ¼ 0.76).\nConclusions: The MRF underestimated MD and overestimated PSD values compared with the HFA. Agreement biases were signiﬁcant, suggesting a weak agreement between the 2 devices. However, the MRF showed potential for screening in a low-resource setting, particularly for detecting moderate to advanced glaucoma. Ophthalmology Glaucoma 2022;5:275-283 Published by Elsevier Inc. on behalf of the American Academy of Ophthalmology","container-title":"Ophthalmology Glaucoma","DOI":"10.1016/j.ogla.2021.09.002","ISSN":"25894196","issue":"3","journalAbbreviation":"Ophthalmology Glaucoma","language":"en","page":"275-283","source":"DOI.org (Crossref)","title":"Glaucoma Screening Using an iPad-Based Visual Field Test in a West African Population","volume":"5","author":[{"family":"Prince","given":"Jamie"},{"family":"Thompson","given":"Atalie"},{"family":"Mwanza","given":"Jean-Claude"},{"family":"Tolleson-Rinehart","given":"Sue"},{"family":"Budenz","given":"Donald L."}],"issued":{"date-parts":[["2022",5]]}}},{"id":981,"uris":["http://zotero.org/users/15549944/items/M2J66U39"],"itemData":{"id":981,"type":"article-journal","abstract":"PURPOSE: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2C159E">
        <w:rPr>
          <w:rFonts w:ascii="Times New Roman" w:hAnsi="Times New Roman" w:cs="Times New Roman"/>
          <w:color w:val="000000"/>
          <w:kern w:val="0"/>
          <w:sz w:val="22"/>
          <w:lang w:val="en-US"/>
        </w:rPr>
        <w:t>(12,15,26–30)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testing time for HFA was 6.13 minutes</w:t>
      </w:r>
      <w:r w:rsidR="00D535E9">
        <w:rPr>
          <w:rFonts w:ascii="Times New Roman" w:eastAsia="Times New Roman" w:hAnsi="Times New Roman" w:cs="Times New Roman"/>
          <w:color w:val="000000"/>
          <w:kern w:val="0"/>
          <w:sz w:val="22"/>
          <w:szCs w:val="22"/>
          <w14:ligatures w14:val="none"/>
        </w:rPr>
        <w:t xml:space="preserve"> per eye</w:t>
      </w:r>
      <w:r w:rsidRPr="00511459">
        <w:rPr>
          <w:rFonts w:ascii="Times New Roman" w:eastAsia="Times New Roman" w:hAnsi="Times New Roman" w:cs="Times New Roman"/>
          <w:color w:val="000000"/>
          <w:kern w:val="0"/>
          <w:sz w:val="22"/>
          <w:szCs w:val="22"/>
          <w14:ligatures w14:val="none"/>
        </w:rPr>
        <w:t xml:space="preserve"> (95% CI: 5.89–6.36; I² = 98.9%), compared with 4.82 minutes for MRF (95% CI: 4.3–5.35; I² = 99.8%). The pooled difference</w:t>
      </w:r>
      <w:r>
        <w:rPr>
          <w:rFonts w:ascii="Times New Roman" w:eastAsia="Times New Roman" w:hAnsi="Times New Roman" w:cs="Times New Roman"/>
          <w:color w:val="000000"/>
          <w:kern w:val="0"/>
          <w:sz w:val="22"/>
          <w:szCs w:val="22"/>
          <w14:ligatures w14:val="none"/>
        </w:rPr>
        <w:t xml:space="preserve"> in means</w:t>
      </w:r>
      <w:r w:rsidRPr="00511459">
        <w:rPr>
          <w:rFonts w:ascii="Times New Roman" w:eastAsia="Times New Roman" w:hAnsi="Times New Roman" w:cs="Times New Roman"/>
          <w:color w:val="000000"/>
          <w:kern w:val="0"/>
          <w:sz w:val="22"/>
          <w:szCs w:val="22"/>
          <w14:ligatures w14:val="none"/>
        </w:rPr>
        <w:t xml:space="preserve"> showed that MRF testing was 1.33 minutes</w:t>
      </w:r>
      <w:r>
        <w:rPr>
          <w:rFonts w:ascii="Times New Roman" w:eastAsia="Times New Roman" w:hAnsi="Times New Roman" w:cs="Times New Roman"/>
          <w:color w:val="000000"/>
          <w:kern w:val="0"/>
          <w:sz w:val="22"/>
          <w:szCs w:val="22"/>
          <w14:ligatures w14:val="none"/>
        </w:rPr>
        <w:t xml:space="preserve"> (approximately </w:t>
      </w:r>
      <w:r w:rsidRPr="00027108">
        <w:rPr>
          <w:rFonts w:ascii="Times New Roman" w:eastAsia="Times New Roman" w:hAnsi="Times New Roman" w:cs="Times New Roman"/>
          <w:color w:val="000000"/>
          <w:kern w:val="0"/>
          <w:sz w:val="22"/>
          <w:szCs w:val="22"/>
          <w14:ligatures w14:val="none"/>
        </w:rPr>
        <w:t>1 minute 20 seconds</w:t>
      </w:r>
      <w:r>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faster </w:t>
      </w:r>
      <w:r w:rsidRPr="00511459">
        <w:rPr>
          <w:rFonts w:ascii="Times New Roman" w:eastAsia="Times New Roman" w:hAnsi="Times New Roman" w:cs="Times New Roman"/>
          <w:color w:val="000000"/>
          <w:kern w:val="0"/>
          <w:sz w:val="22"/>
          <w:szCs w:val="22"/>
          <w14:ligatures w14:val="none"/>
        </w:rPr>
        <w:t xml:space="preserve">than HFA (95% CI: –1.73 to –0.93; I² = 99.2%) (Supplementary Figure </w:t>
      </w:r>
      <w:r w:rsidR="00A5435C">
        <w:rPr>
          <w:rFonts w:ascii="Times New Roman" w:eastAsia="Times New Roman" w:hAnsi="Times New Roman" w:cs="Times New Roman"/>
          <w:color w:val="000000"/>
          <w:kern w:val="0"/>
          <w:sz w:val="22"/>
          <w:szCs w:val="22"/>
          <w14:ligatures w14:val="none"/>
        </w:rPr>
        <w:t>1</w:t>
      </w:r>
      <w:r w:rsidRPr="00511459">
        <w:rPr>
          <w:rFonts w:ascii="Times New Roman" w:eastAsia="Times New Roman" w:hAnsi="Times New Roman" w:cs="Times New Roman"/>
          <w:color w:val="000000"/>
          <w:kern w:val="0"/>
          <w:sz w:val="22"/>
          <w:szCs w:val="22"/>
          <w14:ligatures w14:val="none"/>
        </w:rPr>
        <w:t>).</w:t>
      </w:r>
    </w:p>
    <w:p w14:paraId="394B4F3F"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192BF171"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MD</w:t>
      </w:r>
    </w:p>
    <w:p w14:paraId="45DA2F74" w14:textId="0EEB6517"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Seven</w:t>
      </w:r>
      <w:r w:rsidRPr="00511459">
        <w:rPr>
          <w:rFonts w:ascii="Times New Roman" w:eastAsia="Times New Roman" w:hAnsi="Times New Roman" w:cs="Times New Roman"/>
          <w:color w:val="000000"/>
          <w:kern w:val="0"/>
          <w:sz w:val="22"/>
          <w:szCs w:val="22"/>
          <w14:ligatures w14:val="none"/>
        </w:rPr>
        <w:t xml:space="preserve"> studies reported </w:t>
      </w:r>
      <w:r>
        <w:rPr>
          <w:rFonts w:ascii="Times New Roman" w:eastAsia="Times New Roman" w:hAnsi="Times New Roman" w:cs="Times New Roman"/>
          <w:color w:val="000000"/>
          <w:kern w:val="0"/>
          <w:sz w:val="22"/>
          <w:szCs w:val="22"/>
          <w14:ligatures w14:val="none"/>
        </w:rPr>
        <w:t>MD, including a total of 559 eyes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h0h8JcFM","properties":{"formattedCitation":"(12,14,15,27\\uc0\\u8211{}30)","plainCitation":"(12,14,15,27–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J."}],"issued":{"date-parts":[["2018",6]]}}},{"id":488,"uris":["http://zotero.org/users/15549944/items/66G2EC44"],"itemData":{"id":488,"type":"article-journal","abstract":"Purpose. To compare visual field results obtained using Melbourne Rapid Fields (MRF) iPad-based perimeter software and Humphrey Field Analyzer (HFA) 24-2 Swedish Interactive Threshold Algorithm (SITA) standard program in glaucoma patients. Design. A cross-sectional observational study. Methods. In this single-centre study involving patients diagnosed with glaucoma, the perimetric outcomes of MRF were compared against those returned from the HFA 24-2 SITA standard. Outcomes included mean deviation (MD), pattern standard deviation (PSD), visual field index (VFI)/visual capacity (VC), foveal threshold, test time, number of points depressed at P &lt; 5% on PSD probability plot, and glaucoma hemifield test/color coded indicator. Results. The study included 28 eyes of 28 glaucoma patients. Mean (standard deviation) test times were 342.07 (56.70) seconds for MRF and 375.11 (88.95) for HFA 24-2 SITA standard (P = 0.046). Mean MD was significantly lower for MRF (Δ = 3.09, P &lt; 0.001), and mean PSD was significantly higher for MRF (Δ = 1.40, P = 0.005) compared with HFA. The mean foveal threshold for the MRF was significantly lower than the mean HFA foveal threshold ((Δ = 9.25, P &lt; 0.001). The number of points depressed at P &lt; 5% on the PSD probability plot was significantly less for MRF (P &lt; 0.001). Other perimetric outcomes showed no significant differences between both. Bland–Altman plots showed that considerable variability existed between the programs. Conclusion. MRF is a good cost-effective, time-saving, user-friendly tool for monitoring visual fields in settings where access to traditional perimetry is limited. The lack of Internet strength in rural areas and questionable detection of early cases may be two points in MRF fields requiring an upgrade.","container-title":"Journal of Ophthalmology","DOI":"10.1155/2020/8384509","ISSN":"2090-0058","issue":"1","language":"en","license":"Copyright © 2020 Harsh Kumar and Mithun Thulasidas.","note":"_eprint: https://onlinelibrary.wiley.com/doi/pdf/10.1155/2020/8384509","page":"8384509","source":"Wiley Online Library","title":"Comparison of Perimetric Outcomes from Melbourne Rapid Fields Tablet Perimeter Software and Humphrey Field Analyzer in Glaucoma Patients","volume":"2020","author":[{"family":"Kumar","given":"Harsh"},{"family":"Thulasidas","given":"Mithun"}],"issued":{"date-parts":[["2020"]]}}},{"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J."}],"issued":{"date-parts":[["2021",3,1]]}}},{"id":514,"uris":["http://zotero.org/users/15549944/items/8VTVJ5Q6"],"itemData":{"id":514,"type":"article-journal","abstract":"Purpose: To investigate the performance of the Melbourne Rapid Fields (MRF) for use in clinic-based visual ﬁeld testing in a low-resource setting. Design: Prospective cross-sectional study. Participants: One hundred and three participants (66 patients with glaucoma and 37 control participants) attending a clinical appointment at the Tema Eye Center, Tema, Ghana.\nMethods: Patients with glaucoma and control participants underwent MRF and Humphrey Field Analyzer (HFA) testing. Main Outcome Measures: Mean deviation (MD), pattern standard deviation (PSD), reliability parameters, sensitivity, speciﬁcity, and area under the receiver operating characteristic curve.\nResults: Mean MD was less negative and mean PSD was more positive on the MRF than the HFA in both groups (all P &lt; 0.001). False-positive and false-negative rates were comparable between methods (P ¼ 0.09 and P ¼ 0.35, respectively). In patients with glaucoma, MD and PSD from the 2 devices were correlated strongly (r ¼ 0.84; P &lt; 0.001) and moderately (r ¼ 0.61; P &lt; 0.001), respectively. Agreement analysis revealed that MRF tended to generate signiﬁcantly higher MD (bias, 3.3 4.1 dB; P ¼ 0.03) and PSD (bias, 1.9 2.8 dB; P ¼ 0.03) with wide limits of agreement. For detecting moderate to advanced glaucoma, the sensitivity was 60.9% for the MRF and 78.3% for the HFA (P ¼ 0.10); respective speciﬁcities were 86.5% and 83.8% (P ¼ 0.76).\nConclusions: The MRF underestimated MD and overestimated PSD values compared with the HFA. Agreement biases were signiﬁcant, suggesting a weak agreement between the 2 devices. However, the MRF showed potential for screening in a low-resource setting, particularly for detecting moderate to advanced glaucoma. Ophthalmology Glaucoma 2022;5:275-283 Published by Elsevier Inc. on behalf of the American Academy of Ophthalmology","container-title":"Ophthalmology Glaucoma","DOI":"10.1016/j.ogla.2021.09.002","ISSN":"25894196","issue":"3","journalAbbreviation":"Ophthalmology Glaucoma","language":"en","page":"275-283","source":"DOI.org (Crossref)","title":"Glaucoma Screening Using an iPad-Based Visual Field Test in a West African Population","volume":"5","author":[{"family":"Prince","given":"Jamie"},{"family":"Thompson","given":"Atalie"},{"family":"Mwanza","given":"Jean-Claude"},{"family":"Tolleson-Rinehart","given":"Sue"},{"family":"Budenz","given":"Donald L."}],"issued":{"date-parts":[["2022",5]]}}},{"id":981,"uris":["http://zotero.org/users/15549944/items/M2J66U39"],"itemData":{"id":981,"type":"article-journal","abstract":"PURPOSE: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2C159E">
        <w:rPr>
          <w:rFonts w:ascii="Times New Roman" w:hAnsi="Times New Roman" w:cs="Times New Roman"/>
          <w:color w:val="000000"/>
          <w:kern w:val="0"/>
          <w:sz w:val="22"/>
          <w:lang w:val="en-US"/>
        </w:rPr>
        <w:t>(12,14,15,27–30)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MD for HFA was –7.</w:t>
      </w:r>
      <w:r>
        <w:rPr>
          <w:rFonts w:ascii="Times New Roman" w:eastAsia="Times New Roman" w:hAnsi="Times New Roman" w:cs="Times New Roman"/>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t xml:space="preserve"> dB (95% CI: –</w:t>
      </w:r>
      <w:r w:rsidRPr="00511459">
        <w:rPr>
          <w:rFonts w:ascii="Times New Roman" w:hAnsi="Times New Roman" w:cs="Times New Roman"/>
          <w:sz w:val="22"/>
          <w:szCs w:val="22"/>
        </w:rPr>
        <w:t xml:space="preserve"> </w:t>
      </w:r>
      <w:r w:rsidRPr="00511459">
        <w:rPr>
          <w:rFonts w:ascii="Times New Roman" w:eastAsia="Times New Roman" w:hAnsi="Times New Roman" w:cs="Times New Roman"/>
          <w:color w:val="000000"/>
          <w:kern w:val="0"/>
          <w:sz w:val="22"/>
          <w:szCs w:val="22"/>
          <w14:ligatures w14:val="none"/>
        </w:rPr>
        <w:t>9.</w:t>
      </w:r>
      <w:r>
        <w:rPr>
          <w:rFonts w:ascii="Times New Roman" w:eastAsia="Times New Roman" w:hAnsi="Times New Roman" w:cs="Times New Roman"/>
          <w:color w:val="000000"/>
          <w:kern w:val="0"/>
          <w:sz w:val="22"/>
          <w:szCs w:val="22"/>
          <w14:ligatures w14:val="none"/>
        </w:rPr>
        <w:t>39</w:t>
      </w:r>
      <w:r w:rsidRPr="00511459">
        <w:rPr>
          <w:rFonts w:ascii="Times New Roman" w:eastAsia="Times New Roman" w:hAnsi="Times New Roman" w:cs="Times New Roman"/>
          <w:color w:val="000000"/>
          <w:kern w:val="0"/>
          <w:sz w:val="22"/>
          <w:szCs w:val="22"/>
          <w14:ligatures w14:val="none"/>
        </w:rPr>
        <w:t xml:space="preserve"> to –</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91</w:t>
      </w:r>
      <w:r w:rsidRPr="00511459">
        <w:rPr>
          <w:rFonts w:ascii="Times New Roman" w:eastAsia="Times New Roman" w:hAnsi="Times New Roman" w:cs="Times New Roman"/>
          <w:color w:val="000000"/>
          <w:kern w:val="0"/>
          <w:sz w:val="22"/>
          <w:szCs w:val="22"/>
          <w14:ligatures w14:val="none"/>
        </w:rPr>
        <w:t xml:space="preserve">; I² = </w:t>
      </w:r>
      <w:r>
        <w:rPr>
          <w:rFonts w:ascii="Times New Roman" w:eastAsia="Times New Roman" w:hAnsi="Times New Roman" w:cs="Times New Roman"/>
          <w:color w:val="000000"/>
          <w:kern w:val="0"/>
          <w:sz w:val="22"/>
          <w:szCs w:val="22"/>
          <w14:ligatures w14:val="none"/>
        </w:rPr>
        <w:t>95</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9</w:t>
      </w:r>
      <w:r w:rsidRPr="00511459">
        <w:rPr>
          <w:rFonts w:ascii="Times New Roman" w:eastAsia="Times New Roman" w:hAnsi="Times New Roman" w:cs="Times New Roman"/>
          <w:color w:val="000000"/>
          <w:kern w:val="0"/>
          <w:sz w:val="22"/>
          <w:szCs w:val="22"/>
          <w14:ligatures w14:val="none"/>
        </w:rPr>
        <w:t>%), compared with –5.</w:t>
      </w:r>
      <w:r>
        <w:rPr>
          <w:rFonts w:ascii="Times New Roman" w:eastAsia="Times New Roman" w:hAnsi="Times New Roman" w:cs="Times New Roman"/>
          <w:color w:val="000000"/>
          <w:kern w:val="0"/>
          <w:sz w:val="22"/>
          <w:szCs w:val="22"/>
          <w14:ligatures w14:val="none"/>
        </w:rPr>
        <w:t>32</w:t>
      </w:r>
      <w:r w:rsidRPr="00511459">
        <w:rPr>
          <w:rFonts w:ascii="Times New Roman" w:eastAsia="Times New Roman" w:hAnsi="Times New Roman" w:cs="Times New Roman"/>
          <w:color w:val="000000"/>
          <w:kern w:val="0"/>
          <w:sz w:val="22"/>
          <w:szCs w:val="22"/>
          <w14:ligatures w14:val="none"/>
        </w:rPr>
        <w:t xml:space="preserve"> dB for MRF (95% CI: –7.</w:t>
      </w:r>
      <w:r>
        <w:rPr>
          <w:rFonts w:ascii="Times New Roman" w:eastAsia="Times New Roman" w:hAnsi="Times New Roman" w:cs="Times New Roman"/>
          <w:color w:val="000000"/>
          <w:kern w:val="0"/>
          <w:sz w:val="22"/>
          <w:szCs w:val="22"/>
          <w14:ligatures w14:val="none"/>
        </w:rPr>
        <w:t>17</w:t>
      </w:r>
      <w:r w:rsidRPr="00511459">
        <w:rPr>
          <w:rFonts w:ascii="Times New Roman" w:eastAsia="Times New Roman" w:hAnsi="Times New Roman" w:cs="Times New Roman"/>
          <w:color w:val="000000"/>
          <w:kern w:val="0"/>
          <w:sz w:val="22"/>
          <w:szCs w:val="22"/>
          <w14:ligatures w14:val="none"/>
        </w:rPr>
        <w:t xml:space="preserve"> to –3.</w:t>
      </w:r>
      <w:r>
        <w:rPr>
          <w:rFonts w:ascii="Times New Roman" w:eastAsia="Times New Roman" w:hAnsi="Times New Roman" w:cs="Times New Roman"/>
          <w:color w:val="000000"/>
          <w:kern w:val="0"/>
          <w:sz w:val="22"/>
          <w:szCs w:val="22"/>
          <w14:ligatures w14:val="none"/>
        </w:rPr>
        <w:t>47</w:t>
      </w:r>
      <w:r w:rsidRPr="00511459">
        <w:rPr>
          <w:rFonts w:ascii="Times New Roman" w:eastAsia="Times New Roman" w:hAnsi="Times New Roman" w:cs="Times New Roman"/>
          <w:color w:val="000000"/>
          <w:kern w:val="0"/>
          <w:sz w:val="22"/>
          <w:szCs w:val="22"/>
          <w14:ligatures w14:val="none"/>
        </w:rPr>
        <w:t>; I² = 9</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xml:space="preserve">%). The pooled mean difference was </w:t>
      </w:r>
      <w:r>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2.</w:t>
      </w:r>
      <w:r>
        <w:rPr>
          <w:rFonts w:ascii="Times New Roman" w:eastAsia="Times New Roman" w:hAnsi="Times New Roman" w:cs="Times New Roman"/>
          <w:color w:val="000000"/>
          <w:kern w:val="0"/>
          <w:sz w:val="22"/>
          <w:szCs w:val="22"/>
          <w14:ligatures w14:val="none"/>
        </w:rPr>
        <w:t>08</w:t>
      </w:r>
      <w:r w:rsidRPr="00511459">
        <w:rPr>
          <w:rFonts w:ascii="Times New Roman" w:eastAsia="Times New Roman" w:hAnsi="Times New Roman" w:cs="Times New Roman"/>
          <w:color w:val="000000"/>
          <w:kern w:val="0"/>
          <w:sz w:val="22"/>
          <w:szCs w:val="22"/>
          <w14:ligatures w14:val="none"/>
        </w:rPr>
        <w:t xml:space="preserve"> dB (MRF less negative) (95% CI: 1.4</w:t>
      </w:r>
      <w:r>
        <w:rPr>
          <w:rFonts w:ascii="Times New Roman" w:eastAsia="Times New Roman" w:hAnsi="Times New Roman" w:cs="Times New Roman"/>
          <w:color w:val="000000"/>
          <w:kern w:val="0"/>
          <w:sz w:val="22"/>
          <w:szCs w:val="22"/>
          <w14:ligatures w14:val="none"/>
        </w:rPr>
        <w:t>3</w:t>
      </w:r>
      <w:r w:rsidRPr="00511459">
        <w:rPr>
          <w:rFonts w:ascii="Times New Roman" w:eastAsia="Times New Roman" w:hAnsi="Times New Roman" w:cs="Times New Roman"/>
          <w:color w:val="000000"/>
          <w:kern w:val="0"/>
          <w:sz w:val="22"/>
          <w:szCs w:val="22"/>
          <w14:ligatures w14:val="none"/>
        </w:rPr>
        <w:t>–2.</w:t>
      </w:r>
      <w:r>
        <w:rPr>
          <w:rFonts w:ascii="Times New Roman" w:eastAsia="Times New Roman" w:hAnsi="Times New Roman" w:cs="Times New Roman"/>
          <w:color w:val="000000"/>
          <w:kern w:val="0"/>
          <w:sz w:val="22"/>
          <w:szCs w:val="22"/>
          <w14:ligatures w14:val="none"/>
        </w:rPr>
        <w:t>73</w:t>
      </w:r>
      <w:r w:rsidRPr="00511459">
        <w:rPr>
          <w:rFonts w:ascii="Times New Roman" w:eastAsia="Times New Roman" w:hAnsi="Times New Roman" w:cs="Times New Roman"/>
          <w:color w:val="000000"/>
          <w:kern w:val="0"/>
          <w:sz w:val="22"/>
          <w:szCs w:val="22"/>
          <w14:ligatures w14:val="none"/>
        </w:rPr>
        <w:t>; I² = 6</w:t>
      </w:r>
      <w:r>
        <w:rPr>
          <w:rFonts w:ascii="Times New Roman" w:eastAsia="Times New Roman" w:hAnsi="Times New Roman" w:cs="Times New Roman"/>
          <w:color w:val="000000"/>
          <w:kern w:val="0"/>
          <w:sz w:val="22"/>
          <w:szCs w:val="22"/>
          <w14:ligatures w14:val="none"/>
        </w:rPr>
        <w:t>1</w:t>
      </w:r>
      <w:r w:rsidRPr="00511459">
        <w:rPr>
          <w:rFonts w:ascii="Times New Roman" w:eastAsia="Times New Roman" w:hAnsi="Times New Roman" w:cs="Times New Roman"/>
          <w:color w:val="000000"/>
          <w:kern w:val="0"/>
          <w:sz w:val="22"/>
          <w:szCs w:val="22"/>
          <w14:ligatures w14:val="none"/>
        </w:rPr>
        <w:t>.4</w:t>
      </w:r>
      <w:r w:rsidR="00E67D72" w:rsidRPr="00511459">
        <w:rPr>
          <w:rFonts w:ascii="Times New Roman" w:eastAsia="Times New Roman" w:hAnsi="Times New Roman" w:cs="Times New Roman"/>
          <w:color w:val="000000"/>
          <w:kern w:val="0"/>
          <w:sz w:val="22"/>
          <w:szCs w:val="22"/>
          <w14:ligatures w14:val="none"/>
        </w:rPr>
        <w:t>%) (</w:t>
      </w:r>
      <w:r w:rsidRPr="00511459">
        <w:rPr>
          <w:rFonts w:ascii="Times New Roman" w:eastAsia="Times New Roman" w:hAnsi="Times New Roman" w:cs="Times New Roman"/>
          <w:color w:val="000000"/>
          <w:kern w:val="0"/>
          <w:sz w:val="22"/>
          <w:szCs w:val="22"/>
          <w14:ligatures w14:val="none"/>
        </w:rPr>
        <w:t xml:space="preserve">Figure </w:t>
      </w:r>
      <w:r w:rsidR="00A5435C">
        <w:rPr>
          <w:rFonts w:ascii="Times New Roman" w:eastAsia="Times New Roman" w:hAnsi="Times New Roman" w:cs="Times New Roman"/>
          <w:color w:val="000000"/>
          <w:kern w:val="0"/>
          <w:sz w:val="22"/>
          <w:szCs w:val="22"/>
          <w14:ligatures w14:val="none"/>
        </w:rPr>
        <w:t>2).</w:t>
      </w:r>
    </w:p>
    <w:p w14:paraId="5E5B3FD8"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6DAD1EFA"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PSD/PD</w:t>
      </w:r>
    </w:p>
    <w:p w14:paraId="258A5109" w14:textId="2B76687D"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Eight </w:t>
      </w:r>
      <w:r w:rsidRPr="00511459">
        <w:rPr>
          <w:rFonts w:ascii="Times New Roman" w:eastAsia="Times New Roman" w:hAnsi="Times New Roman" w:cs="Times New Roman"/>
          <w:color w:val="000000"/>
          <w:kern w:val="0"/>
          <w:sz w:val="22"/>
          <w:szCs w:val="22"/>
          <w14:ligatures w14:val="none"/>
        </w:rPr>
        <w:t xml:space="preserve">studies reported </w:t>
      </w:r>
      <w:r>
        <w:rPr>
          <w:rFonts w:ascii="Times New Roman" w:eastAsia="Times New Roman" w:hAnsi="Times New Roman" w:cs="Times New Roman"/>
          <w:color w:val="000000"/>
          <w:kern w:val="0"/>
          <w:sz w:val="22"/>
          <w:szCs w:val="22"/>
          <w14:ligatures w14:val="none"/>
        </w:rPr>
        <w:t>PD/PSD, aggregating information from 692 eyes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uEu15YQF","properties":{"formattedCitation":"(12,14,15,26\\uc0\\u8211{}30)","plainCitation":"(12,14,15,26–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Xiang"}],"issued":{"date-parts":[["2022",7,25]]}},"locator":"20"},{"id":1020,"uris":["http://zotero.org/users/15549944/items/UCHYBAMG"],"itemData":{"id":1020,"type":"article-journal","container-title":"American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L"}],"issued":{"date-parts":[["2018"]]}}},{"id":488,"uris":["http://zotero.org/users/15549944/items/66G2EC44"],"itemData":{"id":488,"type":"article-journal","abstract":"Purpose. To compare visual field results obtained using Melbourne Rapid Fields (MRF) iPad-based perimeter software and Humphrey Field Analyzer (HFA) 24-2 Swedish Interactive Threshold Algorithm (SITA) standard program in glaucoma patients. Design. A cross-sectional observational study. Methods. In this single-centre study involving patients diagnosed with glaucoma, the perimetric outcomes of MRF were compared against those returned from the HFA 24-2 SITA standard. Outcomes included mean deviation (MD), pattern standard deviation (PSD), visual field index (VFI)/visual capacity (VC), foveal threshold, test time, number of points depressed at P &lt; 5% on PSD probability plot, and glaucoma hemifield test/color coded indicator. Results. The study included 28 eyes of 28 glaucoma patients. Mean (standard deviation) test times were 342.07 (56.70) seconds for MRF and 375.11 (88.95) for HFA 24-2 SITA standard (P = 0.046). Mean MD was significantly lower for MRF (Δ = 3.09, P &lt; 0.001), and mean PSD was significantly higher for MRF (Δ = 1.40, P = 0.005) compared with HFA. The mean foveal threshold for the MRF was significantly lower than the mean HFA foveal threshold ((Δ = 9.25, P &lt; 0.001). The number of points depressed at P &lt; 5% on the PSD probability plot was significantly less for MRF (P &lt; 0.001). Other perimetric outcomes showed no significant differences between both. Bland–Altman plots showed that considerable variability existed between the programs. Conclusion. MRF is a good cost-effective, time-saving, user-friendly tool for monitoring visual fields in settings where access to traditional perimetry is limited. The lack of Internet strength in rural areas and questionable detection of early cases may be two points in MRF fields requiring an upgrade.","container-title":"Journal of Ophthalmology","DOI":"10.1155/2020/8384509","ISSN":"2090-0058","issue":"1","language":"en","license":"Copyright © 2020 Harsh Kumar and Mithun Thulasidas.","note":"_eprint: https://onlinelibrary.wiley.com/doi/pdf/10.1155/2020/8384509","page":"8384509","source":"Wiley Online Library","title":"Comparison of Perimetric Outcomes from Melbourne Rapid Fields Tablet Perimeter Software and Humphrey Field Analyzer in Glaucoma Patients","volume":"2020","author":[{"family":"Kumar","given":"Harsh"},{"family":"Thulasidas","given":"Mithun"}],"issued":{"date-parts":[["2020"]]}}},{"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J."}],"issued":{"date-parts":[["2021",3,1]]}}},{"id":514,"uris":["http://zotero.org/users/15549944/items/8VTVJ5Q6"],"itemData":{"id":514,"type":"article-journal","abstract":"Purpose: To investigate the performance of the Melbourne Rapid Fields (MRF) for use in clinic-based visual ﬁeld testing in a low-resource setting. Design: Prospective cross-sectional study. Participants: One hundred and three participants (66 patients with glaucoma and 37 control participants) attending a clinical appointment at the Tema Eye Center, Tema, Ghana.\nMethods: Patients with glaucoma and control participants underwent MRF and Humphrey Field Analyzer (HFA) testing. Main Outcome Measures: Mean deviation (MD), pattern standard deviation (PSD), reliability parameters, sensitivity, speciﬁcity, and area under the receiver operating characteristic curve.\nResults: Mean MD was less negative and mean PSD was more positive on the MRF than the HFA in both groups (all P &lt; 0.001). False-positive and false-negative rates were comparable between methods (P ¼ 0.09 and P ¼ 0.35, respectively). In patients with glaucoma, MD and PSD from the 2 devices were correlated strongly (r ¼ 0.84; P &lt; 0.001) and moderately (r ¼ 0.61; P &lt; 0.001), respectively. Agreement analysis revealed that MRF tended to generate signiﬁcantly higher MD (bias, 3.3 4.1 dB; P ¼ 0.03) and PSD (bias, 1.9 2.8 dB; P ¼ 0.03) with wide limits of agreement. For detecting moderate to advanced glaucoma, the sensitivity was 60.9% for the MRF and 78.3% for the HFA (P ¼ 0.10); respective speciﬁcities were 86.5% and 83.8% (P ¼ 0.76).\nConclusions: The MRF underestimated MD and overestimated PSD values compared with the HFA. Agreement biases were signiﬁcant, suggesting a weak agreement between the 2 devices. However, the MRF showed potential for screening in a low-resource setting, particularly for detecting moderate to advanced glaucoma. Ophthalmology Glaucoma 2022;5:275-283 Published by Elsevier Inc. on behalf of the American Academy of Ophthalmology","container-title":"Ophthalmology Glaucoma","DOI":"10.1016/j.ogla.2021.09.002","ISSN":"25894196","issue":"3","journalAbbreviation":"Ophthalmology Glaucoma","language":"en","page":"275-283","source":"DOI.org (Crossref)","title":"Glaucoma Screening Using an iPad-Based Visual Field Test in a West African Population","volume":"5","author":[{"family":"Prince","given":"Jamie"},{"family":"Thompson","given":"Atalie"},{"family":"Mwanza","given":"Jean-Claude"},{"family":"Tolleson-Rinehart","given":"Sue"},{"family":"Budenz","given":"Donald L."}],"issued":{"date-parts":[["2022",5]]}}},{"id":981,"uris":["http://zotero.org/users/15549944/items/M2J66U39"],"itemData":{"id":981,"type":"article-journal","abstract":"PURPOSE: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2C159E">
        <w:rPr>
          <w:rFonts w:ascii="Times New Roman" w:hAnsi="Times New Roman" w:cs="Times New Roman"/>
          <w:color w:val="000000"/>
          <w:kern w:val="0"/>
          <w:sz w:val="22"/>
          <w:lang w:val="en-US"/>
        </w:rPr>
        <w:t>(12,14,15,26–30)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PSD for HFA was 5.</w:t>
      </w:r>
      <w:r>
        <w:rPr>
          <w:rFonts w:ascii="Times New Roman" w:eastAsia="Times New Roman" w:hAnsi="Times New Roman" w:cs="Times New Roman"/>
          <w:color w:val="000000"/>
          <w:kern w:val="0"/>
          <w:sz w:val="22"/>
          <w:szCs w:val="22"/>
          <w14:ligatures w14:val="none"/>
        </w:rPr>
        <w:t>55</w:t>
      </w:r>
      <w:r w:rsidRPr="00511459">
        <w:rPr>
          <w:rFonts w:ascii="Times New Roman" w:eastAsia="Times New Roman" w:hAnsi="Times New Roman" w:cs="Times New Roman"/>
          <w:color w:val="000000"/>
          <w:kern w:val="0"/>
          <w:sz w:val="22"/>
          <w:szCs w:val="22"/>
          <w14:ligatures w14:val="none"/>
        </w:rPr>
        <w:t xml:space="preserve"> dB (95% CI: 4.</w:t>
      </w:r>
      <w:r>
        <w:rPr>
          <w:rFonts w:ascii="Times New Roman" w:eastAsia="Times New Roman" w:hAnsi="Times New Roman" w:cs="Times New Roman"/>
          <w:color w:val="000000"/>
          <w:kern w:val="0"/>
          <w:sz w:val="22"/>
          <w:szCs w:val="22"/>
          <w14:ligatures w14:val="none"/>
        </w:rPr>
        <w:t>28</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6</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28</w:t>
      </w:r>
      <w:r w:rsidRPr="00511459">
        <w:rPr>
          <w:rFonts w:ascii="Times New Roman" w:eastAsia="Times New Roman" w:hAnsi="Times New Roman" w:cs="Times New Roman"/>
          <w:color w:val="000000"/>
          <w:kern w:val="0"/>
          <w:sz w:val="22"/>
          <w:szCs w:val="22"/>
          <w14:ligatures w14:val="none"/>
        </w:rPr>
        <w:t>; I² = 9</w:t>
      </w:r>
      <w:r>
        <w:rPr>
          <w:rFonts w:ascii="Times New Roman" w:eastAsia="Times New Roman" w:hAnsi="Times New Roman" w:cs="Times New Roman"/>
          <w:color w:val="000000"/>
          <w:kern w:val="0"/>
          <w:sz w:val="22"/>
          <w:szCs w:val="22"/>
          <w14:ligatures w14:val="none"/>
        </w:rPr>
        <w:t>6</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 compared with 6.</w:t>
      </w:r>
      <w:r>
        <w:rPr>
          <w:rFonts w:ascii="Times New Roman" w:eastAsia="Times New Roman" w:hAnsi="Times New Roman" w:cs="Times New Roman"/>
          <w:color w:val="000000"/>
          <w:kern w:val="0"/>
          <w:sz w:val="22"/>
          <w:szCs w:val="22"/>
          <w14:ligatures w14:val="none"/>
        </w:rPr>
        <w:t>2</w:t>
      </w:r>
      <w:r w:rsidRPr="00511459">
        <w:rPr>
          <w:rFonts w:ascii="Times New Roman" w:eastAsia="Times New Roman" w:hAnsi="Times New Roman" w:cs="Times New Roman"/>
          <w:color w:val="000000"/>
          <w:kern w:val="0"/>
          <w:sz w:val="22"/>
          <w:szCs w:val="22"/>
          <w14:ligatures w14:val="none"/>
        </w:rPr>
        <w:t>9 dB for MRF (95% CI: 5.</w:t>
      </w:r>
      <w:r>
        <w:rPr>
          <w:rFonts w:ascii="Times New Roman" w:eastAsia="Times New Roman" w:hAnsi="Times New Roman" w:cs="Times New Roman"/>
          <w:color w:val="000000"/>
          <w:kern w:val="0"/>
          <w:sz w:val="22"/>
          <w:szCs w:val="22"/>
          <w14:ligatures w14:val="none"/>
        </w:rPr>
        <w:t>37</w:t>
      </w:r>
      <w:r w:rsidRPr="00511459">
        <w:rPr>
          <w:rFonts w:ascii="Times New Roman" w:eastAsia="Times New Roman" w:hAnsi="Times New Roman" w:cs="Times New Roman"/>
          <w:color w:val="000000"/>
          <w:kern w:val="0"/>
          <w:sz w:val="22"/>
          <w:szCs w:val="22"/>
          <w14:ligatures w14:val="none"/>
        </w:rPr>
        <w:t>–7.</w:t>
      </w:r>
      <w:r>
        <w:rPr>
          <w:rFonts w:ascii="Times New Roman" w:eastAsia="Times New Roman" w:hAnsi="Times New Roman" w:cs="Times New Roman"/>
          <w:color w:val="000000"/>
          <w:kern w:val="0"/>
          <w:sz w:val="22"/>
          <w:szCs w:val="22"/>
          <w14:ligatures w14:val="none"/>
        </w:rPr>
        <w:t>22</w:t>
      </w:r>
      <w:r w:rsidRPr="00511459">
        <w:rPr>
          <w:rFonts w:ascii="Times New Roman" w:eastAsia="Times New Roman" w:hAnsi="Times New Roman" w:cs="Times New Roman"/>
          <w:color w:val="000000"/>
          <w:kern w:val="0"/>
          <w:sz w:val="22"/>
          <w:szCs w:val="22"/>
          <w14:ligatures w14:val="none"/>
        </w:rPr>
        <w:t xml:space="preserve">; I² = </w:t>
      </w:r>
      <w:r>
        <w:rPr>
          <w:rFonts w:ascii="Times New Roman" w:eastAsia="Times New Roman" w:hAnsi="Times New Roman" w:cs="Times New Roman"/>
          <w:color w:val="000000"/>
          <w:kern w:val="0"/>
          <w:sz w:val="22"/>
          <w:szCs w:val="22"/>
          <w14:ligatures w14:val="none"/>
        </w:rPr>
        <w:t>91</w:t>
      </w:r>
      <w:r w:rsidRPr="00511459">
        <w:rPr>
          <w:rFonts w:ascii="Times New Roman" w:eastAsia="Times New Roman" w:hAnsi="Times New Roman" w:cs="Times New Roman"/>
          <w:color w:val="000000"/>
          <w:kern w:val="0"/>
          <w:sz w:val="22"/>
          <w:szCs w:val="22"/>
          <w14:ligatures w14:val="none"/>
        </w:rPr>
        <w:t xml:space="preserve">%). The pooled mean difference in PSD was </w:t>
      </w:r>
      <w:r>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0.</w:t>
      </w:r>
      <w:r>
        <w:rPr>
          <w:rFonts w:ascii="Times New Roman" w:eastAsia="Times New Roman" w:hAnsi="Times New Roman" w:cs="Times New Roman"/>
          <w:color w:val="000000"/>
          <w:kern w:val="0"/>
          <w:sz w:val="22"/>
          <w:szCs w:val="22"/>
          <w14:ligatures w14:val="none"/>
        </w:rPr>
        <w:t>77</w:t>
      </w:r>
      <w:r w:rsidRPr="00511459">
        <w:rPr>
          <w:rFonts w:ascii="Times New Roman" w:eastAsia="Times New Roman" w:hAnsi="Times New Roman" w:cs="Times New Roman"/>
          <w:color w:val="000000"/>
          <w:kern w:val="0"/>
          <w:sz w:val="22"/>
          <w:szCs w:val="22"/>
          <w14:ligatures w14:val="none"/>
        </w:rPr>
        <w:t xml:space="preserve"> dB (95% CI: </w:t>
      </w:r>
      <w:r>
        <w:rPr>
          <w:rFonts w:ascii="Times New Roman" w:eastAsia="Times New Roman" w:hAnsi="Times New Roman" w:cs="Times New Roman"/>
          <w:color w:val="000000"/>
          <w:kern w:val="0"/>
          <w:sz w:val="22"/>
          <w:szCs w:val="22"/>
          <w14:ligatures w14:val="none"/>
        </w:rPr>
        <w:t>0.11</w:t>
      </w:r>
      <w:r w:rsidRPr="00511459">
        <w:rPr>
          <w:rFonts w:ascii="Times New Roman" w:eastAsia="Times New Roman" w:hAnsi="Times New Roman" w:cs="Times New Roman"/>
          <w:color w:val="000000"/>
          <w:kern w:val="0"/>
          <w:sz w:val="22"/>
          <w:szCs w:val="22"/>
          <w14:ligatures w14:val="none"/>
        </w:rPr>
        <w:t>–1.</w:t>
      </w:r>
      <w:r>
        <w:rPr>
          <w:rFonts w:ascii="Times New Roman" w:eastAsia="Times New Roman" w:hAnsi="Times New Roman" w:cs="Times New Roman"/>
          <w:color w:val="000000"/>
          <w:kern w:val="0"/>
          <w:sz w:val="22"/>
          <w:szCs w:val="22"/>
          <w14:ligatures w14:val="none"/>
        </w:rPr>
        <w:t>44</w:t>
      </w:r>
      <w:r w:rsidRPr="00511459">
        <w:rPr>
          <w:rFonts w:ascii="Times New Roman" w:eastAsia="Times New Roman" w:hAnsi="Times New Roman" w:cs="Times New Roman"/>
          <w:color w:val="000000"/>
          <w:kern w:val="0"/>
          <w:sz w:val="22"/>
          <w:szCs w:val="22"/>
          <w14:ligatures w14:val="none"/>
        </w:rPr>
        <w:t>; I² = 93.</w:t>
      </w:r>
      <w:r>
        <w:rPr>
          <w:rFonts w:ascii="Times New Roman" w:eastAsia="Times New Roman" w:hAnsi="Times New Roman" w:cs="Times New Roman"/>
          <w:color w:val="000000"/>
          <w:kern w:val="0"/>
          <w:sz w:val="22"/>
          <w:szCs w:val="22"/>
          <w14:ligatures w14:val="none"/>
        </w:rPr>
        <w:t>3</w:t>
      </w:r>
      <w:r w:rsidRPr="00511459">
        <w:rPr>
          <w:rFonts w:ascii="Times New Roman" w:eastAsia="Times New Roman" w:hAnsi="Times New Roman" w:cs="Times New Roman"/>
          <w:color w:val="000000"/>
          <w:kern w:val="0"/>
          <w:sz w:val="22"/>
          <w:szCs w:val="22"/>
          <w14:ligatures w14:val="none"/>
        </w:rPr>
        <w:t>%) (Figure</w:t>
      </w:r>
      <w:r w:rsidR="00E67D72">
        <w:rPr>
          <w:rFonts w:ascii="Times New Roman" w:eastAsia="Times New Roman" w:hAnsi="Times New Roman" w:cs="Times New Roman"/>
          <w:color w:val="000000"/>
          <w:kern w:val="0"/>
          <w:sz w:val="22"/>
          <w:szCs w:val="22"/>
          <w14:ligatures w14:val="none"/>
        </w:rPr>
        <w:t xml:space="preserve"> </w:t>
      </w:r>
      <w:r w:rsidR="00D43462">
        <w:rPr>
          <w:rFonts w:ascii="Times New Roman" w:eastAsia="Times New Roman" w:hAnsi="Times New Roman" w:cs="Times New Roman"/>
          <w:color w:val="000000"/>
          <w:kern w:val="0"/>
          <w:sz w:val="22"/>
          <w:szCs w:val="22"/>
          <w14:ligatures w14:val="none"/>
        </w:rPr>
        <w:t>3</w:t>
      </w:r>
      <w:r w:rsidRPr="00511459">
        <w:rPr>
          <w:rFonts w:ascii="Times New Roman" w:eastAsia="Times New Roman" w:hAnsi="Times New Roman" w:cs="Times New Roman"/>
          <w:color w:val="000000"/>
          <w:kern w:val="0"/>
          <w:sz w:val="22"/>
          <w:szCs w:val="22"/>
          <w14:ligatures w14:val="none"/>
        </w:rPr>
        <w:t>).</w:t>
      </w:r>
    </w:p>
    <w:p w14:paraId="4653959E"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0F9FB5F4"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Agreement Analysis (Bland–Altman)</w:t>
      </w:r>
    </w:p>
    <w:p w14:paraId="7D140629" w14:textId="372097D9"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Six </w:t>
      </w:r>
      <w:r w:rsidRPr="00511459">
        <w:rPr>
          <w:rFonts w:ascii="Times New Roman" w:eastAsia="Times New Roman" w:hAnsi="Times New Roman" w:cs="Times New Roman"/>
          <w:color w:val="000000"/>
          <w:kern w:val="0"/>
          <w:sz w:val="22"/>
          <w:szCs w:val="22"/>
          <w14:ligatures w14:val="none"/>
        </w:rPr>
        <w:t>studies reported</w:t>
      </w:r>
      <w:r>
        <w:rPr>
          <w:rFonts w:ascii="Times New Roman" w:eastAsia="Times New Roman" w:hAnsi="Times New Roman" w:cs="Times New Roman"/>
          <w:color w:val="000000"/>
          <w:kern w:val="0"/>
          <w:sz w:val="22"/>
          <w:szCs w:val="22"/>
          <w14:ligatures w14:val="none"/>
        </w:rPr>
        <w:t xml:space="preserve"> agreement analysis and bias by Bland-Altman analysis, including data from 531 eyes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IoZUzHbQ","properties":{"formattedCitation":"(12,14,15,28\\uc0\\u8211{}30)","plainCitation":"(12,14,15,28–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J."}],"issued":{"date-parts":[["2018",6]]}},"locator":"20"},{"id":481,"uris":["http://zotero.org/users/15549944/items/8KZNUEKM"],"itemData":{"id":481,"type":"article-journal","container-title":"American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J."}],"issued":{"date-parts":[["2021",3,1]]}}},{"id":514,"uris":["http://zotero.org/users/15549944/items/8VTVJ5Q6"],"itemData":{"id":514,"type":"article-journal","abstract":"Purpose: To investigate the performance of the Melbourne Rapid Fields (MRF) for use in clinic-based visual ﬁeld testing in a low-resource setting. Design: Prospective cross-sectional study. Participants: One hundred and three participants (66 patients with glaucoma and 37 control participants) attending a clinical appointment at the Tema Eye Center, Tema, Ghana.\nMethods: Patients with glaucoma and control participants underwent MRF and Humphrey Field Analyzer (HFA) testing. Main Outcome Measures: Mean deviation (MD), pattern standard deviation (PSD), reliability parameters, sensitivity, speciﬁcity, and area under the receiver operating characteristic curve.\nResults: Mean MD was less negative and mean PSD was more positive on the MRF than the HFA in both groups (all P &lt; 0.001). False-positive and false-negative rates were comparable between methods (P ¼ 0.09 and P ¼ 0.35, respectively). In patients with glaucoma, MD and PSD from the 2 devices were correlated strongly (r ¼ 0.84; P &lt; 0.001) and moderately (r ¼ 0.61; P &lt; 0.001), respectively. Agreement analysis revealed that MRF tended to generate signiﬁcantly higher MD (bias, 3.3 4.1 dB; P ¼ 0.03) and PSD (bias, 1.9 2.8 dB; P ¼ 0.03) with wide limits of agreement. For detecting moderate to advanced glaucoma, the sensitivity was 60.9% for the MRF and 78.3% for the HFA (P ¼ 0.10); respective speciﬁcities were 86.5% and 83.8% (P ¼ 0.76).\nConclusions: The MRF underestimated MD and overestimated PSD values compared with the HFA. Agreement biases were signiﬁcant, suggesting a weak agreement between the 2 devices. However, the MRF showed potential for screening in a low-resource setting, particularly for detecting moderate to advanced glaucoma. Ophthalmology Glaucoma 2022;5:275-283 Published by Elsevier Inc. on behalf of the American Academy of Ophthalmology","container-title":"Ophthalmology Glaucoma","DOI":"10.1016/j.ogla.2021.09.002","ISSN":"25894196","issue":"3","journalAbbreviation":"Ophthalmology Glaucoma","language":"en","page":"275-283","source":"DOI.org (Crossref)","title":"Glaucoma Screening Using an iPad-Based Visual Field Test in a West African Population","volume":"5","author":[{"family":"Prince","given":"Jamie"},{"family":"Thompson","given":"Atalie"},{"family":"Mwanza","given":"Jean-Claude"},{"family":"Tolleson-Rinehart","given":"Sue"},{"family":"Budenz","given":"Donald L."}],"issued":{"date-parts":[["2022",5]]}}},{"id":981,"uris":["http://zotero.org/users/15549944/items/M2J66U39"],"itemData":{"id":981,"type":"article-journal","abstract":"PURPOSE: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2C159E">
        <w:rPr>
          <w:rFonts w:ascii="Times New Roman" w:hAnsi="Times New Roman" w:cs="Times New Roman"/>
          <w:color w:val="000000"/>
          <w:kern w:val="0"/>
          <w:sz w:val="22"/>
          <w:lang w:val="en-US"/>
        </w:rPr>
        <w:t>(12,14,15,28–30)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The pooled mean bias between MRF and </w:t>
      </w:r>
      <w:r w:rsidR="002A1FFE" w:rsidRPr="00511459">
        <w:rPr>
          <w:rFonts w:ascii="Times New Roman" w:eastAsia="Times New Roman" w:hAnsi="Times New Roman" w:cs="Times New Roman"/>
          <w:color w:val="000000"/>
          <w:kern w:val="0"/>
          <w:sz w:val="22"/>
          <w:szCs w:val="22"/>
          <w14:ligatures w14:val="none"/>
        </w:rPr>
        <w:t>HFA</w:t>
      </w:r>
      <w:r w:rsidR="002A1FFE">
        <w:rPr>
          <w:rFonts w:ascii="Times New Roman" w:eastAsia="Times New Roman" w:hAnsi="Times New Roman" w:cs="Times New Roman"/>
          <w:color w:val="000000"/>
          <w:kern w:val="0"/>
          <w:sz w:val="22"/>
          <w:szCs w:val="22"/>
          <w14:ligatures w14:val="none"/>
        </w:rPr>
        <w:t xml:space="preserve"> </w:t>
      </w:r>
      <w:r w:rsidR="002A1FFE" w:rsidRPr="00511459">
        <w:rPr>
          <w:rFonts w:ascii="Times New Roman" w:eastAsia="Times New Roman" w:hAnsi="Times New Roman" w:cs="Times New Roman"/>
          <w:color w:val="000000"/>
          <w:kern w:val="0"/>
          <w:sz w:val="22"/>
          <w:szCs w:val="22"/>
          <w14:ligatures w14:val="none"/>
        </w:rPr>
        <w:t>for</w:t>
      </w:r>
      <w:r w:rsidRPr="00511459">
        <w:rPr>
          <w:rFonts w:ascii="Times New Roman" w:eastAsia="Times New Roman" w:hAnsi="Times New Roman" w:cs="Times New Roman"/>
          <w:color w:val="000000"/>
          <w:kern w:val="0"/>
          <w:sz w:val="22"/>
          <w:szCs w:val="22"/>
          <w14:ligatures w14:val="none"/>
        </w:rPr>
        <w:t xml:space="preserve"> MD was –</w:t>
      </w:r>
      <w:r w:rsidRPr="00137C1C">
        <w:rPr>
          <w:rFonts w:ascii="Times New Roman" w:eastAsia="Times New Roman" w:hAnsi="Times New Roman" w:cs="Times New Roman"/>
          <w:color w:val="000000"/>
          <w:kern w:val="0"/>
          <w:sz w:val="22"/>
          <w:szCs w:val="22"/>
          <w14:ligatures w14:val="none"/>
        </w:rPr>
        <w:t xml:space="preserve">2.04 </w:t>
      </w:r>
      <w:r w:rsidRPr="00511459">
        <w:rPr>
          <w:rFonts w:ascii="Times New Roman" w:eastAsia="Times New Roman" w:hAnsi="Times New Roman" w:cs="Times New Roman"/>
          <w:color w:val="000000"/>
          <w:kern w:val="0"/>
          <w:sz w:val="22"/>
          <w:szCs w:val="22"/>
          <w14:ligatures w14:val="none"/>
        </w:rPr>
        <w:t>dB</w:t>
      </w:r>
      <w:r>
        <w:rPr>
          <w:rFonts w:ascii="Times New Roman" w:eastAsia="Times New Roman" w:hAnsi="Times New Roman" w:cs="Times New Roman"/>
          <w:color w:val="000000"/>
          <w:kern w:val="0"/>
          <w:sz w:val="22"/>
          <w:szCs w:val="22"/>
          <w14:ligatures w14:val="none"/>
        </w:rPr>
        <w:t xml:space="preserve"> </w:t>
      </w:r>
      <w:r w:rsidRPr="00F9302D">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t>2.</w:t>
      </w:r>
      <w:r>
        <w:rPr>
          <w:rFonts w:ascii="Times New Roman" w:eastAsia="Times New Roman" w:hAnsi="Times New Roman" w:cs="Times New Roman"/>
          <w:color w:val="000000"/>
          <w:kern w:val="0"/>
          <w:sz w:val="22"/>
          <w:szCs w:val="22"/>
          <w14:ligatures w14:val="none"/>
        </w:rPr>
        <w:t>5dB</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(HFA </w:t>
      </w:r>
      <w:r w:rsidR="006664BD" w:rsidRPr="00511459">
        <w:rPr>
          <w:rFonts w:ascii="Times New Roman" w:eastAsia="Times New Roman" w:hAnsi="Times New Roman" w:cs="Times New Roman"/>
          <w:color w:val="000000"/>
          <w:kern w:val="0"/>
          <w:sz w:val="22"/>
          <w:szCs w:val="22"/>
          <w14:ligatures w14:val="none"/>
        </w:rPr>
        <w:t>–</w:t>
      </w:r>
      <w:r w:rsidR="006664BD">
        <w:rPr>
          <w:rFonts w:ascii="Times New Roman" w:eastAsia="Times New Roman" w:hAnsi="Times New Roman" w:cs="Times New Roman"/>
          <w:color w:val="000000"/>
          <w:kern w:val="0"/>
          <w:sz w:val="22"/>
          <w:szCs w:val="22"/>
          <w14:ligatures w14:val="none"/>
        </w:rPr>
        <w:t xml:space="preserve"> MRF</w:t>
      </w:r>
      <w:r>
        <w:rPr>
          <w:rFonts w:ascii="Times New Roman" w:eastAsia="Times New Roman" w:hAnsi="Times New Roman" w:cs="Times New Roman"/>
          <w:color w:val="000000"/>
          <w:kern w:val="0"/>
          <w:sz w:val="22"/>
          <w:szCs w:val="22"/>
          <w14:ligatures w14:val="none"/>
        </w:rPr>
        <w:t xml:space="preserve">; meaning </w:t>
      </w:r>
      <w:r w:rsidRPr="00511459">
        <w:rPr>
          <w:rFonts w:ascii="Times New Roman" w:eastAsia="Times New Roman" w:hAnsi="Times New Roman" w:cs="Times New Roman"/>
          <w:color w:val="000000"/>
          <w:kern w:val="0"/>
          <w:sz w:val="22"/>
          <w:szCs w:val="22"/>
          <w14:ligatures w14:val="none"/>
        </w:rPr>
        <w:t xml:space="preserve">MRF </w:t>
      </w:r>
      <w:r>
        <w:rPr>
          <w:rFonts w:ascii="Times New Roman" w:eastAsia="Times New Roman" w:hAnsi="Times New Roman" w:cs="Times New Roman"/>
          <w:color w:val="000000"/>
          <w:kern w:val="0"/>
          <w:sz w:val="22"/>
          <w:szCs w:val="22"/>
          <w14:ligatures w14:val="none"/>
        </w:rPr>
        <w:t xml:space="preserve">was </w:t>
      </w:r>
      <w:r w:rsidRPr="00511459">
        <w:rPr>
          <w:rFonts w:ascii="Times New Roman" w:eastAsia="Times New Roman" w:hAnsi="Times New Roman" w:cs="Times New Roman"/>
          <w:color w:val="000000"/>
          <w:kern w:val="0"/>
          <w:sz w:val="22"/>
          <w:szCs w:val="22"/>
          <w14:ligatures w14:val="none"/>
        </w:rPr>
        <w:t>less negative). The pooled 95% limits of agreement ranged from –6.</w:t>
      </w:r>
      <w:r>
        <w:rPr>
          <w:rFonts w:ascii="Times New Roman" w:eastAsia="Times New Roman" w:hAnsi="Times New Roman" w:cs="Times New Roman"/>
          <w:color w:val="000000"/>
          <w:kern w:val="0"/>
          <w:sz w:val="22"/>
          <w:szCs w:val="22"/>
          <w14:ligatures w14:val="none"/>
        </w:rPr>
        <w:t>96</w:t>
      </w:r>
      <w:r w:rsidRPr="00511459">
        <w:rPr>
          <w:rFonts w:ascii="Times New Roman" w:eastAsia="Times New Roman" w:hAnsi="Times New Roman" w:cs="Times New Roman"/>
          <w:color w:val="000000"/>
          <w:kern w:val="0"/>
          <w:sz w:val="22"/>
          <w:szCs w:val="22"/>
          <w14:ligatures w14:val="none"/>
        </w:rPr>
        <w:t>dB to +2.</w:t>
      </w:r>
      <w:r>
        <w:rPr>
          <w:rFonts w:ascii="Times New Roman" w:eastAsia="Times New Roman" w:hAnsi="Times New Roman" w:cs="Times New Roman"/>
          <w:color w:val="000000"/>
          <w:kern w:val="0"/>
          <w:sz w:val="22"/>
          <w:szCs w:val="22"/>
          <w14:ligatures w14:val="none"/>
        </w:rPr>
        <w:t>87</w:t>
      </w:r>
      <w:r w:rsidRPr="00511459">
        <w:rPr>
          <w:rFonts w:ascii="Times New Roman" w:eastAsia="Times New Roman" w:hAnsi="Times New Roman" w:cs="Times New Roman"/>
          <w:color w:val="000000"/>
          <w:kern w:val="0"/>
          <w:sz w:val="22"/>
          <w:szCs w:val="22"/>
          <w14:ligatures w14:val="none"/>
        </w:rPr>
        <w:t>dB.</w:t>
      </w:r>
    </w:p>
    <w:p w14:paraId="043D5FC4" w14:textId="77777777" w:rsidR="006856C6" w:rsidRPr="00511459" w:rsidRDefault="006856C6" w:rsidP="006856C6">
      <w:pPr>
        <w:spacing w:after="0" w:line="240" w:lineRule="auto"/>
        <w:jc w:val="both"/>
        <w:outlineLvl w:val="2"/>
        <w:rPr>
          <w:rFonts w:ascii="Times New Roman" w:eastAsia="Times New Roman" w:hAnsi="Times New Roman" w:cs="Times New Roman"/>
          <w:b/>
          <w:bCs/>
          <w:color w:val="000000"/>
          <w:kern w:val="0"/>
          <w:sz w:val="22"/>
          <w:szCs w:val="22"/>
          <w14:ligatures w14:val="none"/>
        </w:rPr>
      </w:pPr>
    </w:p>
    <w:p w14:paraId="418F81E6"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Correlation and Concordance</w:t>
      </w:r>
    </w:p>
    <w:p w14:paraId="39772807" w14:textId="1D0F3255"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Six</w:t>
      </w:r>
      <w:r w:rsidRPr="00511459">
        <w:rPr>
          <w:rFonts w:ascii="Times New Roman" w:eastAsia="Times New Roman" w:hAnsi="Times New Roman" w:cs="Times New Roman"/>
          <w:color w:val="000000"/>
          <w:kern w:val="0"/>
          <w:sz w:val="22"/>
          <w:szCs w:val="22"/>
          <w14:ligatures w14:val="none"/>
        </w:rPr>
        <w:t xml:space="preserve"> studies reported</w:t>
      </w:r>
      <w:r>
        <w:rPr>
          <w:rFonts w:ascii="Times New Roman" w:eastAsia="Times New Roman" w:hAnsi="Times New Roman" w:cs="Times New Roman"/>
          <w:color w:val="000000"/>
          <w:kern w:val="0"/>
          <w:sz w:val="22"/>
          <w:szCs w:val="22"/>
          <w14:ligatures w14:val="none"/>
        </w:rPr>
        <w:t xml:space="preserve"> the correlation and concordance (expressed as R-squared and ICC) of MD obtained by MRF and HFA, aggregating data of 555 eyes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v9gIWTdL","properties":{"formattedCitation":"(12,14,15,26,28,31)","plainCitation":"(12,14,15,26,28,31)","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L"}],"issued":{"date-parts":[["2018"]]}},"locator":"20"},{"id":481,"uris":["http://zotero.org/users/15549944/items/8KZNUEKM"],"itemData":{"id":481,"type":"article-journal","container-title":"American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J."}],"issued":{"date-parts":[["2021",3,1]]}}},{"id":501,"uris":["http://zotero.org/users/15549944/items/V2FWTJLD"],"itemData":{"id":501,"type":"article-journal","abstract":"Purpose\nThe tablet-based Melbourne Rapid Fields (MRF) visual field (VF) test and the IMOvifa Smart Visual Function Analyzer (SVFA) are portable perimeters that may allow for at-home monitoring and more frequent testing. We compared tablet and SVFA results with outputs from the Humphrey Field Analyzer (HFA) 24-2 Swedish Interactive Threshold Algorithm Standard program.\nDesign\nObservational cross-sectional study.\nSubjects\nAdult participants with a diagnosis of glaucoma, suspected glaucoma, or ocular hypertension seen in the Massachusetts Eye and Ear glaucoma clinic were enrolled. All participants were reliable and experienced HFA testers.\nMethods\nParticipants were tested with the SVFA and HFA. The study staff also trained participants on the MRF tablet with instructions to take weekly tests at home for 3 months. Visual field results from the 3 devices were compared.\nMain Outcome Measures\nMean deviation (MD), pattern standard deviation (PSD), reliability parameters, and point sensitivity.\nResults\nOverall, 79 participants (133 eyes) with a mean age of 61 ± 13 years (range, 26–79 years) were included; 59% of the participants were female, and the mean HFA MD was −2.7 ± 3.9 dB. The global indices of MD and PSD did not significantly vary between HFA and the 2 novel devices, except that the tablet VF reported a 0.6 dB higher PSD compared with HFA. However, tablet and SVFA sensitivities significantly differed from those of the HFA at 36 and 39 locations, respectively, out of 52 locations. Relative to HFA, the tablet overestimated light sensitivity in the nasal field while underestimating the temporal field. The SVFA generally underestimated light sensitivity, but its results were more similar to HFA results compared with the tablet.\nConclusions\nAlthough average MD values from the 2 novel devices suggest that they provide similar results to the HFA, point-by-point comparisons highlight notable deviations. Differences in specific point sensitivity values were significant, especially between the tablet and the other 2 devices. These differences may in part be explained by differences in the devices' normative databases as well as how MD is calculated. However, the tablet had substantial differences based on location, indicating that the tablet design itself may be responsible for differences in local sensitivities.\nFinancial Disclosure(s)\nProprietary or commercial disclosure may be found in the Footnotes and Disclosures at the end of this article.","container-title":"Ophthalmology Glaucoma","DOI":"10.1016/j.ogla.2023.03.001","ISSN":"2589-4196","issue":"5","journalAbbreviation":"Ophthalmology Glaucoma","page":"509-520","source":"ScienceDirect","title":"Comparison of Perimetric Outcomes from a Tablet Perimeter, Smart Visual Function Analyzer, and Humphrey Field Analyzer","volume":"6","author":[{"family":"Kang","given":"Joyce"},{"family":"De Arrigunaga","given":"Sofia"},{"family":"Freeman","given":"Sandra E."},{"family":"Zhao","given":"Yan"},{"family":"Lin","given":"Michael"},{"family":"Liebman","given":"Daniel L."},{"family":"Roldan","given":"Ana M."},{"family":"Kim","given":"Julia A."},{"family":"Chang","given":"Dolly S."},{"family":"Friedman","given":"David S."},{"family":"Elze","given":"Tobias"}],"issued":{"date-parts":[["2023",9,1]]}},"locator":"20"}],"schema":"https://github.com/citation-style-language/schema/raw/master/csl-citation.json"}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(12,14,15,26,28,31)</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R</w:t>
      </w:r>
      <w:r w:rsidR="006664BD" w:rsidRPr="00511459">
        <w:rPr>
          <w:rFonts w:ascii="Times New Roman" w:eastAsia="Times New Roman" w:hAnsi="Times New Roman" w:cs="Times New Roman"/>
          <w:color w:val="000000"/>
          <w:kern w:val="0"/>
          <w:sz w:val="22"/>
          <w:szCs w:val="22"/>
          <w14:ligatures w14:val="none"/>
        </w:rPr>
        <w:t>² was</w:t>
      </w:r>
      <w:r w:rsidRPr="00511459">
        <w:rPr>
          <w:rFonts w:ascii="Times New Roman" w:eastAsia="Times New Roman" w:hAnsi="Times New Roman" w:cs="Times New Roman"/>
          <w:color w:val="000000"/>
          <w:kern w:val="0"/>
          <w:sz w:val="22"/>
          <w:szCs w:val="22"/>
          <w14:ligatures w14:val="none"/>
        </w:rPr>
        <w:t xml:space="preserve"> 0.8</w:t>
      </w:r>
      <w:r>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xml:space="preserve"> (95% CI: 0.7</w:t>
      </w:r>
      <w:r>
        <w:rPr>
          <w:rFonts w:ascii="Times New Roman" w:eastAsia="Times New Roman" w:hAnsi="Times New Roman" w:cs="Times New Roman"/>
          <w:color w:val="000000"/>
          <w:kern w:val="0"/>
          <w:sz w:val="22"/>
          <w:szCs w:val="22"/>
          <w14:ligatures w14:val="none"/>
        </w:rPr>
        <w:t>9</w:t>
      </w:r>
      <w:r w:rsidRPr="00511459">
        <w:rPr>
          <w:rFonts w:ascii="Times New Roman" w:eastAsia="Times New Roman" w:hAnsi="Times New Roman" w:cs="Times New Roman"/>
          <w:color w:val="000000"/>
          <w:kern w:val="0"/>
          <w:sz w:val="22"/>
          <w:szCs w:val="22"/>
          <w14:ligatures w14:val="none"/>
        </w:rPr>
        <w:t>–0.</w:t>
      </w:r>
      <w:r>
        <w:rPr>
          <w:rFonts w:ascii="Times New Roman" w:eastAsia="Times New Roman" w:hAnsi="Times New Roman" w:cs="Times New Roman"/>
          <w:color w:val="000000"/>
          <w:kern w:val="0"/>
          <w:sz w:val="22"/>
          <w:szCs w:val="22"/>
          <w14:ligatures w14:val="none"/>
        </w:rPr>
        <w:t>91</w:t>
      </w:r>
      <w:r w:rsidRPr="00511459">
        <w:rPr>
          <w:rFonts w:ascii="Times New Roman" w:eastAsia="Times New Roman" w:hAnsi="Times New Roman" w:cs="Times New Roman"/>
          <w:color w:val="000000"/>
          <w:kern w:val="0"/>
          <w:sz w:val="22"/>
          <w:szCs w:val="22"/>
          <w14:ligatures w14:val="none"/>
        </w:rPr>
        <w:t>; I² = 6</w:t>
      </w:r>
      <w:r>
        <w:rPr>
          <w:rFonts w:ascii="Times New Roman" w:eastAsia="Times New Roman" w:hAnsi="Times New Roman" w:cs="Times New Roman"/>
          <w:color w:val="000000"/>
          <w:kern w:val="0"/>
          <w:sz w:val="22"/>
          <w:szCs w:val="22"/>
          <w14:ligatures w14:val="none"/>
        </w:rPr>
        <w:t>2</w:t>
      </w:r>
      <w:r w:rsidRPr="00511459">
        <w:rPr>
          <w:rFonts w:ascii="Times New Roman" w:eastAsia="Times New Roman" w:hAnsi="Times New Roman" w:cs="Times New Roman"/>
          <w:color w:val="000000"/>
          <w:kern w:val="0"/>
          <w:sz w:val="22"/>
          <w:szCs w:val="22"/>
          <w14:ligatures w14:val="none"/>
        </w:rPr>
        <w:t xml:space="preserve">%) (Figure </w:t>
      </w:r>
      <w:r w:rsidR="00D43462">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Five</w:t>
      </w:r>
      <w:r w:rsidRPr="00511459">
        <w:rPr>
          <w:rFonts w:ascii="Times New Roman" w:eastAsia="Times New Roman" w:hAnsi="Times New Roman" w:cs="Times New Roman"/>
          <w:color w:val="000000"/>
          <w:kern w:val="0"/>
          <w:sz w:val="22"/>
          <w:szCs w:val="22"/>
          <w14:ligatures w14:val="none"/>
        </w:rPr>
        <w:t xml:space="preserve"> studies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wb2QAJDf","properties":{"formattedCitation":"(12,14,15,28,30)","plainCitation":"(12,14,15,28,30)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J."}],"issued":{"date-parts":[["2016",11,3]]}},"locator":"12016"},{"id":1014,"uris":["http://zotero.org/users/15549944/items/XRW3ARDR"],"itemData":{"id":1014,"type":"article-journal","abstract":"Background: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(12,14,15,28,30)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reported intraclass correlation coefficient</w:t>
      </w:r>
      <w:r w:rsidR="00BF779F">
        <w:rPr>
          <w:rFonts w:ascii="Times New Roman" w:eastAsia="Times New Roman" w:hAnsi="Times New Roman" w:cs="Times New Roman"/>
          <w:color w:val="000000"/>
          <w:kern w:val="0"/>
          <w:sz w:val="22"/>
          <w:szCs w:val="22"/>
          <w14:ligatures w14:val="none"/>
        </w:rPr>
        <w:t>s</w:t>
      </w:r>
      <w:r w:rsidRPr="00511459">
        <w:rPr>
          <w:rFonts w:ascii="Times New Roman" w:eastAsia="Times New Roman" w:hAnsi="Times New Roman" w:cs="Times New Roman"/>
          <w:color w:val="000000"/>
          <w:kern w:val="0"/>
          <w:sz w:val="22"/>
          <w:szCs w:val="22"/>
          <w14:ligatures w14:val="none"/>
        </w:rPr>
        <w:t xml:space="preserve"> for MD </w:t>
      </w:r>
      <w:r w:rsidRPr="00511459">
        <w:rPr>
          <w:rFonts w:ascii="Times New Roman" w:eastAsia="Times New Roman" w:hAnsi="Times New Roman" w:cs="Times New Roman"/>
          <w:color w:val="000000"/>
          <w:kern w:val="0"/>
          <w:sz w:val="22"/>
          <w:szCs w:val="22"/>
          <w14:ligatures w14:val="none"/>
        </w:rPr>
        <w:lastRenderedPageBreak/>
        <w:t>agreement between MRF and HFA</w:t>
      </w:r>
      <w:r>
        <w:rPr>
          <w:rFonts w:ascii="Times New Roman" w:eastAsia="Times New Roman" w:hAnsi="Times New Roman" w:cs="Times New Roman"/>
          <w:color w:val="000000"/>
          <w:kern w:val="0"/>
          <w:sz w:val="22"/>
          <w:szCs w:val="22"/>
          <w14:ligatures w14:val="none"/>
        </w:rPr>
        <w:t xml:space="preserve">, </w:t>
      </w:r>
      <w:r w:rsidR="00BF779F">
        <w:rPr>
          <w:rFonts w:ascii="Times New Roman" w:eastAsia="Times New Roman" w:hAnsi="Times New Roman" w:cs="Times New Roman"/>
          <w:color w:val="000000"/>
          <w:kern w:val="0"/>
          <w:sz w:val="22"/>
          <w:szCs w:val="22"/>
          <w14:ligatures w14:val="none"/>
        </w:rPr>
        <w:t>with</w:t>
      </w:r>
      <w:r>
        <w:rPr>
          <w:rFonts w:ascii="Times New Roman" w:eastAsia="Times New Roman" w:hAnsi="Times New Roman" w:cs="Times New Roman"/>
          <w:color w:val="000000"/>
          <w:kern w:val="0"/>
          <w:sz w:val="22"/>
          <w:szCs w:val="22"/>
          <w14:ligatures w14:val="none"/>
        </w:rPr>
        <w:t xml:space="preserve"> a total of 428 eyes</w:t>
      </w:r>
      <w:r w:rsidRPr="00511459">
        <w:rPr>
          <w:rFonts w:ascii="Times New Roman" w:eastAsia="Times New Roman" w:hAnsi="Times New Roman" w:cs="Times New Roman"/>
          <w:color w:val="000000"/>
          <w:kern w:val="0"/>
          <w:sz w:val="22"/>
          <w:szCs w:val="22"/>
          <w14:ligatures w14:val="none"/>
        </w:rPr>
        <w:t>. The pooled ICC was 0.94 (95% CI: 0.90–0.9</w:t>
      </w:r>
      <w:r>
        <w:rPr>
          <w:rFonts w:ascii="Times New Roman" w:eastAsia="Times New Roman" w:hAnsi="Times New Roman" w:cs="Times New Roman"/>
          <w:color w:val="000000"/>
          <w:kern w:val="0"/>
          <w:sz w:val="22"/>
          <w:szCs w:val="22"/>
          <w14:ligatures w14:val="none"/>
        </w:rPr>
        <w:t>8</w:t>
      </w:r>
      <w:r w:rsidRPr="00511459">
        <w:rPr>
          <w:rFonts w:ascii="Times New Roman" w:eastAsia="Times New Roman" w:hAnsi="Times New Roman" w:cs="Times New Roman"/>
          <w:color w:val="000000"/>
          <w:kern w:val="0"/>
          <w:sz w:val="22"/>
          <w:szCs w:val="22"/>
          <w14:ligatures w14:val="none"/>
        </w:rPr>
        <w:t>; I² = 6</w:t>
      </w:r>
      <w:r>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xml:space="preserve">%) (Figure </w:t>
      </w:r>
      <w:r w:rsidR="00D43462">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w:t>
      </w:r>
    </w:p>
    <w:p w14:paraId="2B47555C" w14:textId="77777777"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p>
    <w:p w14:paraId="6AA26277"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Zone-Threshold Concordance</w:t>
      </w:r>
    </w:p>
    <w:p w14:paraId="72A86A56" w14:textId="30B5E710"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Three</w:t>
      </w:r>
      <w:r w:rsidRPr="00511459">
        <w:rPr>
          <w:rFonts w:ascii="Times New Roman" w:eastAsia="Times New Roman" w:hAnsi="Times New Roman" w:cs="Times New Roman"/>
          <w:color w:val="000000"/>
          <w:kern w:val="0"/>
          <w:sz w:val="22"/>
          <w:szCs w:val="22"/>
          <w14:ligatures w14:val="none"/>
        </w:rPr>
        <w:t xml:space="preserve"> studies reported </w:t>
      </w:r>
      <w:r>
        <w:rPr>
          <w:rFonts w:ascii="Times New Roman" w:eastAsia="Times New Roman" w:hAnsi="Times New Roman" w:cs="Times New Roman"/>
          <w:color w:val="000000"/>
          <w:kern w:val="0"/>
          <w:sz w:val="22"/>
          <w:szCs w:val="22"/>
          <w14:ligatures w14:val="none"/>
        </w:rPr>
        <w:t>zonal-threshold concordance data,</w:t>
      </w:r>
      <w:r w:rsidRPr="00511459">
        <w:rPr>
          <w:rFonts w:ascii="Times New Roman" w:eastAsia="Times New Roman" w:hAnsi="Times New Roman" w:cs="Times New Roman"/>
          <w:color w:val="000000"/>
          <w:kern w:val="0"/>
          <w:sz w:val="22"/>
          <w:szCs w:val="22"/>
          <w14:ligatures w14:val="none"/>
        </w:rPr>
        <w:t xml:space="preserve"> including ICCs for regional mean threshold values in HFA and MRF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{"citationID":"RMC9YJJm","properties":{"formattedCitation":"(12,26,30)","plainCitation":"(12,26,30)","noteIndex":0},"citationItems":[{"id":1011,"uris":["http://zotero.org/users/15549944/items/MIECT2LK"],"itemData":{"id":1011,"type":"article-journal","abstract":"Purpose\nTo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(12,26,30)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Two of the three studies provided results for eight zones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{"citationID":"2WKPn4rF","properties":{"formattedCitation":"(12,26)","plainCitation":"(12,26)","noteIndex":0},"citationItems":[{"id":1011,"uris":["http://zotero.org/users/15549944/items/MIECT2LK"],"itemData":{"id":1011,"type":"article-journal","abstract":"Purpose\nTo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(12,26)</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whereas one study subdivided locations into six zones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{"citationID":"KHKr7BIo","properties":{"formattedCitation":"(30)","plainCitation":"(30)","noteIndex":0},"citationItems":[{"id":981,"uris":["http://zotero.org/users/15549944/items/M2J66U39"],"itemData":{"id":981,"type":"article-journal","abstract":"PURPOSE: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(30)</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The</w:t>
      </w:r>
      <w:r w:rsidRPr="00511459">
        <w:rPr>
          <w:rFonts w:ascii="Times New Roman" w:eastAsia="Times New Roman" w:hAnsi="Times New Roman" w:cs="Times New Roman"/>
          <w:color w:val="000000"/>
          <w:kern w:val="0"/>
          <w:sz w:val="22"/>
          <w:szCs w:val="22"/>
          <w14:ligatures w14:val="none"/>
        </w:rPr>
        <w:t xml:space="preserve"> pooled data from the two studies that reported the same eight zones (each using </w:t>
      </w:r>
      <w:r w:rsidR="00F54F2B">
        <w:rPr>
          <w:rFonts w:ascii="Times New Roman" w:eastAsia="Times New Roman" w:hAnsi="Times New Roman" w:cs="Times New Roman"/>
          <w:color w:val="000000"/>
          <w:kern w:val="0"/>
          <w:sz w:val="22"/>
          <w:szCs w:val="22"/>
          <w14:ligatures w14:val="none"/>
        </w:rPr>
        <w:t>its own</w:t>
      </w:r>
      <w:r w:rsidRPr="00511459">
        <w:rPr>
          <w:rFonts w:ascii="Times New Roman" w:eastAsia="Times New Roman" w:hAnsi="Times New Roman" w:cs="Times New Roman"/>
          <w:color w:val="000000"/>
          <w:kern w:val="0"/>
          <w:sz w:val="22"/>
          <w:szCs w:val="22"/>
          <w14:ligatures w14:val="none"/>
        </w:rPr>
        <w:t xml:space="preserve"> proprietary testing points, but </w:t>
      </w:r>
      <w:r w:rsidR="00F54F2B">
        <w:rPr>
          <w:rFonts w:ascii="Times New Roman" w:eastAsia="Times New Roman" w:hAnsi="Times New Roman" w:cs="Times New Roman"/>
          <w:color w:val="000000"/>
          <w:kern w:val="0"/>
          <w:sz w:val="22"/>
          <w:szCs w:val="22"/>
          <w14:ligatures w14:val="none"/>
        </w:rPr>
        <w:t xml:space="preserve">in </w:t>
      </w:r>
      <w:r>
        <w:rPr>
          <w:rFonts w:ascii="Times New Roman" w:eastAsia="Times New Roman" w:hAnsi="Times New Roman" w:cs="Times New Roman"/>
          <w:color w:val="000000"/>
          <w:kern w:val="0"/>
          <w:sz w:val="22"/>
          <w:szCs w:val="22"/>
          <w14:ligatures w14:val="none"/>
        </w:rPr>
        <w:t xml:space="preserve">the </w:t>
      </w:r>
      <w:r w:rsidRPr="00511459">
        <w:rPr>
          <w:rFonts w:ascii="Times New Roman" w:eastAsia="Times New Roman" w:hAnsi="Times New Roman" w:cs="Times New Roman"/>
          <w:color w:val="000000"/>
          <w:kern w:val="0"/>
          <w:sz w:val="22"/>
          <w:szCs w:val="22"/>
          <w14:ligatures w14:val="none"/>
        </w:rPr>
        <w:t>same regions)</w:t>
      </w:r>
      <w:r>
        <w:rPr>
          <w:rFonts w:ascii="Times New Roman" w:eastAsia="Times New Roman" w:hAnsi="Times New Roman" w:cs="Times New Roman"/>
          <w:color w:val="000000"/>
          <w:kern w:val="0"/>
          <w:sz w:val="22"/>
          <w:szCs w:val="22"/>
          <w14:ligatures w14:val="none"/>
        </w:rPr>
        <w:t xml:space="preserve"> included 129 eyes</w:t>
      </w:r>
      <w:r w:rsidRPr="00511459">
        <w:rPr>
          <w:rFonts w:ascii="Times New Roman" w:eastAsia="Times New Roman" w:hAnsi="Times New Roman" w:cs="Times New Roman"/>
          <w:color w:val="000000"/>
          <w:kern w:val="0"/>
          <w:sz w:val="22"/>
          <w:szCs w:val="22"/>
          <w14:ligatures w14:val="none"/>
        </w:rPr>
        <w:t>. The pooled ICC for Zone 1 (superior–central) was 0.84 (95% CI: 0.76–0.92; I² = 40.2%). For Zone 2 (inferior–central), the pooled ICC was 0.73 (95% CI: 0.64–0.82; I² = 0.0%). The pooled ICC for Zone 3 (superior–peripheral–nasal) was 0.91 (95% CI: 0.88–0.94; I² = 0.0%). For Zone 4 (superior–nasal), the pooled ICC was 0.87 (95% CI: 0.69–1.00; I² = 91.5%). The pooled ICC for Zone 5 (superior–temporal) was 0.80 (95% CI: 0.64–0.97; I² = 81%). For Zone 6 (inferior–temporal), the pooled ICC was 0.79 (95% CI: 0.65–0.94; I² = 73.0%). The pooled ICC for Zone 7 (inferior–nasal) was 0.81 (95% CI: 0.74–0.88; I² = 3.8%). The pooled ICC for Zone 8 (inferior–peripheral–nasal) was 0.91 (95% CI: 0.86–0.95; I² = 28.7%). The pooled ICC for concordance in mean threshold values across the eight regions was 0.85 (95% CI, 0.81–0.88; I² = 78.4</w:t>
      </w:r>
      <w:r w:rsidR="00785DEB" w:rsidRPr="00511459">
        <w:rPr>
          <w:rFonts w:ascii="Times New Roman" w:eastAsia="Times New Roman" w:hAnsi="Times New Roman" w:cs="Times New Roman"/>
          <w:color w:val="000000"/>
          <w:kern w:val="0"/>
          <w:sz w:val="22"/>
          <w:szCs w:val="22"/>
          <w14:ligatures w14:val="none"/>
        </w:rPr>
        <w:t>%)</w:t>
      </w:r>
      <w:r w:rsidR="00785DEB">
        <w:rPr>
          <w:rFonts w:ascii="Times New Roman" w:eastAsia="Times New Roman" w:hAnsi="Times New Roman" w:cs="Times New Roman"/>
          <w:color w:val="000000"/>
          <w:kern w:val="0"/>
          <w:sz w:val="22"/>
          <w:szCs w:val="22"/>
          <w14:ligatures w14:val="none"/>
        </w:rPr>
        <w:t xml:space="preserve"> (</w:t>
      </w:r>
      <w:r w:rsidR="00E67D72">
        <w:rPr>
          <w:rFonts w:ascii="Times New Roman" w:eastAsia="Times New Roman" w:hAnsi="Times New Roman" w:cs="Times New Roman"/>
          <w:color w:val="000000"/>
          <w:kern w:val="0"/>
          <w:sz w:val="22"/>
          <w:szCs w:val="22"/>
          <w14:ligatures w14:val="none"/>
        </w:rPr>
        <w:t xml:space="preserve">Supplementary </w:t>
      </w:r>
      <w:r w:rsidRPr="00511459">
        <w:rPr>
          <w:rFonts w:ascii="Times New Roman" w:eastAsia="Times New Roman" w:hAnsi="Times New Roman" w:cs="Times New Roman"/>
          <w:color w:val="000000"/>
          <w:kern w:val="0"/>
          <w:sz w:val="22"/>
          <w:szCs w:val="22"/>
          <w14:ligatures w14:val="none"/>
        </w:rPr>
        <w:t>Figure</w:t>
      </w:r>
      <w:r w:rsidR="00E67D72">
        <w:rPr>
          <w:rFonts w:ascii="Times New Roman" w:eastAsia="Times New Roman" w:hAnsi="Times New Roman" w:cs="Times New Roman"/>
          <w:color w:val="000000"/>
          <w:kern w:val="0"/>
          <w:sz w:val="22"/>
          <w:szCs w:val="22"/>
          <w14:ligatures w14:val="none"/>
        </w:rPr>
        <w:t xml:space="preserve"> 2)</w:t>
      </w:r>
      <w:r w:rsidRPr="00511459">
        <w:rPr>
          <w:rFonts w:ascii="Times New Roman" w:eastAsia="Times New Roman" w:hAnsi="Times New Roman" w:cs="Times New Roman"/>
          <w:color w:val="000000"/>
          <w:kern w:val="0"/>
          <w:sz w:val="22"/>
          <w:szCs w:val="22"/>
          <w14:ligatures w14:val="none"/>
        </w:rPr>
        <w:t>.</w:t>
      </w:r>
    </w:p>
    <w:p w14:paraId="42044FCA"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3A75DD76"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Repeatability</w:t>
      </w:r>
    </w:p>
    <w:p w14:paraId="56BDD2FB" w14:textId="1179FF1A"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Five</w:t>
      </w:r>
      <w:r w:rsidRPr="00511459">
        <w:rPr>
          <w:rFonts w:ascii="Times New Roman" w:eastAsia="Times New Roman" w:hAnsi="Times New Roman" w:cs="Times New Roman"/>
          <w:color w:val="000000"/>
          <w:kern w:val="0"/>
          <w:sz w:val="22"/>
          <w:szCs w:val="22"/>
          <w14:ligatures w14:val="none"/>
        </w:rPr>
        <w:t xml:space="preserve"> studies reported </w:t>
      </w:r>
      <w:r>
        <w:rPr>
          <w:rFonts w:ascii="Times New Roman" w:eastAsia="Times New Roman" w:hAnsi="Times New Roman" w:cs="Times New Roman"/>
          <w:color w:val="000000"/>
          <w:kern w:val="0"/>
          <w:sz w:val="22"/>
          <w:szCs w:val="22"/>
          <w14:ligatures w14:val="none"/>
        </w:rPr>
        <w:t xml:space="preserve">ICCs of test-retest repeatability of MD measurements of MRF, including a total of 422  eyes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{"citationID":"LJdNCpLB","properties":{"formattedCitation":"(12,26,28,28)","plainCitation":"(12,26,28,28)","noteIndex":0},"citationItems":[{"id":1011,"uris":["http://zotero.org/users/15549944/items/MIECT2LK"],"itemData":{"id":1011,"type":"article-journal","abstract":"Purpose\nTo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L"}],"issued":{"date-parts":[["2018"]]}}},{"id":481,"uris":["http://zotero.org/users/15549944/items/8KZNUEKM"],"itemData":{"id":481,"type":"artic</w:instrText>
      </w:r>
      <w:r w:rsidRPr="00562692">
        <w:rPr>
          <w:rFonts w:ascii="Times New Roman" w:eastAsia="Times New Roman" w:hAnsi="Times New Roman" w:cs="Times New Roman"/>
          <w:color w:val="000000"/>
          <w:kern w:val="0"/>
          <w:sz w:val="22"/>
          <w:szCs w:val="22"/>
          <w:lang w:val="da-DK"/>
          <w14:ligatures w14:val="none"/>
        </w:rPr>
        <w:instrText xml:space="preserve">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562692">
        <w:rPr>
          <w:rFonts w:ascii="Times New Roman" w:eastAsia="Times New Roman" w:hAnsi="Times New Roman" w:cs="Times New Roman"/>
          <w:noProof/>
          <w:color w:val="000000"/>
          <w:kern w:val="0"/>
          <w:sz w:val="22"/>
          <w:szCs w:val="22"/>
          <w:lang w:val="da-DK"/>
          <w14:ligatures w14:val="none"/>
        </w:rPr>
        <w:t>(12,26,28,28)</w:t>
      </w:r>
      <w:r w:rsidRPr="00511459">
        <w:rPr>
          <w:rFonts w:ascii="Times New Roman" w:eastAsia="Times New Roman" w:hAnsi="Times New Roman" w:cs="Times New Roman"/>
          <w:color w:val="000000"/>
          <w:kern w:val="0"/>
          <w:sz w:val="22"/>
          <w:szCs w:val="22"/>
          <w14:ligatures w14:val="none"/>
        </w:rPr>
        <w:fldChar w:fldCharType="end"/>
      </w:r>
      <w:r w:rsidRPr="00562692">
        <w:rPr>
          <w:rFonts w:ascii="Times New Roman" w:eastAsia="Times New Roman" w:hAnsi="Times New Roman" w:cs="Times New Roman"/>
          <w:color w:val="000000"/>
          <w:kern w:val="0"/>
          <w:sz w:val="22"/>
          <w:szCs w:val="22"/>
          <w:lang w:val="da-DK"/>
          <w14:ligatures w14:val="none"/>
        </w:rPr>
        <w:t xml:space="preserve">. Kong et al 2016 </w:t>
      </w:r>
      <w:r w:rsidRPr="00511459">
        <w:rPr>
          <w:rFonts w:ascii="Times New Roman" w:eastAsia="Times New Roman" w:hAnsi="Times New Roman" w:cs="Times New Roman"/>
          <w:color w:val="000000"/>
          <w:kern w:val="0"/>
          <w:sz w:val="22"/>
          <w:szCs w:val="22"/>
          <w14:ligatures w14:val="none"/>
        </w:rPr>
        <w:fldChar w:fldCharType="begin"/>
      </w:r>
      <w:r w:rsidRPr="00562692">
        <w:rPr>
          <w:rFonts w:ascii="Times New Roman" w:eastAsia="Times New Roman" w:hAnsi="Times New Roman" w:cs="Times New Roman"/>
          <w:color w:val="000000"/>
          <w:kern w:val="0"/>
          <w:sz w:val="22"/>
          <w:szCs w:val="22"/>
          <w:lang w:val="da-DK"/>
          <w14:ligatures w14:val="none"/>
        </w:rPr>
        <w:instrText xml:space="preserve"> ADDIN ZOTERO_ITEM CSL_CITATION {"citationID":"c1ltmGsf","properties":{"formattedCitation":"(12)","plainCitation":"(12)","noteIndex":0},"citationItems":[{"id":1011,"uris":["http://zotero.org/users/15549944/items/MIECT2LK"],"itemData":{"id":1011,"type":"article-journal","abstract":"Purpose\nTo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sidRPr="00562692">
        <w:rPr>
          <w:rFonts w:ascii="Times New Roman" w:eastAsia="Times New Roman" w:hAnsi="Times New Roman" w:cs="Times New Roman"/>
          <w:noProof/>
          <w:color w:val="000000"/>
          <w:kern w:val="0"/>
          <w:sz w:val="22"/>
          <w:szCs w:val="22"/>
          <w:lang w:val="da-DK"/>
          <w14:ligatures w14:val="none"/>
        </w:rPr>
        <w:t>(12)</w:t>
      </w:r>
      <w:r w:rsidRPr="00511459">
        <w:rPr>
          <w:rFonts w:ascii="Times New Roman" w:eastAsia="Times New Roman" w:hAnsi="Times New Roman" w:cs="Times New Roman"/>
          <w:color w:val="000000"/>
          <w:kern w:val="0"/>
          <w:sz w:val="22"/>
          <w:szCs w:val="22"/>
          <w14:ligatures w14:val="none"/>
        </w:rPr>
        <w:fldChar w:fldCharType="end"/>
      </w:r>
      <w:r w:rsidRPr="00562692">
        <w:rPr>
          <w:rFonts w:ascii="Times New Roman" w:eastAsia="Times New Roman" w:hAnsi="Times New Roman" w:cs="Times New Roman"/>
          <w:color w:val="000000"/>
          <w:kern w:val="0"/>
          <w:sz w:val="22"/>
          <w:szCs w:val="22"/>
          <w:lang w:val="da-DK"/>
          <w14:ligatures w14:val="none"/>
        </w:rPr>
        <w:t xml:space="preserve"> </w:t>
      </w:r>
      <w:proofErr w:type="spellStart"/>
      <w:r w:rsidRPr="00562692">
        <w:rPr>
          <w:rFonts w:ascii="Times New Roman" w:eastAsia="Times New Roman" w:hAnsi="Times New Roman" w:cs="Times New Roman"/>
          <w:color w:val="000000"/>
          <w:kern w:val="0"/>
          <w:sz w:val="22"/>
          <w:szCs w:val="22"/>
          <w:lang w:val="da-DK"/>
          <w14:ligatures w14:val="none"/>
        </w:rPr>
        <w:t>assessed</w:t>
      </w:r>
      <w:proofErr w:type="spellEnd"/>
      <w:r w:rsidRPr="00562692">
        <w:rPr>
          <w:rFonts w:ascii="Times New Roman" w:eastAsia="Times New Roman" w:hAnsi="Times New Roman" w:cs="Times New Roman"/>
          <w:color w:val="000000"/>
          <w:kern w:val="0"/>
          <w:sz w:val="22"/>
          <w:szCs w:val="22"/>
          <w:lang w:val="da-DK"/>
          <w14:ligatures w14:val="none"/>
        </w:rPr>
        <w:t xml:space="preserve"> </w:t>
      </w:r>
      <w:proofErr w:type="spellStart"/>
      <w:r w:rsidRPr="00562692">
        <w:rPr>
          <w:rFonts w:ascii="Times New Roman" w:eastAsia="Times New Roman" w:hAnsi="Times New Roman" w:cs="Times New Roman"/>
          <w:color w:val="000000"/>
          <w:kern w:val="0"/>
          <w:sz w:val="22"/>
          <w:szCs w:val="22"/>
          <w:lang w:val="da-DK"/>
          <w14:ligatures w14:val="none"/>
        </w:rPr>
        <w:t>immediate</w:t>
      </w:r>
      <w:proofErr w:type="spellEnd"/>
      <w:r w:rsidRPr="00562692">
        <w:rPr>
          <w:rFonts w:ascii="Times New Roman" w:eastAsia="Times New Roman" w:hAnsi="Times New Roman" w:cs="Times New Roman"/>
          <w:color w:val="000000"/>
          <w:kern w:val="0"/>
          <w:sz w:val="22"/>
          <w:szCs w:val="22"/>
          <w:lang w:val="da-DK"/>
          <w14:ligatures w14:val="none"/>
        </w:rPr>
        <w:t xml:space="preserve"> test–</w:t>
      </w:r>
      <w:proofErr w:type="spellStart"/>
      <w:r w:rsidRPr="00562692">
        <w:rPr>
          <w:rFonts w:ascii="Times New Roman" w:eastAsia="Times New Roman" w:hAnsi="Times New Roman" w:cs="Times New Roman"/>
          <w:color w:val="000000"/>
          <w:kern w:val="0"/>
          <w:sz w:val="22"/>
          <w:szCs w:val="22"/>
          <w:lang w:val="da-DK"/>
          <w14:ligatures w14:val="none"/>
        </w:rPr>
        <w:t>retest</w:t>
      </w:r>
      <w:proofErr w:type="spellEnd"/>
      <w:r w:rsidRPr="00562692">
        <w:rPr>
          <w:rFonts w:ascii="Times New Roman" w:eastAsia="Times New Roman" w:hAnsi="Times New Roman" w:cs="Times New Roman"/>
          <w:color w:val="000000"/>
          <w:kern w:val="0"/>
          <w:sz w:val="22"/>
          <w:szCs w:val="22"/>
          <w:lang w:val="da-DK"/>
          <w14:ligatures w14:val="none"/>
        </w:rPr>
        <w:t xml:space="preserve"> </w:t>
      </w:r>
      <w:proofErr w:type="spellStart"/>
      <w:r w:rsidRPr="00562692">
        <w:rPr>
          <w:rFonts w:ascii="Times New Roman" w:eastAsia="Times New Roman" w:hAnsi="Times New Roman" w:cs="Times New Roman"/>
          <w:color w:val="000000"/>
          <w:kern w:val="0"/>
          <w:sz w:val="22"/>
          <w:szCs w:val="22"/>
          <w:lang w:val="da-DK"/>
          <w14:ligatures w14:val="none"/>
        </w:rPr>
        <w:t>repeatability</w:t>
      </w:r>
      <w:proofErr w:type="spellEnd"/>
      <w:r w:rsidRPr="00562692">
        <w:rPr>
          <w:rFonts w:ascii="Times New Roman" w:eastAsia="Times New Roman" w:hAnsi="Times New Roman" w:cs="Times New Roman"/>
          <w:color w:val="000000"/>
          <w:kern w:val="0"/>
          <w:sz w:val="22"/>
          <w:szCs w:val="22"/>
          <w:lang w:val="da-DK"/>
          <w14:ligatures w14:val="none"/>
        </w:rPr>
        <w:t xml:space="preserve">, Schulz et al. 2018 </w:t>
      </w:r>
      <w:proofErr w:type="spellStart"/>
      <w:r w:rsidRPr="00562692">
        <w:rPr>
          <w:rFonts w:ascii="Times New Roman" w:eastAsia="Times New Roman" w:hAnsi="Times New Roman" w:cs="Times New Roman"/>
          <w:color w:val="000000"/>
          <w:kern w:val="0"/>
          <w:sz w:val="22"/>
          <w:szCs w:val="22"/>
          <w:lang w:val="da-DK"/>
          <w14:ligatures w14:val="none"/>
        </w:rPr>
        <w:t>conducted</w:t>
      </w:r>
      <w:proofErr w:type="spellEnd"/>
      <w:r w:rsidRPr="00562692">
        <w:rPr>
          <w:rFonts w:ascii="Times New Roman" w:eastAsia="Times New Roman" w:hAnsi="Times New Roman" w:cs="Times New Roman"/>
          <w:color w:val="000000"/>
          <w:kern w:val="0"/>
          <w:sz w:val="22"/>
          <w:szCs w:val="22"/>
          <w:lang w:val="da-DK"/>
          <w14:ligatures w14:val="none"/>
        </w:rPr>
        <w:t xml:space="preserve"> MRF retesting at 4–6 </w:t>
      </w:r>
      <w:proofErr w:type="spellStart"/>
      <w:r w:rsidRPr="00562692">
        <w:rPr>
          <w:rFonts w:ascii="Times New Roman" w:eastAsia="Times New Roman" w:hAnsi="Times New Roman" w:cs="Times New Roman"/>
          <w:color w:val="000000"/>
          <w:kern w:val="0"/>
          <w:sz w:val="22"/>
          <w:szCs w:val="22"/>
          <w:lang w:val="da-DK"/>
          <w14:ligatures w14:val="none"/>
        </w:rPr>
        <w:t>months</w:t>
      </w:r>
      <w:proofErr w:type="spellEnd"/>
      <w:r w:rsidRPr="00562692">
        <w:rPr>
          <w:rFonts w:ascii="Times New Roman" w:eastAsia="Times New Roman" w:hAnsi="Times New Roman" w:cs="Times New Roman"/>
          <w:color w:val="000000"/>
          <w:kern w:val="0"/>
          <w:sz w:val="22"/>
          <w:szCs w:val="22"/>
          <w:lang w:val="da-DK"/>
          <w14:ligatures w14:val="none"/>
        </w:rPr>
        <w:t xml:space="preserve">, </w:t>
      </w:r>
      <w:proofErr w:type="spellStart"/>
      <w:r w:rsidRPr="00562692">
        <w:rPr>
          <w:rFonts w:ascii="Times New Roman" w:eastAsia="Times New Roman" w:hAnsi="Times New Roman" w:cs="Times New Roman"/>
          <w:color w:val="000000"/>
          <w:kern w:val="0"/>
          <w:sz w:val="22"/>
          <w:szCs w:val="22"/>
          <w:lang w:val="da-DK"/>
          <w14:ligatures w14:val="none"/>
        </w:rPr>
        <w:t>while</w:t>
      </w:r>
      <w:proofErr w:type="spellEnd"/>
      <w:r w:rsidRPr="00562692">
        <w:rPr>
          <w:rFonts w:ascii="Times New Roman" w:eastAsia="Times New Roman" w:hAnsi="Times New Roman" w:cs="Times New Roman"/>
          <w:color w:val="000000"/>
          <w:kern w:val="0"/>
          <w:sz w:val="22"/>
          <w:szCs w:val="22"/>
          <w:lang w:val="da-DK"/>
          <w14:ligatures w14:val="none"/>
        </w:rPr>
        <w:t xml:space="preserve"> </w:t>
      </w:r>
      <w:proofErr w:type="spellStart"/>
      <w:r w:rsidRPr="00562692">
        <w:rPr>
          <w:rFonts w:ascii="Times New Roman" w:eastAsia="Times New Roman" w:hAnsi="Times New Roman" w:cs="Times New Roman"/>
          <w:color w:val="000000"/>
          <w:kern w:val="0"/>
          <w:sz w:val="22"/>
          <w:szCs w:val="22"/>
          <w:lang w:val="da-DK"/>
          <w14:ligatures w14:val="none"/>
        </w:rPr>
        <w:t>Prea</w:t>
      </w:r>
      <w:proofErr w:type="spellEnd"/>
      <w:r w:rsidRPr="00562692">
        <w:rPr>
          <w:rFonts w:ascii="Times New Roman" w:eastAsia="Times New Roman" w:hAnsi="Times New Roman" w:cs="Times New Roman"/>
          <w:color w:val="000000"/>
          <w:kern w:val="0"/>
          <w:sz w:val="22"/>
          <w:szCs w:val="22"/>
          <w:lang w:val="da-DK"/>
          <w14:ligatures w14:val="none"/>
        </w:rPr>
        <w:t xml:space="preserve"> et al 2018 </w:t>
      </w:r>
      <w:proofErr w:type="spellStart"/>
      <w:r w:rsidRPr="00562692">
        <w:rPr>
          <w:rFonts w:ascii="Times New Roman" w:eastAsia="Times New Roman" w:hAnsi="Times New Roman" w:cs="Times New Roman"/>
          <w:color w:val="000000"/>
          <w:kern w:val="0"/>
          <w:sz w:val="22"/>
          <w:szCs w:val="22"/>
          <w:lang w:val="da-DK"/>
          <w14:ligatures w14:val="none"/>
        </w:rPr>
        <w:t>conducted</w:t>
      </w:r>
      <w:proofErr w:type="spellEnd"/>
      <w:r w:rsidRPr="00562692">
        <w:rPr>
          <w:rFonts w:ascii="Times New Roman" w:eastAsia="Times New Roman" w:hAnsi="Times New Roman" w:cs="Times New Roman"/>
          <w:color w:val="000000"/>
          <w:kern w:val="0"/>
          <w:sz w:val="22"/>
          <w:szCs w:val="22"/>
          <w:lang w:val="da-DK"/>
          <w14:ligatures w14:val="none"/>
        </w:rPr>
        <w:t xml:space="preserve"> retesting at 2, 4, and 6 </w:t>
      </w:r>
      <w:proofErr w:type="spellStart"/>
      <w:r w:rsidRPr="00562692">
        <w:rPr>
          <w:rFonts w:ascii="Times New Roman" w:eastAsia="Times New Roman" w:hAnsi="Times New Roman" w:cs="Times New Roman"/>
          <w:color w:val="000000"/>
          <w:kern w:val="0"/>
          <w:sz w:val="22"/>
          <w:szCs w:val="22"/>
          <w:lang w:val="da-DK"/>
          <w14:ligatures w14:val="none"/>
        </w:rPr>
        <w:t>months</w:t>
      </w:r>
      <w:proofErr w:type="spellEnd"/>
      <w:r w:rsidRPr="00562692">
        <w:rPr>
          <w:rFonts w:ascii="Times New Roman" w:eastAsia="Times New Roman" w:hAnsi="Times New Roman" w:cs="Times New Roman"/>
          <w:color w:val="000000"/>
          <w:kern w:val="0"/>
          <w:sz w:val="22"/>
          <w:szCs w:val="22"/>
          <w:lang w:val="da-DK"/>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sidRPr="00562692">
        <w:rPr>
          <w:rFonts w:ascii="Times New Roman" w:eastAsia="Times New Roman" w:hAnsi="Times New Roman" w:cs="Times New Roman"/>
          <w:color w:val="000000"/>
          <w:kern w:val="0"/>
          <w:sz w:val="22"/>
          <w:szCs w:val="22"/>
          <w:lang w:val="da-DK"/>
          <w14:ligatures w14:val="none"/>
        </w:rPr>
        <w:instrText xml:space="preserve"> ADDIN ZOTERO_ITEM CSL_CITATION {"citationID":"spNQRnbt","properties":{"formattedCitation":"(15,26)","plainCitation":"(15,26)","noteIndex":0},"citationItems":[{"id":1020,"uris":["http://zotero.org/users/15549944/items/UCHYBAMG"],"itemData":{"id":1020,"type":"article-journal","container-title":"American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w:instrText>
      </w:r>
      <w:r>
        <w:rPr>
          <w:rFonts w:ascii="Times New Roman" w:eastAsia="Times New Roman" w:hAnsi="Times New Roman" w:cs="Times New Roman"/>
          <w:color w:val="000000"/>
          <w:kern w:val="0"/>
          <w:sz w:val="22"/>
          <w:szCs w:val="22"/>
          <w14:ligatures w14:val="none"/>
        </w:rPr>
        <w:instrText xml:space="preserve">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(15,26)</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MRF global test–retest reliability for MD was ICC 0.9</w:t>
      </w:r>
      <w:r>
        <w:rPr>
          <w:rFonts w:ascii="Times New Roman" w:eastAsia="Times New Roman" w:hAnsi="Times New Roman" w:cs="Times New Roman"/>
          <w:color w:val="000000"/>
          <w:kern w:val="0"/>
          <w:sz w:val="22"/>
          <w:szCs w:val="22"/>
          <w14:ligatures w14:val="none"/>
        </w:rPr>
        <w:t>6</w:t>
      </w:r>
      <w:r w:rsidRPr="00511459">
        <w:rPr>
          <w:rFonts w:ascii="Times New Roman" w:eastAsia="Times New Roman" w:hAnsi="Times New Roman" w:cs="Times New Roman"/>
          <w:color w:val="000000"/>
          <w:kern w:val="0"/>
          <w:sz w:val="22"/>
          <w:szCs w:val="22"/>
          <w14:ligatures w14:val="none"/>
        </w:rPr>
        <w:t xml:space="preserve"> (95% CI: 0.94–0.97; I² = </w:t>
      </w:r>
      <w:r>
        <w:rPr>
          <w:rFonts w:ascii="Times New Roman" w:eastAsia="Times New Roman" w:hAnsi="Times New Roman" w:cs="Times New Roman"/>
          <w:color w:val="000000"/>
          <w:kern w:val="0"/>
          <w:sz w:val="22"/>
          <w:szCs w:val="22"/>
          <w14:ligatures w14:val="none"/>
        </w:rPr>
        <w:t>60.4</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Three</w:t>
      </w:r>
      <w:r w:rsidRPr="00511459">
        <w:rPr>
          <w:rFonts w:ascii="Times New Roman" w:eastAsia="Times New Roman" w:hAnsi="Times New Roman" w:cs="Times New Roman"/>
          <w:color w:val="000000"/>
          <w:kern w:val="0"/>
          <w:sz w:val="22"/>
          <w:szCs w:val="22"/>
          <w14:ligatures w14:val="none"/>
        </w:rPr>
        <w:t xml:space="preserve"> studies also evaluated </w:t>
      </w:r>
      <w:r>
        <w:rPr>
          <w:rFonts w:ascii="Times New Roman" w:eastAsia="Times New Roman" w:hAnsi="Times New Roman" w:cs="Times New Roman"/>
          <w:color w:val="000000"/>
          <w:kern w:val="0"/>
          <w:sz w:val="22"/>
          <w:szCs w:val="22"/>
          <w14:ligatures w14:val="none"/>
        </w:rPr>
        <w:t xml:space="preserve">HFA’s </w:t>
      </w:r>
      <w:r w:rsidRPr="00511459">
        <w:rPr>
          <w:rFonts w:ascii="Times New Roman" w:eastAsia="Times New Roman" w:hAnsi="Times New Roman" w:cs="Times New Roman"/>
          <w:color w:val="000000"/>
          <w:kern w:val="0"/>
          <w:sz w:val="22"/>
          <w:szCs w:val="22"/>
          <w14:ligatures w14:val="none"/>
        </w:rPr>
        <w:t xml:space="preserve">test–retest reliability for MD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{"citationID":"rsD4V9xw","properties":{"formattedCitation":"(14,15,28)","plainCitation":"(14,15,28)","noteIndex":0},"citationItems":[{"id":1014,"uris":["http://zotero.org/users/15549944/items/XRW3ARDR"],"itemData":{"id":1014,"type":"article-journal","abstract":"Background: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J."}],"issued":{"date-parts":[["2018",6]]}},"locator":"2"},{"id":481,"uris":["http://zotero.org/users/15549944/items/8KZNUEKM"],"itemData":{"id":481,"type":"article-journal","container-title":"American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(14,15,28)</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HFA test–retest reliability for MD was 0.9</w:t>
      </w:r>
      <w:r>
        <w:rPr>
          <w:rFonts w:ascii="Times New Roman" w:eastAsia="Times New Roman" w:hAnsi="Times New Roman" w:cs="Times New Roman"/>
          <w:color w:val="000000"/>
          <w:kern w:val="0"/>
          <w:sz w:val="22"/>
          <w:szCs w:val="22"/>
          <w14:ligatures w14:val="none"/>
        </w:rPr>
        <w:t xml:space="preserve">5 </w:t>
      </w:r>
      <w:r w:rsidRPr="00511459">
        <w:rPr>
          <w:rFonts w:ascii="Times New Roman" w:eastAsia="Times New Roman" w:hAnsi="Times New Roman" w:cs="Times New Roman"/>
          <w:color w:val="000000"/>
          <w:kern w:val="0"/>
          <w:sz w:val="22"/>
          <w:szCs w:val="22"/>
          <w14:ligatures w14:val="none"/>
        </w:rPr>
        <w:t>(95% CI: 0.</w:t>
      </w:r>
      <w:r>
        <w:rPr>
          <w:rFonts w:ascii="Times New Roman" w:eastAsia="Times New Roman" w:hAnsi="Times New Roman" w:cs="Times New Roman"/>
          <w:color w:val="000000"/>
          <w:kern w:val="0"/>
          <w:sz w:val="22"/>
          <w:szCs w:val="22"/>
          <w14:ligatures w14:val="none"/>
        </w:rPr>
        <w:t>92</w:t>
      </w:r>
      <w:r w:rsidRPr="00511459">
        <w:rPr>
          <w:rFonts w:ascii="Times New Roman" w:eastAsia="Times New Roman" w:hAnsi="Times New Roman" w:cs="Times New Roman"/>
          <w:color w:val="000000"/>
          <w:kern w:val="0"/>
          <w:sz w:val="22"/>
          <w:szCs w:val="22"/>
          <w14:ligatures w14:val="none"/>
        </w:rPr>
        <w:t>–0.9</w:t>
      </w:r>
      <w:r>
        <w:rPr>
          <w:rFonts w:ascii="Times New Roman" w:eastAsia="Times New Roman" w:hAnsi="Times New Roman" w:cs="Times New Roman"/>
          <w:color w:val="000000"/>
          <w:kern w:val="0"/>
          <w:sz w:val="22"/>
          <w:szCs w:val="22"/>
          <w14:ligatures w14:val="none"/>
        </w:rPr>
        <w:t>9</w:t>
      </w:r>
      <w:r w:rsidRPr="00511459">
        <w:rPr>
          <w:rFonts w:ascii="Times New Roman" w:eastAsia="Times New Roman" w:hAnsi="Times New Roman" w:cs="Times New Roman"/>
          <w:color w:val="000000"/>
          <w:kern w:val="0"/>
          <w:sz w:val="22"/>
          <w:szCs w:val="22"/>
          <w14:ligatures w14:val="none"/>
        </w:rPr>
        <w:t xml:space="preserve">; I² = </w:t>
      </w:r>
      <w:r>
        <w:rPr>
          <w:rFonts w:ascii="Times New Roman" w:eastAsia="Times New Roman" w:hAnsi="Times New Roman" w:cs="Times New Roman"/>
          <w:color w:val="000000"/>
          <w:kern w:val="0"/>
          <w:sz w:val="22"/>
          <w:szCs w:val="22"/>
          <w14:ligatures w14:val="none"/>
        </w:rPr>
        <w:t>36</w:t>
      </w:r>
      <w:r w:rsidRPr="00511459">
        <w:rPr>
          <w:rFonts w:ascii="Times New Roman" w:eastAsia="Times New Roman" w:hAnsi="Times New Roman" w:cs="Times New Roman"/>
          <w:color w:val="000000"/>
          <w:kern w:val="0"/>
          <w:sz w:val="22"/>
          <w:szCs w:val="22"/>
          <w14:ligatures w14:val="none"/>
        </w:rPr>
        <w:t>%)</w:t>
      </w:r>
      <w:r w:rsidR="00785DEB">
        <w:rPr>
          <w:rFonts w:ascii="Times New Roman" w:eastAsia="Times New Roman" w:hAnsi="Times New Roman" w:cs="Times New Roman"/>
          <w:color w:val="000000"/>
          <w:kern w:val="0"/>
          <w:sz w:val="22"/>
          <w:szCs w:val="22"/>
          <w14:ligatures w14:val="none"/>
        </w:rPr>
        <w:t xml:space="preserve"> (Figure </w:t>
      </w:r>
      <w:r w:rsidR="00D43462">
        <w:rPr>
          <w:rFonts w:ascii="Times New Roman" w:eastAsia="Times New Roman" w:hAnsi="Times New Roman" w:cs="Times New Roman"/>
          <w:color w:val="000000"/>
          <w:kern w:val="0"/>
          <w:sz w:val="22"/>
          <w:szCs w:val="22"/>
          <w14:ligatures w14:val="none"/>
        </w:rPr>
        <w:t>6</w:t>
      </w:r>
      <w:r w:rsidR="00785DEB">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w:t>
      </w:r>
    </w:p>
    <w:p w14:paraId="4B53BC3A" w14:textId="77777777"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p>
    <w:p w14:paraId="6668DD20"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Zonal Repeatability</w:t>
      </w:r>
    </w:p>
    <w:p w14:paraId="5FF80F95" w14:textId="005124F3"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r w:rsidRPr="00511459">
        <w:rPr>
          <w:rFonts w:ascii="Times New Roman" w:eastAsia="Times New Roman" w:hAnsi="Times New Roman" w:cs="Times New Roman"/>
          <w:color w:val="000000"/>
          <w:kern w:val="0"/>
          <w:sz w:val="22"/>
          <w:szCs w:val="22"/>
          <w14:ligatures w14:val="none"/>
        </w:rPr>
        <w:t>Two studies provided ICCs for regional test-retest values in MRF</w:t>
      </w:r>
      <w:r>
        <w:rPr>
          <w:rFonts w:ascii="Times New Roman" w:eastAsia="Times New Roman" w:hAnsi="Times New Roman" w:cs="Times New Roman"/>
          <w:color w:val="000000"/>
          <w:kern w:val="0"/>
          <w:sz w:val="22"/>
          <w:szCs w:val="22"/>
          <w14:ligatures w14:val="none"/>
        </w:rPr>
        <w:t>, pooling data from 175 eyes</w:t>
      </w:r>
      <w:r w:rsidRPr="00511459">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{"citationID":"XXR0ybrR","properties":{"formattedCitation":"(12,26)","plainCitation":"(12,26)","noteIndex":0},"citationItems":[{"id":1011,"uris":["http://zotero.org/users/15549944/items/MIECT2LK"],"itemData":{"id":1011,"type":"article-journal","abstract":"Purpose\nTo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(12,26)</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pooled ICC for Zone 1 (superior–central) was 0.86 (95% CI: 0.82–0.91; I² = 0.0%). For Zone 2 (inferior–central), the pooled ICC was 0.86 (95% CI: 0.81–0.91; I² = 0.0%). The pooled ICC for Zone 3 (superior–peripheral–nasal) was 0.91 (95% CI: 0.82–1.00; I² = 86.3%). For Zone 4 (superior–nasal), the pooled ICC was 0.87 (95% CI: 0.69–1.00; I² = 91.5%). The pooled ICC for Zone 5 (superior–temporal) was 0.82 (95% CI: 0.67–0.98; I² = 86.5%). For Zone 6 (inferior–temporal), the pooled ICC was 0.85 (95% CI: 0.80–0.90; I² = 0.0%). The pooled ICC for Zone 7 (inferior–nasal) was 0.85 (95% CI: 0.90–0.90; I² = 0.0%). The pooled ICC for Zone 8 (inferior–peripheral–nasal) was 0.91 (95% CI: 0.87–0.94; I² = 0.0%). The pooled ICC for regional test-retest values in MRF was 0.87 (95% CI, 0.84–0.90; I² = 74.5%)</w:t>
      </w:r>
      <w:r w:rsidR="00785DEB">
        <w:rPr>
          <w:rFonts w:ascii="Times New Roman" w:eastAsia="Times New Roman" w:hAnsi="Times New Roman" w:cs="Times New Roman"/>
          <w:color w:val="000000"/>
          <w:kern w:val="0"/>
          <w:sz w:val="22"/>
          <w:szCs w:val="22"/>
          <w14:ligatures w14:val="none"/>
        </w:rPr>
        <w:t xml:space="preserve"> (Supplementary Figure 3)</w:t>
      </w:r>
      <w:r w:rsidRPr="00511459">
        <w:rPr>
          <w:rFonts w:ascii="Times New Roman" w:eastAsia="Times New Roman" w:hAnsi="Times New Roman" w:cs="Times New Roman"/>
          <w:color w:val="000000"/>
          <w:kern w:val="0"/>
          <w:sz w:val="22"/>
          <w:szCs w:val="22"/>
          <w14:ligatures w14:val="none"/>
        </w:rPr>
        <w:t xml:space="preserve">. </w:t>
      </w:r>
    </w:p>
    <w:p w14:paraId="4A7AA3BD" w14:textId="77777777" w:rsidR="006856C6"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5DE876FB" w14:textId="77777777" w:rsidR="006856C6"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Pr>
          <w:rFonts w:ascii="Times New Roman" w:eastAsia="Times New Roman" w:hAnsi="Times New Roman" w:cs="Times New Roman"/>
          <w:i/>
          <w:iCs/>
          <w:color w:val="000000"/>
          <w:kern w:val="0"/>
          <w:sz w:val="22"/>
          <w:szCs w:val="22"/>
          <w14:ligatures w14:val="none"/>
        </w:rPr>
        <w:t>Receiver Operating Characteristic Curves</w:t>
      </w:r>
    </w:p>
    <w:p w14:paraId="3A29558C" w14:textId="0359DC27" w:rsidR="006856C6" w:rsidRPr="00970E58"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r w:rsidRPr="00970E58">
        <w:rPr>
          <w:rFonts w:ascii="Times New Roman" w:eastAsia="Times New Roman" w:hAnsi="Times New Roman" w:cs="Times New Roman"/>
          <w:color w:val="000000"/>
          <w:kern w:val="0"/>
          <w:sz w:val="22"/>
          <w:szCs w:val="22"/>
          <w14:ligatures w14:val="none"/>
        </w:rPr>
        <w:t xml:space="preserve">Two studies reported AUCs </w:t>
      </w:r>
      <w:r w:rsidR="0076410A">
        <w:rPr>
          <w:rFonts w:ascii="Times New Roman" w:eastAsia="Times New Roman" w:hAnsi="Times New Roman" w:cs="Times New Roman"/>
          <w:color w:val="000000"/>
          <w:kern w:val="0"/>
          <w:sz w:val="22"/>
          <w:szCs w:val="22"/>
          <w14:ligatures w14:val="none"/>
        </w:rPr>
        <w:t>assessing the discriminatory performance of MD and PSD/PD derived from MRF and HFA in glaucomatous and normal eyes, with a total of 188 eyes included in</w:t>
      </w:r>
      <w:r>
        <w:rPr>
          <w:rFonts w:ascii="Times New Roman" w:eastAsia="Times New Roman" w:hAnsi="Times New Roman" w:cs="Times New Roman"/>
          <w:color w:val="000000"/>
          <w:kern w:val="0"/>
          <w:sz w:val="22"/>
          <w:szCs w:val="22"/>
          <w14:ligatures w14:val="none"/>
        </w:rPr>
        <w:t xml:space="preserve"> this sub-analysis </w:t>
      </w:r>
      <w:r>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{"citationID":"pGtYznZm","properties":{"formattedCitation":"(26,30)","plainCitation":"(26,30)","noteIndex":0},"citationItems":[{"id":506,"uris":["http://zotero.org/users/15549944/items/JUCJRFTG"],"itemData":{"id":506,"type":"article-journal","abstract":"Importance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J."},{"family":"Ye","given":"Cong"},{"family":"Liang","given":"Yuanbo"}],"issued":{"date-parts":[["2025",7,1]]}}}],"schema":"https://github.com/citation-style-language/schema/raw/master/csl-citation.json"} </w:instrText>
      </w:r>
      <w:r>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(26,30)</w:t>
      </w:r>
      <w:r>
        <w:rPr>
          <w:rFonts w:ascii="Times New Roman" w:eastAsia="Times New Roman" w:hAnsi="Times New Roman" w:cs="Times New Roman"/>
          <w:color w:val="000000"/>
          <w:kern w:val="0"/>
          <w:sz w:val="22"/>
          <w:szCs w:val="22"/>
          <w14:ligatures w14:val="none"/>
        </w:rPr>
        <w:fldChar w:fldCharType="end"/>
      </w:r>
      <w:r w:rsidRPr="00970E58">
        <w:rPr>
          <w:rFonts w:ascii="Times New Roman" w:eastAsia="Times New Roman" w:hAnsi="Times New Roman" w:cs="Times New Roman"/>
          <w:color w:val="000000"/>
          <w:kern w:val="0"/>
          <w:sz w:val="22"/>
          <w:szCs w:val="22"/>
          <w14:ligatures w14:val="none"/>
        </w:rPr>
        <w:t xml:space="preserve">. Schulz et al. (2018) contributed 97 eyes (60 glaucomatous, 17 pre-perimetric glaucoma, and 20 age-matched controls), and Chen et al. contributed 91 eyes (58 glaucomatous and 33 normal). MRF </w:t>
      </w:r>
      <w:r>
        <w:rPr>
          <w:rFonts w:ascii="Times New Roman" w:eastAsia="Times New Roman" w:hAnsi="Times New Roman" w:cs="Times New Roman"/>
          <w:color w:val="000000"/>
          <w:kern w:val="0"/>
          <w:sz w:val="22"/>
          <w:szCs w:val="22"/>
          <w14:ligatures w14:val="none"/>
        </w:rPr>
        <w:t>had</w:t>
      </w:r>
      <w:r w:rsidRPr="00970E58">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a </w:t>
      </w:r>
      <w:r w:rsidRPr="00970E58">
        <w:rPr>
          <w:rFonts w:ascii="Times New Roman" w:eastAsia="Times New Roman" w:hAnsi="Times New Roman" w:cs="Times New Roman"/>
          <w:color w:val="000000"/>
          <w:kern w:val="0"/>
          <w:sz w:val="22"/>
          <w:szCs w:val="22"/>
          <w14:ligatures w14:val="none"/>
        </w:rPr>
        <w:t>pooled AUC of 0.84 (0.82–0.85) for MD and 0.81 (0.79–0.82) for PSD</w:t>
      </w:r>
      <w:r w:rsidR="0076410A">
        <w:rPr>
          <w:rFonts w:ascii="Times New Roman" w:eastAsia="Times New Roman" w:hAnsi="Times New Roman" w:cs="Times New Roman"/>
          <w:color w:val="000000"/>
          <w:kern w:val="0"/>
          <w:sz w:val="22"/>
          <w:szCs w:val="22"/>
          <w14:ligatures w14:val="none"/>
        </w:rPr>
        <w:t>, while</w:t>
      </w:r>
      <w:r w:rsidRPr="00970E58">
        <w:rPr>
          <w:rFonts w:ascii="Times New Roman" w:eastAsia="Times New Roman" w:hAnsi="Times New Roman" w:cs="Times New Roman"/>
          <w:color w:val="000000"/>
          <w:kern w:val="0"/>
          <w:sz w:val="22"/>
          <w:szCs w:val="22"/>
          <w14:ligatures w14:val="none"/>
        </w:rPr>
        <w:t xml:space="preserve"> HFA </w:t>
      </w:r>
      <w:r w:rsidR="0076410A">
        <w:rPr>
          <w:rFonts w:ascii="Times New Roman" w:eastAsia="Times New Roman" w:hAnsi="Times New Roman" w:cs="Times New Roman"/>
          <w:color w:val="000000"/>
          <w:kern w:val="0"/>
          <w:sz w:val="22"/>
          <w:szCs w:val="22"/>
          <w14:ligatures w14:val="none"/>
        </w:rPr>
        <w:t>had a</w:t>
      </w:r>
      <w:r w:rsidR="0076410A" w:rsidRPr="00970E58">
        <w:rPr>
          <w:rFonts w:ascii="Times New Roman" w:eastAsia="Times New Roman" w:hAnsi="Times New Roman" w:cs="Times New Roman"/>
          <w:color w:val="000000"/>
          <w:kern w:val="0"/>
          <w:sz w:val="22"/>
          <w:szCs w:val="22"/>
          <w14:ligatures w14:val="none"/>
        </w:rPr>
        <w:t xml:space="preserve"> </w:t>
      </w:r>
      <w:r w:rsidRPr="00970E58">
        <w:rPr>
          <w:rFonts w:ascii="Times New Roman" w:eastAsia="Times New Roman" w:hAnsi="Times New Roman" w:cs="Times New Roman"/>
          <w:color w:val="000000"/>
          <w:kern w:val="0"/>
          <w:sz w:val="22"/>
          <w:szCs w:val="22"/>
          <w14:ligatures w14:val="none"/>
        </w:rPr>
        <w:t>pooled AUC of 0.85 (0.84–0.86) for MD and 0.93 (0.92–0.93) for PSD</w:t>
      </w:r>
      <w:r w:rsidR="00785DEB">
        <w:rPr>
          <w:rFonts w:ascii="Times New Roman" w:eastAsia="Times New Roman" w:hAnsi="Times New Roman" w:cs="Times New Roman"/>
          <w:color w:val="000000"/>
          <w:kern w:val="0"/>
          <w:sz w:val="22"/>
          <w:szCs w:val="22"/>
          <w14:ligatures w14:val="none"/>
        </w:rPr>
        <w:t xml:space="preserve"> (Supplementary Figure 4)</w:t>
      </w:r>
      <w:r w:rsidRPr="00970E58">
        <w:rPr>
          <w:rFonts w:ascii="Times New Roman" w:eastAsia="Times New Roman" w:hAnsi="Times New Roman" w:cs="Times New Roman"/>
          <w:color w:val="000000"/>
          <w:kern w:val="0"/>
          <w:sz w:val="22"/>
          <w:szCs w:val="22"/>
          <w14:ligatures w14:val="none"/>
        </w:rPr>
        <w:t>.</w:t>
      </w:r>
    </w:p>
    <w:p w14:paraId="5EC3B7F2"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p>
    <w:p w14:paraId="1574A1D3"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Reliability Indices</w:t>
      </w:r>
    </w:p>
    <w:p w14:paraId="3670C623" w14:textId="29338803" w:rsidR="006856C6"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Six</w:t>
      </w:r>
      <w:r w:rsidRPr="00511459">
        <w:rPr>
          <w:rFonts w:ascii="Times New Roman" w:eastAsia="Times New Roman" w:hAnsi="Times New Roman" w:cs="Times New Roman"/>
          <w:color w:val="000000"/>
          <w:kern w:val="0"/>
          <w:sz w:val="22"/>
          <w:szCs w:val="22"/>
          <w14:ligatures w14:val="none"/>
        </w:rPr>
        <w:t xml:space="preserve"> studies contributed reliability data</w:t>
      </w:r>
      <w:r>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zDxGChd6","properties":{"formattedCitation":"(12,14,15,26,28,30)","plainCitation":"(12,14,15,26,28,30)","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J."}],"issued":{"date-parts":[["2016",11,3]]}}},{"id":1014,"uris":["http://zotero.org/users/15549944/items/XRW3ARDR"],"itemData":{"id":1014,"type":"article-journal","abstract":"Background: Our primary aim is to quantify test reliability and compliance of glaucoma patients to a weekly visual field telemedicine (VFTM) schedule. A secondary aim is to determine concordance of the VFTM results to in-clinic outcomes. Methods: Participants with stable glaucoma in one eye were recruited for a 12 month VFTM trial using the Melbourne Rapid Fields (MRF-home, MRFh) iPad application. Participants attended routine 6 month clinical reviews and were tasked with weekly home monitoring with the MRFh over this period. We determined compliance to weekly VFTM (7 + 1 days) and test reliability (false positives (FPs) and fixation loss (FL) &lt;33%). A secondary aim considered concordance to in-clinic measures of visual field (MRF-clinic (MRFc) and the Humphrey Field Analyzer (HFA)) in active participants (≥10 home examinations and 5 reliable HFA examinations). The linear trend in the MRFh mean deviation (MD) was compared to the HFA guided progression analysis (GPA) using Bland−Altman methods. Data are shown as the mean ± standard deviation. Results: Forty-seven participants with a mean age of 64 ± 14.6 years were recruited for the trial. The VFTM uptake was 85% and compliance to weekly home monitoring was 75% in the presence of weekly text reminders in the analysed group (n = 20). The analysed group was composed of test subjects with five reliable in-clinic HFA examinations (GPA analysis available) and who submitted a minimum of 10 MRFh examinations from home. Of the 757 home examinations returned, approximately two-thirds were reliable, which was significantly lower than the test reliability of the HFA in-clinic (MRFh: 65% vs. HFA: 85%, p &lt; 0.001). The HFA-GPA analysis gave little bias from the MRFh slope (bias: 0.05 dB/yr, p &gt; 0.05). Two eyes were found to have clinical progression during the 12 month period, and both were detected by VFTM. Conclusions: VFTM over 12 months returned good compliance (75%) to weekly testing with good concordance to in-clinic assays. VFTM is a viable option for monitoring patients with glaucoma for visual field progression in between clinical visits.","container-title":"Journal of Clinical Medicine","DOI":"10.3390/jcm11154317","ISSN":"2077-0383","issue":"15","journalAbbreviation":"J Clin Med","language":"eng","note":"PMID: 35893408\nPMCID: PMC9332101","page":"4317","source":"PubMed","title":"Test Reliability and Compliance to a Twelve-Month Visual Field Telemedicine Study in Glaucoma Patients","volume":"11","author":[{"family":"Prea","given":"Selwyn Marc"},{"family":"Vingrys","given":"Algis Jonas"},{"family":"Kong","given":"George Yu Xiang"}],"issued":{"date-parts":[["2022",7,25]]}}},{"id":1020,"uris":["http://zotero.org/users/15549944/items/UCHYBAMG"],"itemData":{"id":1020,"type":"article-journal","container-title":"American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L"}],"issued":{"date-parts":[["2018"]]}}},{"id":481,"uris":["http://zotero.org/users/15549944/items/8KZNUEKM"],"itemData":{"id":481,"type":"article-journal","container-title":"American Journal of Ophthalmology","DOI":"10.1016/j.ajo.2020.10.023","ISSN":"0002-9394, 1879-1891","journalAbbreviation":"American Journal of Ophthalmology","language":"English","note":"publisher: Elsevier\nPMID: 33221287","page":"286-295","source":"www.ajo.com","title":"Uptake, Persistence, and Performance of Weekly Home Monitoring of Visual Field in a Large Cohort of Patients With Glaucoma","volume":"223","author":[{"family":"Prea","given":"Selwyn M."},{"family":"Kong","given":"George Y. X."},{"family":"Guymer","given":"Robyn H."},{"family":"Vingrys","given":"Algis J."}],"issued":{"date-parts":[["2021",3,1]]}},"locator":"2"},{"id":981,"uris":["http://zotero.org/users/15549944/items/M2J66U39"],"itemData":{"id":981,"type":"article-journal","abstract":"PURPOSE: This study aims to evaluate the efficacy and practicality of the Melbourne Rapid Fields (MRF) web-browser based perimeter software, compared to the conventional Humphrey Field Analyzer (HFA) 24-2 Swedish Interactive Threshold Algorithm (SITA) Standard Protocol in a hospital environment in China.\nMETHODS: The study was conducted in a clinical practice setting from December 2023 to August 2024. A total of 113 Chinese speaking participants were enrolled, with 91 eyes from 91 patients included in the analysis. Participants underwent visual field (VF) testing using both HFA and MRF. MRF was conducted with computer audio guidance in Chinese. The primary outcome measures included mean deviation (MD), pattern standard deviation (PSD), test duration, and reliability indicators.\nRESULTS: MRF returned a significant correlation with HFA for MD (Intraclass Correlation Coefficients [ICC] = 0.91, 95% confidence interval [CI] = 0.82-0.95) and PSD (ICC = 0.88, 95% CI = 0.82-0.92). The average test duration was notably shorter for MRF (266 ± 41 seconds) compared to HFA (385 ± 83 seconds, P &lt; 0.001). Bland-Altman analysis revealed a mean bias of -1.8 decibels (dB) for MD and 0.4 dB for PSD (HFA-MRF). Additionally, MRF demonstrated high sensitivity and specificity, achieving an area under the curve (AUC) of 0.92 and 0.93 for MD and PSD, respectively. Furthermore, MRF found fewer false positive results.\nCONCLUSIONS: MRF offers a reliable, efficient, and patient-friendly alternative to traditional VF testing for Chinese patients. Its implementation could substantially improve access to glaucoma care, especially in underserved regions and for patients unable to attend regular clinic appointments.\nTRANSLATIONAL RELEVANCE: MRF enables accessible, efficient glaucoma care, offering a reliable alternative to HFA, particularly for underserved Chinese populations.","container-title":"Translational Vision Science &amp; Technology","DOI":"10.1167/tvst.14.7.18","ISSN":"2164-2591","issue":"7","journalAbbreviation":"Transl Vis Sci Technol","language":"eng","note":"PMID: 40699176\nPMCID: PMC12306691","page":"18","source":"PubMed","title":"Comparative Analysis of Melbourne Rapid Fields Web-Browser Perimeter and Humphrey Field Analyzer in Chinese Glaucoma Patients","volume":"14","author":[{"family":"Chen","given":"De-Fu"},{"family":"Zhou","given":"Wenzhe"},{"family":"Lu","given":"Xiaonan"},{"family":"Wang","given":"Tao"},{"family":"Wang","given":"Chenmin"},{"family":"Wang","given":"Yaoyao"},{"family":"Kong","given":"Yu Xiang George"},{"family":"Vingrys","given":"Algis J."},{"family":"Ye","given":"Cong"},{"family":"Liang","given":"Yuanbo"}],"issued":{"date-parts":[["2025",7,1]]}},"locator":"202"}],"schema":"https://github.com/citation-style-language/schema/raw/master/csl-citation.json"} </w:instrText>
      </w:r>
      <w:r>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(12,14,15,26,28,30)</w:t>
      </w:r>
      <w:r>
        <w:rPr>
          <w:rFonts w:ascii="Times New Roman" w:eastAsia="Times New Roman" w:hAnsi="Times New Roman" w:cs="Times New Roman"/>
          <w:color w:val="000000"/>
          <w:kern w:val="0"/>
          <w:sz w:val="22"/>
          <w:szCs w:val="22"/>
          <w14:ligatures w14:val="none"/>
        </w:rPr>
        <w:fldChar w:fldCharType="end"/>
      </w:r>
      <w:r>
        <w:rPr>
          <w:rFonts w:ascii="Times New Roman" w:eastAsia="Times New Roman" w:hAnsi="Times New Roman" w:cs="Times New Roman"/>
          <w:color w:val="000000"/>
          <w:kern w:val="0"/>
          <w:sz w:val="22"/>
          <w:szCs w:val="22"/>
          <w14:ligatures w14:val="none"/>
        </w:rPr>
        <w:t>, including 531 eyes</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w:t>
      </w:r>
      <w:r w:rsidRPr="00511459">
        <w:rPr>
          <w:rFonts w:ascii="Times New Roman" w:eastAsia="Times New Roman" w:hAnsi="Times New Roman" w:cs="Times New Roman"/>
          <w:color w:val="000000"/>
          <w:kern w:val="0"/>
          <w:sz w:val="22"/>
          <w:szCs w:val="22"/>
          <w14:ligatures w14:val="none"/>
        </w:rPr>
        <w:t>he pooled proportion</w:t>
      </w:r>
      <w:r>
        <w:rPr>
          <w:rFonts w:ascii="Times New Roman" w:eastAsia="Times New Roman" w:hAnsi="Times New Roman" w:cs="Times New Roman"/>
          <w:color w:val="000000"/>
          <w:kern w:val="0"/>
          <w:sz w:val="22"/>
          <w:szCs w:val="22"/>
          <w14:ligatures w14:val="none"/>
        </w:rPr>
        <w:t xml:space="preserve"> of fixation losses</w:t>
      </w:r>
      <w:r w:rsidRPr="00511459">
        <w:rPr>
          <w:rFonts w:ascii="Times New Roman" w:eastAsia="Times New Roman" w:hAnsi="Times New Roman" w:cs="Times New Roman"/>
          <w:color w:val="000000"/>
          <w:kern w:val="0"/>
          <w:sz w:val="22"/>
          <w:szCs w:val="22"/>
          <w14:ligatures w14:val="none"/>
        </w:rPr>
        <w:t xml:space="preserve"> was 1</w:t>
      </w:r>
      <w:r>
        <w:rPr>
          <w:rFonts w:ascii="Times New Roman" w:eastAsia="Times New Roman" w:hAnsi="Times New Roman" w:cs="Times New Roman"/>
          <w:color w:val="000000"/>
          <w:kern w:val="0"/>
          <w:sz w:val="22"/>
          <w:szCs w:val="22"/>
          <w14:ligatures w14:val="none"/>
        </w:rPr>
        <w:t>2</w:t>
      </w:r>
      <w:r w:rsidRPr="00511459">
        <w:rPr>
          <w:rFonts w:ascii="Times New Roman" w:eastAsia="Times New Roman" w:hAnsi="Times New Roman" w:cs="Times New Roman"/>
          <w:color w:val="000000"/>
          <w:kern w:val="0"/>
          <w:sz w:val="22"/>
          <w:szCs w:val="22"/>
          <w14:ligatures w14:val="none"/>
        </w:rPr>
        <w:t xml:space="preserve">% for HFA (95% CI: </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%–2</w:t>
      </w:r>
      <w:r>
        <w:rPr>
          <w:rFonts w:ascii="Times New Roman" w:eastAsia="Times New Roman" w:hAnsi="Times New Roman" w:cs="Times New Roman"/>
          <w:color w:val="000000"/>
          <w:kern w:val="0"/>
          <w:sz w:val="22"/>
          <w:szCs w:val="22"/>
          <w14:ligatures w14:val="none"/>
        </w:rPr>
        <w:t>1</w:t>
      </w:r>
      <w:r w:rsidRPr="00511459">
        <w:rPr>
          <w:rFonts w:ascii="Times New Roman" w:eastAsia="Times New Roman" w:hAnsi="Times New Roman" w:cs="Times New Roman"/>
          <w:color w:val="000000"/>
          <w:kern w:val="0"/>
          <w:sz w:val="22"/>
          <w:szCs w:val="22"/>
          <w14:ligatures w14:val="none"/>
        </w:rPr>
        <w:t>%; I² = 100%) and 2</w:t>
      </w:r>
      <w:r>
        <w:rPr>
          <w:rFonts w:ascii="Times New Roman" w:eastAsia="Times New Roman" w:hAnsi="Times New Roman" w:cs="Times New Roman"/>
          <w:color w:val="000000"/>
          <w:kern w:val="0"/>
          <w:sz w:val="22"/>
          <w:szCs w:val="22"/>
          <w14:ligatures w14:val="none"/>
        </w:rPr>
        <w:t>6</w:t>
      </w:r>
      <w:r w:rsidRPr="00511459">
        <w:rPr>
          <w:rFonts w:ascii="Times New Roman" w:eastAsia="Times New Roman" w:hAnsi="Times New Roman" w:cs="Times New Roman"/>
          <w:color w:val="000000"/>
          <w:kern w:val="0"/>
          <w:sz w:val="22"/>
          <w:szCs w:val="22"/>
          <w14:ligatures w14:val="none"/>
        </w:rPr>
        <w:t>% for MRF (95% CI: 1</w:t>
      </w:r>
      <w:r>
        <w:rPr>
          <w:rFonts w:ascii="Times New Roman" w:eastAsia="Times New Roman" w:hAnsi="Times New Roman" w:cs="Times New Roman"/>
          <w:color w:val="000000"/>
          <w:kern w:val="0"/>
          <w:sz w:val="22"/>
          <w:szCs w:val="22"/>
          <w14:ligatures w14:val="none"/>
        </w:rPr>
        <w:t>6</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37</w:t>
      </w:r>
      <w:r w:rsidRPr="00511459">
        <w:rPr>
          <w:rFonts w:ascii="Times New Roman" w:eastAsia="Times New Roman" w:hAnsi="Times New Roman" w:cs="Times New Roman"/>
          <w:color w:val="000000"/>
          <w:kern w:val="0"/>
          <w:sz w:val="22"/>
          <w:szCs w:val="22"/>
          <w14:ligatures w14:val="none"/>
        </w:rPr>
        <w:t>%; I² = 99.7</w:t>
      </w:r>
      <w:r w:rsidR="00382845" w:rsidRPr="00511459">
        <w:rPr>
          <w:rFonts w:ascii="Times New Roman" w:eastAsia="Times New Roman" w:hAnsi="Times New Roman" w:cs="Times New Roman"/>
          <w:color w:val="000000"/>
          <w:kern w:val="0"/>
          <w:sz w:val="22"/>
          <w:szCs w:val="22"/>
          <w14:ligatures w14:val="none"/>
        </w:rPr>
        <w:t>%)</w:t>
      </w:r>
      <w:r w:rsidR="00382845">
        <w:rPr>
          <w:rFonts w:ascii="Times New Roman" w:eastAsia="Times New Roman" w:hAnsi="Times New Roman" w:cs="Times New Roman"/>
          <w:color w:val="000000"/>
          <w:kern w:val="0"/>
          <w:sz w:val="22"/>
          <w:szCs w:val="22"/>
          <w14:ligatures w14:val="none"/>
        </w:rPr>
        <w:t xml:space="preserve"> (Supplementary Figure 5)</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w:t>
      </w:r>
      <w:r w:rsidRPr="00511459">
        <w:rPr>
          <w:rFonts w:ascii="Times New Roman" w:eastAsia="Times New Roman" w:hAnsi="Times New Roman" w:cs="Times New Roman"/>
          <w:color w:val="000000"/>
          <w:kern w:val="0"/>
          <w:sz w:val="22"/>
          <w:szCs w:val="22"/>
          <w14:ligatures w14:val="none"/>
        </w:rPr>
        <w:t xml:space="preserve">he pooled false-positive proportion was 2% for HFA (95% CI: </w:t>
      </w:r>
      <w:r>
        <w:rPr>
          <w:rFonts w:ascii="Times New Roman" w:eastAsia="Times New Roman" w:hAnsi="Times New Roman" w:cs="Times New Roman"/>
          <w:color w:val="000000"/>
          <w:kern w:val="0"/>
          <w:sz w:val="22"/>
          <w:szCs w:val="22"/>
          <w14:ligatures w14:val="none"/>
        </w:rPr>
        <w:t>2</w:t>
      </w:r>
      <w:r w:rsidRPr="00511459">
        <w:rPr>
          <w:rFonts w:ascii="Times New Roman" w:eastAsia="Times New Roman" w:hAnsi="Times New Roman" w:cs="Times New Roman"/>
          <w:color w:val="000000"/>
          <w:kern w:val="0"/>
          <w:sz w:val="22"/>
          <w:szCs w:val="22"/>
          <w14:ligatures w14:val="none"/>
        </w:rPr>
        <w:t>%–3%; I² = 8</w:t>
      </w:r>
      <w:r>
        <w:rPr>
          <w:rFonts w:ascii="Times New Roman" w:eastAsia="Times New Roman" w:hAnsi="Times New Roman" w:cs="Times New Roman"/>
          <w:color w:val="000000"/>
          <w:kern w:val="0"/>
          <w:sz w:val="22"/>
          <w:szCs w:val="22"/>
          <w14:ligatures w14:val="none"/>
        </w:rPr>
        <w:t>6.2</w:t>
      </w:r>
      <w:r w:rsidRPr="00511459">
        <w:rPr>
          <w:rFonts w:ascii="Times New Roman" w:eastAsia="Times New Roman" w:hAnsi="Times New Roman" w:cs="Times New Roman"/>
          <w:color w:val="000000"/>
          <w:kern w:val="0"/>
          <w:sz w:val="22"/>
          <w:szCs w:val="22"/>
          <w14:ligatures w14:val="none"/>
        </w:rPr>
        <w:t xml:space="preserve">%) and </w:t>
      </w:r>
      <w:r>
        <w:rPr>
          <w:rFonts w:ascii="Times New Roman" w:eastAsia="Times New Roman" w:hAnsi="Times New Roman" w:cs="Times New Roman"/>
          <w:color w:val="000000"/>
          <w:kern w:val="0"/>
          <w:sz w:val="22"/>
          <w:szCs w:val="22"/>
          <w14:ligatures w14:val="none"/>
        </w:rPr>
        <w:t>7</w:t>
      </w:r>
      <w:r w:rsidRPr="00511459">
        <w:rPr>
          <w:rFonts w:ascii="Times New Roman" w:eastAsia="Times New Roman" w:hAnsi="Times New Roman" w:cs="Times New Roman"/>
          <w:color w:val="000000"/>
          <w:kern w:val="0"/>
          <w:sz w:val="22"/>
          <w:szCs w:val="22"/>
          <w14:ligatures w14:val="none"/>
        </w:rPr>
        <w:t xml:space="preserve">% for MRF (95% CI: </w:t>
      </w:r>
      <w:r>
        <w:rPr>
          <w:rFonts w:ascii="Times New Roman" w:eastAsia="Times New Roman" w:hAnsi="Times New Roman" w:cs="Times New Roman"/>
          <w:color w:val="000000"/>
          <w:kern w:val="0"/>
          <w:sz w:val="22"/>
          <w:szCs w:val="22"/>
          <w14:ligatures w14:val="none"/>
        </w:rPr>
        <w:t>0</w:t>
      </w:r>
      <w:r w:rsidRPr="00511459">
        <w:rPr>
          <w:rFonts w:ascii="Times New Roman" w:eastAsia="Times New Roman" w:hAnsi="Times New Roman" w:cs="Times New Roman"/>
          <w:color w:val="000000"/>
          <w:kern w:val="0"/>
          <w:sz w:val="22"/>
          <w:szCs w:val="22"/>
          <w14:ligatures w14:val="none"/>
        </w:rPr>
        <w:t xml:space="preserve">%–13.4%; I² = </w:t>
      </w:r>
      <w:r>
        <w:rPr>
          <w:rFonts w:ascii="Times New Roman" w:eastAsia="Times New Roman" w:hAnsi="Times New Roman" w:cs="Times New Roman"/>
          <w:color w:val="000000"/>
          <w:kern w:val="0"/>
          <w:sz w:val="22"/>
          <w:szCs w:val="22"/>
          <w14:ligatures w14:val="none"/>
        </w:rPr>
        <w:t>99.5</w:t>
      </w:r>
      <w:r w:rsidRPr="00511459">
        <w:rPr>
          <w:rFonts w:ascii="Times New Roman" w:eastAsia="Times New Roman" w:hAnsi="Times New Roman" w:cs="Times New Roman"/>
          <w:color w:val="000000"/>
          <w:kern w:val="0"/>
          <w:sz w:val="22"/>
          <w:szCs w:val="22"/>
          <w14:ligatures w14:val="none"/>
        </w:rPr>
        <w:t>%)</w:t>
      </w:r>
      <w:r w:rsidR="00382845">
        <w:rPr>
          <w:rFonts w:ascii="Times New Roman" w:eastAsia="Times New Roman" w:hAnsi="Times New Roman" w:cs="Times New Roman"/>
          <w:color w:val="000000"/>
          <w:kern w:val="0"/>
          <w:sz w:val="22"/>
          <w:szCs w:val="22"/>
          <w14:ligatures w14:val="none"/>
        </w:rPr>
        <w:t xml:space="preserve"> (Supplementary Figure 6)</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w:t>
      </w:r>
      <w:r w:rsidRPr="00511459">
        <w:rPr>
          <w:rFonts w:ascii="Times New Roman" w:eastAsia="Times New Roman" w:hAnsi="Times New Roman" w:cs="Times New Roman"/>
          <w:color w:val="000000"/>
          <w:kern w:val="0"/>
          <w:sz w:val="22"/>
          <w:szCs w:val="22"/>
          <w14:ligatures w14:val="none"/>
        </w:rPr>
        <w:t xml:space="preserve">he </w:t>
      </w:r>
      <w:r w:rsidRPr="00511459">
        <w:rPr>
          <w:rFonts w:ascii="Times New Roman" w:eastAsia="Times New Roman" w:hAnsi="Times New Roman" w:cs="Times New Roman"/>
          <w:color w:val="000000"/>
          <w:kern w:val="0"/>
          <w:sz w:val="22"/>
          <w:szCs w:val="22"/>
          <w14:ligatures w14:val="none"/>
        </w:rPr>
        <w:lastRenderedPageBreak/>
        <w:t xml:space="preserve">pooled false-negative proportion was </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 xml:space="preserve">% for HFA (95% CI: </w:t>
      </w:r>
      <w:r>
        <w:rPr>
          <w:rFonts w:ascii="Times New Roman" w:eastAsia="Times New Roman" w:hAnsi="Times New Roman" w:cs="Times New Roman"/>
          <w:color w:val="000000"/>
          <w:kern w:val="0"/>
          <w:sz w:val="22"/>
          <w:szCs w:val="22"/>
          <w14:ligatures w14:val="none"/>
        </w:rPr>
        <w:t>2</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I² = 9</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4</w:t>
      </w:r>
      <w:r w:rsidRPr="00511459">
        <w:rPr>
          <w:rFonts w:ascii="Times New Roman" w:eastAsia="Times New Roman" w:hAnsi="Times New Roman" w:cs="Times New Roman"/>
          <w:color w:val="000000"/>
          <w:kern w:val="0"/>
          <w:sz w:val="22"/>
          <w:szCs w:val="22"/>
          <w14:ligatures w14:val="none"/>
        </w:rPr>
        <w:t xml:space="preserve">%) and </w:t>
      </w:r>
      <w:r>
        <w:rPr>
          <w:rFonts w:ascii="Times New Roman" w:eastAsia="Times New Roman" w:hAnsi="Times New Roman" w:cs="Times New Roman"/>
          <w:color w:val="000000"/>
          <w:kern w:val="0"/>
          <w:sz w:val="22"/>
          <w:szCs w:val="22"/>
          <w14:ligatures w14:val="none"/>
        </w:rPr>
        <w:t>9</w:t>
      </w:r>
      <w:r w:rsidRPr="00511459">
        <w:rPr>
          <w:rFonts w:ascii="Times New Roman" w:eastAsia="Times New Roman" w:hAnsi="Times New Roman" w:cs="Times New Roman"/>
          <w:color w:val="000000"/>
          <w:kern w:val="0"/>
          <w:sz w:val="22"/>
          <w:szCs w:val="22"/>
          <w14:ligatures w14:val="none"/>
        </w:rPr>
        <w:t xml:space="preserve">% for MRF (95% CI: </w:t>
      </w:r>
      <w:r>
        <w:rPr>
          <w:rFonts w:ascii="Times New Roman" w:eastAsia="Times New Roman" w:hAnsi="Times New Roman" w:cs="Times New Roman"/>
          <w:color w:val="000000"/>
          <w:kern w:val="0"/>
          <w:sz w:val="22"/>
          <w:szCs w:val="22"/>
          <w14:ligatures w14:val="none"/>
        </w:rPr>
        <w:t>5</w:t>
      </w:r>
      <w:r w:rsidRPr="00511459">
        <w:rPr>
          <w:rFonts w:ascii="Times New Roman" w:eastAsia="Times New Roman" w:hAnsi="Times New Roman" w:cs="Times New Roman"/>
          <w:color w:val="000000"/>
          <w:kern w:val="0"/>
          <w:sz w:val="22"/>
          <w:szCs w:val="22"/>
          <w14:ligatures w14:val="none"/>
        </w:rPr>
        <w:t xml:space="preserve">%–12%; I² = </w:t>
      </w:r>
      <w:r>
        <w:rPr>
          <w:rFonts w:ascii="Times New Roman" w:eastAsia="Times New Roman" w:hAnsi="Times New Roman" w:cs="Times New Roman"/>
          <w:color w:val="000000"/>
          <w:kern w:val="0"/>
          <w:sz w:val="22"/>
          <w:szCs w:val="22"/>
          <w14:ligatures w14:val="none"/>
        </w:rPr>
        <w:t>88.5</w:t>
      </w:r>
      <w:r w:rsidR="00785DEB" w:rsidRPr="00511459">
        <w:rPr>
          <w:rFonts w:ascii="Times New Roman" w:eastAsia="Times New Roman" w:hAnsi="Times New Roman" w:cs="Times New Roman"/>
          <w:color w:val="000000"/>
          <w:kern w:val="0"/>
          <w:sz w:val="22"/>
          <w:szCs w:val="22"/>
          <w14:ligatures w14:val="none"/>
        </w:rPr>
        <w:t>%)</w:t>
      </w:r>
      <w:r w:rsidR="00785DEB">
        <w:rPr>
          <w:rFonts w:ascii="Times New Roman" w:eastAsia="Times New Roman" w:hAnsi="Times New Roman" w:cs="Times New Roman"/>
          <w:color w:val="000000"/>
          <w:kern w:val="0"/>
          <w:sz w:val="22"/>
          <w:szCs w:val="22"/>
          <w14:ligatures w14:val="none"/>
        </w:rPr>
        <w:t xml:space="preserve"> (Supplementary Figure </w:t>
      </w:r>
      <w:r w:rsidR="00382845">
        <w:rPr>
          <w:rFonts w:ascii="Times New Roman" w:eastAsia="Times New Roman" w:hAnsi="Times New Roman" w:cs="Times New Roman"/>
          <w:color w:val="000000"/>
          <w:kern w:val="0"/>
          <w:sz w:val="22"/>
          <w:szCs w:val="22"/>
          <w14:ligatures w14:val="none"/>
        </w:rPr>
        <w:t>7</w:t>
      </w:r>
      <w:r w:rsidR="00785DEB">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w:t>
      </w:r>
    </w:p>
    <w:p w14:paraId="1F6E062E" w14:textId="77777777" w:rsidR="006856C6"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p>
    <w:p w14:paraId="5AEFE7E7" w14:textId="77777777" w:rsidR="006856C6" w:rsidRPr="002C4A5A" w:rsidRDefault="006856C6" w:rsidP="006856C6">
      <w:pPr>
        <w:spacing w:after="0" w:line="240" w:lineRule="auto"/>
        <w:jc w:val="both"/>
        <w:rPr>
          <w:rFonts w:ascii="Times New Roman" w:eastAsia="Times New Roman" w:hAnsi="Times New Roman" w:cs="Times New Roman"/>
          <w:i/>
          <w:iCs/>
          <w:color w:val="000000"/>
          <w:kern w:val="0"/>
          <w:sz w:val="22"/>
          <w:szCs w:val="22"/>
          <w14:ligatures w14:val="none"/>
        </w:rPr>
      </w:pPr>
      <w:r w:rsidRPr="002C4A5A">
        <w:rPr>
          <w:rFonts w:ascii="Times New Roman" w:eastAsia="Times New Roman" w:hAnsi="Times New Roman" w:cs="Times New Roman"/>
          <w:i/>
          <w:iCs/>
          <w:color w:val="000000"/>
          <w:kern w:val="0"/>
          <w:sz w:val="22"/>
          <w:szCs w:val="22"/>
          <w14:ligatures w14:val="none"/>
        </w:rPr>
        <w:t>Meta-Regression</w:t>
      </w:r>
    </w:p>
    <w:p w14:paraId="40A076EA" w14:textId="03558B09"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r w:rsidRPr="0017714B">
        <w:rPr>
          <w:rFonts w:ascii="Times New Roman" w:eastAsia="Times New Roman" w:hAnsi="Times New Roman" w:cs="Times New Roman"/>
          <w:color w:val="000000"/>
          <w:kern w:val="0"/>
          <w:sz w:val="22"/>
          <w:szCs w:val="22"/>
          <w14:ligatures w14:val="none"/>
        </w:rPr>
        <w:t>Meta-regression analyses using developer involvement</w:t>
      </w:r>
      <w:r>
        <w:rPr>
          <w:rFonts w:ascii="Times New Roman" w:eastAsia="Times New Roman" w:hAnsi="Times New Roman" w:cs="Times New Roman"/>
          <w:color w:val="000000"/>
          <w:kern w:val="0"/>
          <w:sz w:val="22"/>
          <w:szCs w:val="22"/>
          <w14:ligatures w14:val="none"/>
        </w:rPr>
        <w:t xml:space="preserve"> </w:t>
      </w:r>
      <w:r w:rsidRPr="0017714B">
        <w:rPr>
          <w:rFonts w:ascii="Times New Roman" w:eastAsia="Times New Roman" w:hAnsi="Times New Roman" w:cs="Times New Roman"/>
          <w:color w:val="000000"/>
          <w:kern w:val="0"/>
          <w:sz w:val="22"/>
          <w:szCs w:val="22"/>
          <w14:ligatures w14:val="none"/>
        </w:rPr>
        <w:t xml:space="preserve">as the independent variable, </w:t>
      </w:r>
      <w:r>
        <w:rPr>
          <w:rFonts w:ascii="Times New Roman" w:eastAsia="Times New Roman" w:hAnsi="Times New Roman" w:cs="Times New Roman"/>
          <w:color w:val="000000"/>
          <w:kern w:val="0"/>
          <w:sz w:val="22"/>
          <w:szCs w:val="22"/>
          <w14:ligatures w14:val="none"/>
        </w:rPr>
        <w:t>and</w:t>
      </w:r>
      <w:r w:rsidRPr="0017714B">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pooled </w:t>
      </w:r>
      <w:r w:rsidRPr="0017714B">
        <w:rPr>
          <w:rFonts w:ascii="Times New Roman" w:eastAsia="Times New Roman" w:hAnsi="Times New Roman" w:cs="Times New Roman"/>
          <w:color w:val="000000"/>
          <w:kern w:val="0"/>
          <w:sz w:val="22"/>
          <w:szCs w:val="22"/>
          <w14:ligatures w14:val="none"/>
        </w:rPr>
        <w:t xml:space="preserve">perimetric outcomes as dependent variables </w:t>
      </w:r>
      <w:r w:rsidR="00924685">
        <w:rPr>
          <w:rFonts w:ascii="Times New Roman" w:eastAsia="Times New Roman" w:hAnsi="Times New Roman" w:cs="Times New Roman"/>
          <w:color w:val="000000"/>
          <w:kern w:val="0"/>
          <w:sz w:val="22"/>
          <w:szCs w:val="22"/>
          <w14:ligatures w14:val="none"/>
        </w:rPr>
        <w:t>found</w:t>
      </w:r>
      <w:r w:rsidR="00924685" w:rsidRPr="0017714B">
        <w:rPr>
          <w:rFonts w:ascii="Times New Roman" w:eastAsia="Times New Roman" w:hAnsi="Times New Roman" w:cs="Times New Roman"/>
          <w:color w:val="000000"/>
          <w:kern w:val="0"/>
          <w:sz w:val="22"/>
          <w:szCs w:val="22"/>
          <w14:ligatures w14:val="none"/>
        </w:rPr>
        <w:t xml:space="preserve"> </w:t>
      </w:r>
      <w:r w:rsidRPr="0017714B">
        <w:rPr>
          <w:rFonts w:ascii="Times New Roman" w:eastAsia="Times New Roman" w:hAnsi="Times New Roman" w:cs="Times New Roman"/>
          <w:color w:val="000000"/>
          <w:kern w:val="0"/>
          <w:sz w:val="22"/>
          <w:szCs w:val="22"/>
          <w14:ligatures w14:val="none"/>
        </w:rPr>
        <w:t xml:space="preserve">no statistically significant </w:t>
      </w:r>
      <w:r>
        <w:rPr>
          <w:rFonts w:ascii="Times New Roman" w:eastAsia="Times New Roman" w:hAnsi="Times New Roman" w:cs="Times New Roman"/>
          <w:color w:val="000000"/>
          <w:kern w:val="0"/>
          <w:sz w:val="22"/>
          <w:szCs w:val="22"/>
          <w14:ligatures w14:val="none"/>
        </w:rPr>
        <w:t>association between</w:t>
      </w:r>
      <w:r w:rsidRPr="0017714B">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the</w:t>
      </w:r>
      <w:r w:rsidRPr="0017714B">
        <w:rPr>
          <w:rFonts w:ascii="Times New Roman" w:eastAsia="Times New Roman" w:hAnsi="Times New Roman" w:cs="Times New Roman"/>
          <w:color w:val="000000"/>
          <w:kern w:val="0"/>
          <w:sz w:val="22"/>
          <w:szCs w:val="22"/>
          <w14:ligatures w14:val="none"/>
        </w:rPr>
        <w:t xml:space="preserve"> developer involvement on any </w:t>
      </w:r>
      <w:r>
        <w:rPr>
          <w:rFonts w:ascii="Times New Roman" w:eastAsia="Times New Roman" w:hAnsi="Times New Roman" w:cs="Times New Roman"/>
          <w:color w:val="000000"/>
          <w:kern w:val="0"/>
          <w:sz w:val="22"/>
          <w:szCs w:val="22"/>
          <w14:ligatures w14:val="none"/>
        </w:rPr>
        <w:t xml:space="preserve">of the tested </w:t>
      </w:r>
      <w:r w:rsidRPr="0017714B">
        <w:rPr>
          <w:rFonts w:ascii="Times New Roman" w:eastAsia="Times New Roman" w:hAnsi="Times New Roman" w:cs="Times New Roman"/>
          <w:color w:val="000000"/>
          <w:kern w:val="0"/>
          <w:sz w:val="22"/>
          <w:szCs w:val="22"/>
          <w14:ligatures w14:val="none"/>
        </w:rPr>
        <w:t>outcome</w:t>
      </w:r>
      <w:r>
        <w:rPr>
          <w:rFonts w:ascii="Times New Roman" w:eastAsia="Times New Roman" w:hAnsi="Times New Roman" w:cs="Times New Roman"/>
          <w:color w:val="000000"/>
          <w:kern w:val="0"/>
          <w:sz w:val="22"/>
          <w:szCs w:val="22"/>
          <w14:ligatures w14:val="none"/>
        </w:rPr>
        <w:t>s:</w:t>
      </w:r>
      <w:r w:rsidRPr="0017714B">
        <w:rPr>
          <w:rFonts w:ascii="Times New Roman" w:eastAsia="Times New Roman" w:hAnsi="Times New Roman" w:cs="Times New Roman"/>
          <w:color w:val="000000"/>
          <w:kern w:val="0"/>
          <w:sz w:val="22"/>
          <w:szCs w:val="22"/>
          <w14:ligatures w14:val="none"/>
        </w:rPr>
        <w:t xml:space="preserve"> mean difference in testing time (p = 0.37), mean difference in MD (p = 0.43), mean difference in PSD (p = 0.27), ICC for concordance between MRF and HFA (p = 0.75), </w:t>
      </w:r>
      <w:r>
        <w:rPr>
          <w:rFonts w:ascii="Times New Roman" w:eastAsia="Times New Roman" w:hAnsi="Times New Roman" w:cs="Times New Roman"/>
          <w:color w:val="000000"/>
          <w:kern w:val="0"/>
          <w:sz w:val="22"/>
          <w:szCs w:val="22"/>
          <w14:ligatures w14:val="none"/>
        </w:rPr>
        <w:t>and</w:t>
      </w:r>
      <w:r w:rsidRPr="0017714B">
        <w:rPr>
          <w:rFonts w:ascii="Times New Roman" w:eastAsia="Times New Roman" w:hAnsi="Times New Roman" w:cs="Times New Roman"/>
          <w:color w:val="000000"/>
          <w:kern w:val="0"/>
          <w:sz w:val="22"/>
          <w:szCs w:val="22"/>
          <w14:ligatures w14:val="none"/>
        </w:rPr>
        <w:t xml:space="preserve"> test–retest ICC for MRF (p = 0.73).</w:t>
      </w:r>
    </w:p>
    <w:p w14:paraId="66FEBB5C" w14:textId="77777777" w:rsidR="006856C6" w:rsidRPr="00511459" w:rsidRDefault="006856C6" w:rsidP="006856C6">
      <w:pPr>
        <w:spacing w:after="0" w:line="240" w:lineRule="auto"/>
        <w:jc w:val="both"/>
        <w:outlineLvl w:val="2"/>
        <w:rPr>
          <w:rFonts w:ascii="Times New Roman" w:eastAsia="Times New Roman" w:hAnsi="Times New Roman" w:cs="Times New Roman"/>
          <w:color w:val="000000"/>
          <w:kern w:val="0"/>
          <w:sz w:val="22"/>
          <w:szCs w:val="22"/>
          <w14:ligatures w14:val="none"/>
        </w:rPr>
      </w:pPr>
    </w:p>
    <w:p w14:paraId="556695C8" w14:textId="77777777" w:rsidR="006856C6" w:rsidRPr="00511459" w:rsidRDefault="006856C6" w:rsidP="006856C6">
      <w:pPr>
        <w:spacing w:after="0" w:line="240" w:lineRule="auto"/>
        <w:jc w:val="both"/>
        <w:outlineLvl w:val="2"/>
        <w:rPr>
          <w:rFonts w:ascii="Times New Roman" w:eastAsia="Times New Roman" w:hAnsi="Times New Roman" w:cs="Times New Roman"/>
          <w:i/>
          <w:iCs/>
          <w:color w:val="000000"/>
          <w:kern w:val="0"/>
          <w:sz w:val="22"/>
          <w:szCs w:val="22"/>
          <w14:ligatures w14:val="none"/>
        </w:rPr>
      </w:pPr>
      <w:r w:rsidRPr="00511459">
        <w:rPr>
          <w:rFonts w:ascii="Times New Roman" w:eastAsia="Times New Roman" w:hAnsi="Times New Roman" w:cs="Times New Roman"/>
          <w:i/>
          <w:iCs/>
          <w:color w:val="000000"/>
          <w:kern w:val="0"/>
          <w:sz w:val="22"/>
          <w:szCs w:val="22"/>
          <w14:ligatures w14:val="none"/>
        </w:rPr>
        <w:t>Narrative Synthesis</w:t>
      </w:r>
      <w:r>
        <w:rPr>
          <w:rFonts w:ascii="Times New Roman" w:eastAsia="Times New Roman" w:hAnsi="Times New Roman" w:cs="Times New Roman"/>
          <w:i/>
          <w:iCs/>
          <w:color w:val="000000"/>
          <w:kern w:val="0"/>
          <w:sz w:val="22"/>
          <w:szCs w:val="22"/>
          <w14:ligatures w14:val="none"/>
        </w:rPr>
        <w:t xml:space="preserve"> of Point-wise Data</w:t>
      </w:r>
    </w:p>
    <w:p w14:paraId="5B8CFFEF" w14:textId="03C38229"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r w:rsidRPr="00511459">
        <w:rPr>
          <w:rFonts w:ascii="Times New Roman" w:eastAsia="Times New Roman" w:hAnsi="Times New Roman" w:cs="Times New Roman"/>
          <w:color w:val="000000"/>
          <w:kern w:val="0"/>
          <w:sz w:val="22"/>
          <w:szCs w:val="22"/>
          <w14:ligatures w14:val="none"/>
        </w:rPr>
        <w:t xml:space="preserve">In Kang et al. (2023), a point-by-point analysis was conducted to compare the individual thresholds at 52 locations for HFA and MRF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{"citationID":"igWmAh50","properties":{"formattedCitation":"(31)","plainCitation":"(31)","noteIndex":0},"citationItems":[{"id":501,"uris":["http://zotero.org/users/15549944/items/V2FWTJLD"],"itemData":{"id":501,"type":"article-journal","abstract":"Purpose\nThe tablet-based Melbourne Rapid Fields (MRF) visual field (VF) test and the IMOvifa Smart Visual Function Analyzer (SVFA) are portable perimeters that may allow for at-home monitoring and more frequent testing. We compared tablet and SVFA results with outputs from the Humphrey Field Analyzer (HFA) 24-2 Swedish Interactive Threshold Algorithm Standard program.\nDesign\nObservational cross-sectional study.\nSubjects\nAdult participants with a diagnosis of glaucoma, suspected glaucoma, or ocular hypertension seen in the Massachusetts Eye and Ear glaucoma clinic were enrolled. All participants were reliable and experienced HFA testers.\nMethods\nParticipants were tested with the SVFA and HFA. The study staff also trained participants on the MRF tablet with instructions to take weekly tests at home for 3 months. Visual field results from the 3 devices were compared.\nMain Outcome Measures\nMean deviation (MD), pattern standard deviation (PSD), reliability parameters, and point sensitivity.\nResults\nOverall, 79 participants (133 eyes) with a mean age of 61 ± 13 years (range, 26–79 years) were included; 59% of the participants were female, and the mean HFA MD was −2.7 ± 3.9 dB. The global indices of MD and PSD did not significantly vary between HFA and the 2 novel devices, except that the tablet VF reported a 0.6 dB higher PSD compared with HFA. However, tablet and SVFA sensitivities significantly differed from those of the HFA at 36 and 39 locations, respectively, out of 52 locations. Relative to HFA, the tablet overestimated light sensitivity in the nasal field while underestimating the temporal field. The SVFA generally underestimated light sensitivity, but its results were more similar to HFA results compared with the tablet.\nConclusions\nAlthough average MD values from the 2 novel devices suggest that they provide similar results to the HFA, point-by-point comparisons highlight notable deviations. Differences in specific point sensitivity values were significant, especially between the tablet and the other 2 devices. These differences may in part be explained by differences in the devices' normative databases as well as how MD is calculated. However, the tablet had substantial differences based on location, indicating that the tablet design itself may be responsible for differences in local sensitivities.\nFinancial Disclosure(s)\nProprietary or commercial disclosure may be found in the Footnotes and Disclosures at the end of this article.","container-title":"Ophthalmology Glaucoma","DOI":"10.1016/j.ogla.2023.03.001","ISSN":"2589-4196","issue":"5","journalAbbreviation":"Ophthalmology Glaucoma","page":"509-520","source":"ScienceDirect","title":"Comparison of Perimetric Outcomes from a Tablet Perimeter, Smart Visual Function Analyzer, and Humphrey Field Analyzer","volume":"6","author":[{"family":"Kang","given":"Joyce"},{"family":"De Arrigunaga","given":"Sofia"},{"family":"Freeman","given":"Sandra E."},{"family":"Zhao","given":"Yan"},{"family":"Lin","given":"Michael"},{"family":"Liebman","given":"Daniel L."},{"family":"Roldan","given":"Ana M."},{"family":"Kim","given":"Julia A."},{"family":"Chang","given":"Dolly S."},{"family":"Friedman","given":"David S."},{"family":"Elze","given":"Tobias"}],"issued":{"date-parts":[["2023",9,1]]}}}],"schema":"https://github.com/citation-style-language/schema/raw/master/csl-citation.json"}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(31)</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This study showed </w:t>
      </w:r>
      <w:r w:rsidR="00F10297">
        <w:rPr>
          <w:rFonts w:ascii="Times New Roman" w:eastAsia="Times New Roman" w:hAnsi="Times New Roman" w:cs="Times New Roman"/>
          <w:color w:val="000000"/>
          <w:kern w:val="0"/>
          <w:sz w:val="22"/>
          <w:szCs w:val="22"/>
          <w14:ligatures w14:val="none"/>
        </w:rPr>
        <w:t>high agreement across global indices but reported statistically significant differences at 36 of the 52 locations tested.</w:t>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In this study, </w:t>
      </w:r>
      <w:r w:rsidRPr="00511459">
        <w:rPr>
          <w:rFonts w:ascii="Times New Roman" w:eastAsia="Times New Roman" w:hAnsi="Times New Roman" w:cs="Times New Roman"/>
          <w:color w:val="000000"/>
          <w:kern w:val="0"/>
          <w:sz w:val="22"/>
          <w:szCs w:val="22"/>
          <w14:ligatures w14:val="none"/>
        </w:rPr>
        <w:t>MRF overestimate</w:t>
      </w:r>
      <w:r>
        <w:rPr>
          <w:rFonts w:ascii="Times New Roman" w:eastAsia="Times New Roman" w:hAnsi="Times New Roman" w:cs="Times New Roman"/>
          <w:color w:val="000000"/>
          <w:kern w:val="0"/>
          <w:sz w:val="22"/>
          <w:szCs w:val="22"/>
          <w14:ligatures w14:val="none"/>
        </w:rPr>
        <w:t>d</w:t>
      </w:r>
      <w:r w:rsidRPr="00511459">
        <w:rPr>
          <w:rFonts w:ascii="Times New Roman" w:eastAsia="Times New Roman" w:hAnsi="Times New Roman" w:cs="Times New Roman"/>
          <w:color w:val="000000"/>
          <w:kern w:val="0"/>
          <w:sz w:val="22"/>
          <w:szCs w:val="22"/>
          <w14:ligatures w14:val="none"/>
        </w:rPr>
        <w:t xml:space="preserve"> light sensitivity in the nasal field and underestimate</w:t>
      </w:r>
      <w:r>
        <w:rPr>
          <w:rFonts w:ascii="Times New Roman" w:eastAsia="Times New Roman" w:hAnsi="Times New Roman" w:cs="Times New Roman"/>
          <w:color w:val="000000"/>
          <w:kern w:val="0"/>
          <w:sz w:val="22"/>
          <w:szCs w:val="22"/>
          <w14:ligatures w14:val="none"/>
        </w:rPr>
        <w:t>d</w:t>
      </w:r>
      <w:r w:rsidRPr="00511459">
        <w:rPr>
          <w:rFonts w:ascii="Times New Roman" w:eastAsia="Times New Roman" w:hAnsi="Times New Roman" w:cs="Times New Roman"/>
          <w:color w:val="000000"/>
          <w:kern w:val="0"/>
          <w:sz w:val="22"/>
          <w:szCs w:val="22"/>
          <w14:ligatures w14:val="none"/>
        </w:rPr>
        <w:t xml:space="preserve"> it in the temporal field, with deviations of up to 6.5 dB in some locations. The authors note that two of the largest discrepancies between HFA and MRF were observed at peripheral points near the physiologic blind spot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{"citationID":"QUPySJtp","properties":{"formattedCitation":"(31)","plainCitation":"(31)","noteIndex":0},"citationItems":[{"id":501,"uris":["http://zotero.org/users/15549944/items/V2FWTJLD"],"itemData":{"id":501,"type":"article-journal","abstract":"Purpose\nThe tablet-based Melbourne Rapid Fields (MRF) visual field (VF) test and the IMOvifa Smart Visual Function Analyzer (SVFA) are portable perimeters that may allow for at-home monitoring and more frequent testing. We compared tablet and SVFA results with outputs from the Humphrey Field Analyzer (HFA) 24-2 Swedish Interactive Threshold Algorithm Standard program.\nDesign\nObservational cross-sectional study.\nSubjects\nAdult participants with a diagnosis of glaucoma, suspected glaucoma, or ocular hypertension seen in the Massachusetts Eye and Ear glaucoma clinic were enrolled. All participants were reliable and experienced HFA testers.\nMethods\nParticipants were tested with the SVFA and HFA. The study staff also trained participants on the MRF tablet with instructions to take weekly tests at home for 3 months. Visual field results from the 3 devices were compared.\nMain Outcome Measures\nMean deviation (MD), pattern standard deviation (PSD), reliability parameters, and point sensitivity.\nResults\nOverall, 79 participants (133 eyes) with a mean age of 61 ± 13 years (range, 26–79 years) were included; 59% of the participants were female, and the mean HFA MD was −2.7 ± 3.9 dB. The global indices of MD and PSD did not significantly vary between HFA and the 2 novel devices, except that the tablet VF reported a 0.6 dB higher PSD compared with HFA. However, tablet and SVFA sensitivities significantly differed from those of the HFA at 36 and 39 locations, respectively, out of 52 locations. Relative to HFA, the tablet overestimated light sensitivity in the nasal field while underestimating the temporal field. The SVFA generally underestimated light sensitivity, but its results were more similar to HFA results compared with the tablet.\nConclusions\nAlthough average MD values from the 2 novel devices suggest that they provide similar results to the HFA, point-by-point comparisons highlight notable deviations. Differences in specific point sensitivity values were significant, especially between the tablet and the other 2 devices. These differences may in part be explained by differences in the devices' normative databases as well as how MD is calculated. However, the tablet had substantial differences based on location, indicating that the tablet design itself may be responsible for differences in local sensitivities.\nFinancial Disclosure(s)\nProprietary or commercial disclosure may be found in the Footnotes and Disclosures at the end of this article.","container-title":"Ophthalmology Glaucoma","DOI":"10.1016/j.ogla.2023.03.001","ISSN":"2589-4196","issue":"5","journalAbbreviation":"Ophthalmology Glaucoma","page":"509-520","source":"ScienceDirect","title":"Comparison of Perimetric Outcomes from a Tablet Perimeter, Smart Visual Function Analyzer, and Humphrey Field Analyzer","volume":"6","author":[{"family":"Kang","given":"Joyce"},{"family":"De Arrigunaga","given":"Sofia"},{"family":"Freeman","given":"Sandra E."},{"family":"Zhao","given":"Yan"},{"family":"Lin","given":"Michael"},{"family":"Liebman","given":"Daniel L."},{"family":"Roldan","given":"Ana M."},{"family":"Kim","given":"Julia A."},{"family":"Chang","given":"Dolly S."},{"family":"Friedman","given":"David S."},{"family":"Elze","given":"Tobias"}],"issued":{"date-parts":[["2023",9,1]]}}}],"schema":"https://github.com/citation-style-language/schema/raw/master/csl-citation.json"}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(31)</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w:t>
      </w:r>
    </w:p>
    <w:p w14:paraId="4B434B57" w14:textId="77777777"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p>
    <w:p w14:paraId="6FAE2870" w14:textId="2A711474"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proofErr w:type="spellStart"/>
      <w:r w:rsidRPr="00511459">
        <w:rPr>
          <w:rFonts w:ascii="Times New Roman" w:eastAsia="Times New Roman" w:hAnsi="Times New Roman" w:cs="Times New Roman"/>
          <w:color w:val="000000"/>
          <w:kern w:val="0"/>
          <w:sz w:val="22"/>
          <w:szCs w:val="22"/>
          <w14:ligatures w14:val="none"/>
        </w:rPr>
        <w:t>Prea</w:t>
      </w:r>
      <w:proofErr w:type="spellEnd"/>
      <w:r w:rsidRPr="00511459">
        <w:rPr>
          <w:rFonts w:ascii="Times New Roman" w:eastAsia="Times New Roman" w:hAnsi="Times New Roman" w:cs="Times New Roman"/>
          <w:color w:val="000000"/>
          <w:kern w:val="0"/>
          <w:sz w:val="22"/>
          <w:szCs w:val="22"/>
          <w14:ligatures w14:val="none"/>
        </w:rPr>
        <w:t xml:space="preserve"> et al. (2018) found high concordance and repeatability </w:t>
      </w:r>
      <w:r w:rsidR="00F10297">
        <w:rPr>
          <w:rFonts w:ascii="Times New Roman" w:eastAsia="Times New Roman" w:hAnsi="Times New Roman" w:cs="Times New Roman"/>
          <w:color w:val="000000"/>
          <w:kern w:val="0"/>
          <w:sz w:val="22"/>
          <w:szCs w:val="22"/>
          <w14:ligatures w14:val="none"/>
        </w:rPr>
        <w:t xml:space="preserve">of </w:t>
      </w:r>
      <w:r w:rsidRPr="00511459">
        <w:rPr>
          <w:rFonts w:ascii="Times New Roman" w:eastAsia="Times New Roman" w:hAnsi="Times New Roman" w:cs="Times New Roman"/>
          <w:color w:val="000000"/>
          <w:kern w:val="0"/>
          <w:sz w:val="22"/>
          <w:szCs w:val="22"/>
          <w14:ligatures w14:val="none"/>
        </w:rPr>
        <w:t xml:space="preserve">global indices between MRF and HFA, but </w:t>
      </w:r>
      <w:r>
        <w:rPr>
          <w:rFonts w:ascii="Times New Roman" w:eastAsia="Times New Roman" w:hAnsi="Times New Roman" w:cs="Times New Roman"/>
          <w:color w:val="000000"/>
          <w:kern w:val="0"/>
          <w:sz w:val="22"/>
          <w:szCs w:val="22"/>
          <w14:ligatures w14:val="none"/>
        </w:rPr>
        <w:t>at</w:t>
      </w:r>
      <w:r w:rsidRPr="00511459">
        <w:rPr>
          <w:rFonts w:ascii="Times New Roman" w:eastAsia="Times New Roman" w:hAnsi="Times New Roman" w:cs="Times New Roman"/>
          <w:color w:val="000000"/>
          <w:kern w:val="0"/>
          <w:sz w:val="22"/>
          <w:szCs w:val="22"/>
          <w14:ligatures w14:val="none"/>
        </w:rPr>
        <w:t xml:space="preserve"> the pointwise level, repeatability was noisier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{"citationID":"V3DGtXwX","properties":{"formattedCitation":"(15)","plainCitation":"(15)","noteIndex":0},"citationItems":[{"id":1020,"uris":["http://zotero.org/users/15549944/items/UCHYBAMG"],"itemData":{"id":1020,"type":"article-journal","container-title":"American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In this study</w:t>
      </w:r>
      <w:r w:rsidRPr="00511459">
        <w:rPr>
          <w:rFonts w:ascii="Times New Roman" w:eastAsia="Times New Roman" w:hAnsi="Times New Roman" w:cs="Times New Roman"/>
          <w:color w:val="000000"/>
          <w:kern w:val="0"/>
          <w:sz w:val="22"/>
          <w:szCs w:val="22"/>
          <w14:ligatures w14:val="none"/>
        </w:rPr>
        <w:t>, pointwise standard deviation increased as thresholds declined, peaking in the 10</w:t>
      </w:r>
      <w:r w:rsidR="00F10297">
        <w:rPr>
          <w:rFonts w:ascii="Times New Roman" w:eastAsia="Times New Roman" w:hAnsi="Times New Roman" w:cs="Times New Roman"/>
          <w:color w:val="000000"/>
          <w:kern w:val="0"/>
          <w:sz w:val="22"/>
          <w:szCs w:val="22"/>
          <w14:ligatures w14:val="none"/>
        </w:rPr>
        <w:t>-</w:t>
      </w:r>
      <w:r w:rsidRPr="00511459">
        <w:rPr>
          <w:rFonts w:ascii="Times New Roman" w:eastAsia="Times New Roman" w:hAnsi="Times New Roman" w:cs="Times New Roman"/>
          <w:color w:val="000000"/>
          <w:kern w:val="0"/>
          <w:sz w:val="22"/>
          <w:szCs w:val="22"/>
          <w14:ligatures w14:val="none"/>
        </w:rPr>
        <w:t xml:space="preserve">20 dB range (with up to a 35% </w:t>
      </w:r>
      <w:r w:rsidR="00F10297">
        <w:rPr>
          <w:rFonts w:ascii="Times New Roman" w:eastAsia="Times New Roman" w:hAnsi="Times New Roman" w:cs="Times New Roman"/>
          <w:color w:val="000000"/>
          <w:kern w:val="0"/>
          <w:sz w:val="22"/>
          <w:szCs w:val="22"/>
          <w14:ligatures w14:val="none"/>
        </w:rPr>
        <w:t>increase in</w:t>
      </w:r>
      <w:r w:rsidRPr="00511459">
        <w:rPr>
          <w:rFonts w:ascii="Times New Roman" w:eastAsia="Times New Roman" w:hAnsi="Times New Roman" w:cs="Times New Roman"/>
          <w:color w:val="000000"/>
          <w:kern w:val="0"/>
          <w:sz w:val="22"/>
          <w:szCs w:val="22"/>
          <w14:ligatures w14:val="none"/>
        </w:rPr>
        <w:t xml:space="preserve"> variability)</w:t>
      </w:r>
      <w:r w:rsidR="00F10297">
        <w:rPr>
          <w:rFonts w:ascii="Times New Roman" w:eastAsia="Times New Roman" w:hAnsi="Times New Roman" w:cs="Times New Roman"/>
          <w:color w:val="000000"/>
          <w:kern w:val="0"/>
          <w:sz w:val="22"/>
          <w:szCs w:val="22"/>
          <w14:ligatures w14:val="none"/>
        </w:rPr>
        <w:t xml:space="preserve">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{"citationID":"6EGf279B","properties":{"formattedCitation":"(15)","plainCitation":"(15)","noteIndex":0},"citationItems":[{"id":1020,"uris":["http://zotero.org/users/15549944/items/UCHYBAMG"],"itemData":{"id":1020,"type":"article-journal","container-title":"American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Schulz et al. (2018) similarly found that individual test-retest values were most stable at the extremes (26 to 30 dB and 0 to 6 dB), while intermediate thresholds (12 to 22 dB) showed the greatest dispersion on repeat testing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{"citationID":"dgaOsNKB","properties":{"formattedCitation":"(26)","plainCitation":"(26)","noteIndex":0},"citationItems":[{"id":506,"uris":["http://zotero.org/users/15549944/items/JUCJRFTG"],"itemData":{"id":506,"type":"article-journal","abstract":"Importance Independent validation of iPad visual field testing software Melbourne Rapid Fields (MRF). Background To examine the functionality of MRF and compare its performance with Humphrey SITA 24–2 (HVF). Design Prospective, cross-sectional validation study. Paricipants Sixty glaucomas mean deviation (MD:-5.08±5.22); 17 pre-perimetric, 43 HVF field defects and 25 controls. Methods The MRF was compared with HVF for scotoma detection, global indices, regional mean threshold values and sensitivity/specificity. Long-term test–retest variability was assessed after 6 months. Main Outcome Measures Linear regression and Bland Altman analyses of global indices sensitivity/specificity using (ROC) curves, intraclass correlations. Results Using a cluster definition of three points at &lt;1% or two at 0.5% to define a scotoma on HVF, MRF detected 39/54 abnormal hemifields with a similar threshold-based criteria. Global indices were highly correlated between MRF and HVF: MD r2 = 0.80, PSD r2 = 0.77, VFI r2 = 0.85 (all P &lt; 0.0001). For manifest glaucoma patients, correlations of regional mean thresholds ranged from r2 = 0.45–0.78, despite differing array of tested points between devices. ROC analysis of global indices showed reasonable sensitivity/specificity with (AUC) values of MD:0.89, (PSD:0.85) and (VFI:0.88). MRF retest variability was low with (ICC) values at 0.95 (MD and VFI), 0.94 (PSD). However, individual test point variability for mid-range thresholds was higher. Conclusions and Relevance MRF perimetry, despite using a completely different test paradigm, shows good performance characteristics compared to HVF for detection of defects, correlation of global indices and regional mean threshold values. Reproducibility for individual points may limit application for monitoring change over time, and fixation monitoring needs improvement.","container-title":"Clinical &amp; Experimental Ophthalmology","DOI":"10.1111/ceo.13082","ISSN":"1442-9071","issue":"4","language":"en","license":"© 2017 Royal Australian and New Zealand College of Ophthalmologists","note":"_eprint: https://onlinelibrary.wiley.com/doi/pdf/10.1111/ceo.13082","page":"346-355","source":"Wiley Online Library","title":"Performance of iPad-based threshold perimetry in glaucoma and controls","volume":"46","author":[{"family":"Schulz","given":"Angela M"},{"family":"Graham","given":"Elizabeth C"},{"family":"You","given":"YuYi"},{"family":"Klistorner","given":"Alexander"},{"family":"Graham","given":"Stuart L"}],"issued":{"date-parts":[["2018"]]}}}],"schema":"https://github.com/citation-style-language/schema/raw/master/csl-citation.json"}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(26)</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w:t>
      </w:r>
    </w:p>
    <w:p w14:paraId="075236BE" w14:textId="77777777"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p>
    <w:p w14:paraId="780AD9A2" w14:textId="29FB8EB2" w:rsidR="006856C6" w:rsidRPr="00511459" w:rsidRDefault="006856C6" w:rsidP="006856C6">
      <w:pPr>
        <w:spacing w:after="0" w:line="240" w:lineRule="auto"/>
        <w:jc w:val="both"/>
        <w:rPr>
          <w:rFonts w:ascii="Times New Roman" w:eastAsia="Times New Roman" w:hAnsi="Times New Roman" w:cs="Times New Roman"/>
          <w:color w:val="000000"/>
          <w:kern w:val="0"/>
          <w:sz w:val="22"/>
          <w:szCs w:val="22"/>
          <w14:ligatures w14:val="none"/>
        </w:rPr>
      </w:pPr>
      <w:proofErr w:type="spellStart"/>
      <w:r w:rsidRPr="00511459">
        <w:rPr>
          <w:rFonts w:ascii="Times New Roman" w:eastAsia="Times New Roman" w:hAnsi="Times New Roman" w:cs="Times New Roman"/>
          <w:color w:val="000000"/>
          <w:kern w:val="0"/>
          <w:sz w:val="22"/>
          <w:szCs w:val="22"/>
          <w14:ligatures w14:val="none"/>
        </w:rPr>
        <w:t>Prea</w:t>
      </w:r>
      <w:proofErr w:type="spellEnd"/>
      <w:r w:rsidRPr="00511459">
        <w:rPr>
          <w:rFonts w:ascii="Times New Roman" w:eastAsia="Times New Roman" w:hAnsi="Times New Roman" w:cs="Times New Roman"/>
          <w:color w:val="000000"/>
          <w:kern w:val="0"/>
          <w:sz w:val="22"/>
          <w:szCs w:val="22"/>
          <w14:ligatures w14:val="none"/>
        </w:rPr>
        <w:t xml:space="preserve"> et al. (2018) showed that MRF produces more unchanged points at retest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{"citationID":"jxTHsQ0w","properties":{"formattedCitation":"(15)","plainCitation":"(15)","noteIndex":0},"citationItems":[{"id":1020,"uris":["http://zotero.org/users/15549944/items/UCHYBAMG"],"itemData":{"id":1020,"type":"article-journal","container-title":"American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xml:space="preserve">. About 60 percent of MRF locations showed minimal change (pointwise SD 0 to 3.9 dB), compared with only about 10 percent of HFA locations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{"citationID":"aobmIkd2","properties":{"formattedCitation":"(15)","plainCitation":"(15)","noteIndex":0},"citationItems":[{"id":1020,"uris":["http://zotero.org/users/15549944/items/UCHYBAMG"],"itemData":{"id":1020,"type":"article-journal","container-title":"American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J."}],"issued":{"date-parts":[["2018",6]]}},"locator":"2"}],"schema":"https://github.com/citation-style-language/schema/raw/master/csl-citation.json"}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authors described this as a paradox: despite high global repeatability, MRF exhibits greater pointwise variability at intermediate thresholds</w:t>
      </w:r>
      <w:r w:rsidR="00F10297">
        <w:rPr>
          <w:rFonts w:ascii="Times New Roman" w:eastAsia="Times New Roman" w:hAnsi="Times New Roman" w:cs="Times New Roman"/>
          <w:color w:val="000000"/>
          <w:kern w:val="0"/>
          <w:sz w:val="22"/>
          <w:szCs w:val="22"/>
          <w14:ligatures w14:val="none"/>
        </w:rPr>
        <w:t xml:space="preserve"> during testing</w:t>
      </w:r>
      <w:r w:rsidRPr="00511459">
        <w:rPr>
          <w:rFonts w:ascii="Times New Roman" w:eastAsia="Times New Roman" w:hAnsi="Times New Roman" w:cs="Times New Roman"/>
          <w:color w:val="000000"/>
          <w:kern w:val="0"/>
          <w:sz w:val="22"/>
          <w:szCs w:val="22"/>
          <w14:ligatures w14:val="none"/>
        </w:rPr>
        <w:t xml:space="preserve">. Kong et al. (2016) reported a similar pattern, with ceiling effects at 0 and 30 dB and greater variability at 12 to 17 dB on repeat testing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{"citationID":"41DR4nW6","properties":{"formattedCitation":"(12)","plainCitation":"(12)","noteIndex":0},"citationItems":[{"id":1011,"uris":["http://zotero.org/users/15549944/items/MIECT2LK"],"itemData":{"id":1011,"type":"article-journal","abstract":"Purpose\nTo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(12)</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 The authors note</w:t>
      </w:r>
      <w:r>
        <w:rPr>
          <w:rFonts w:ascii="Times New Roman" w:eastAsia="Times New Roman" w:hAnsi="Times New Roman" w:cs="Times New Roman"/>
          <w:color w:val="000000"/>
          <w:kern w:val="0"/>
          <w:sz w:val="22"/>
          <w:szCs w:val="22"/>
          <w14:ligatures w14:val="none"/>
        </w:rPr>
        <w:t>d</w:t>
      </w:r>
      <w:r w:rsidRPr="00511459">
        <w:rPr>
          <w:rFonts w:ascii="Times New Roman" w:eastAsia="Times New Roman" w:hAnsi="Times New Roman" w:cs="Times New Roman"/>
          <w:color w:val="000000"/>
          <w:kern w:val="0"/>
          <w:sz w:val="22"/>
          <w:szCs w:val="22"/>
          <w14:ligatures w14:val="none"/>
        </w:rPr>
        <w:t xml:space="preserve"> that MRF is highly stable for most points, but at mid-range thresholds (10 to 20 dB), when a change occur</w:t>
      </w:r>
      <w:r>
        <w:rPr>
          <w:rFonts w:ascii="Times New Roman" w:eastAsia="Times New Roman" w:hAnsi="Times New Roman" w:cs="Times New Roman"/>
          <w:color w:val="000000"/>
          <w:kern w:val="0"/>
          <w:sz w:val="22"/>
          <w:szCs w:val="22"/>
          <w14:ligatures w14:val="none"/>
        </w:rPr>
        <w:t>red</w:t>
      </w:r>
      <w:r w:rsidRPr="00511459">
        <w:rPr>
          <w:rFonts w:ascii="Times New Roman" w:eastAsia="Times New Roman" w:hAnsi="Times New Roman" w:cs="Times New Roman"/>
          <w:color w:val="000000"/>
          <w:kern w:val="0"/>
          <w:sz w:val="22"/>
          <w:szCs w:val="22"/>
          <w14:ligatures w14:val="none"/>
        </w:rPr>
        <w:t>, it tend</w:t>
      </w:r>
      <w:r>
        <w:rPr>
          <w:rFonts w:ascii="Times New Roman" w:eastAsia="Times New Roman" w:hAnsi="Times New Roman" w:cs="Times New Roman"/>
          <w:color w:val="000000"/>
          <w:kern w:val="0"/>
          <w:sz w:val="22"/>
          <w:szCs w:val="22"/>
          <w14:ligatures w14:val="none"/>
        </w:rPr>
        <w:t>ed</w:t>
      </w:r>
      <w:r w:rsidRPr="00511459">
        <w:rPr>
          <w:rFonts w:ascii="Times New Roman" w:eastAsia="Times New Roman" w:hAnsi="Times New Roman" w:cs="Times New Roman"/>
          <w:color w:val="000000"/>
          <w:kern w:val="0"/>
          <w:sz w:val="22"/>
          <w:szCs w:val="22"/>
          <w14:ligatures w14:val="none"/>
        </w:rPr>
        <w:t xml:space="preserve"> to be larger than with HFA </w:t>
      </w:r>
      <w:r w:rsidRPr="00511459">
        <w:rPr>
          <w:rFonts w:ascii="Times New Roman" w:eastAsia="Times New Roman" w:hAnsi="Times New Roman" w:cs="Times New Roman"/>
          <w:color w:val="000000"/>
          <w:kern w:val="0"/>
          <w:sz w:val="22"/>
          <w:szCs w:val="22"/>
          <w14:ligatures w14:val="none"/>
        </w:rPr>
        <w:fldChar w:fldCharType="begin"/>
      </w:r>
      <w:r>
        <w:rPr>
          <w:rFonts w:ascii="Times New Roman" w:eastAsia="Times New Roman" w:hAnsi="Times New Roman" w:cs="Times New Roman"/>
          <w:color w:val="000000"/>
          <w:kern w:val="0"/>
          <w:sz w:val="22"/>
          <w:szCs w:val="22"/>
          <w14:ligatures w14:val="none"/>
        </w:rPr>
        <w:instrText xml:space="preserve"> ADDIN ZOTERO_ITEM CSL_CITATION {"citationID":"QNza8nvB","properties":{"formattedCitation":"(15)","plainCitation":"(15)","noteIndex":0},"citationItems":[{"id":1020,"uris":["http://zotero.org/users/15549944/items/UCHYBAMG"],"itemData":{"id":1020,"type":"article-journal","container-title":"American Journal of Ophthalmology","DOI":"10.1016/j.ajo.2018.03.009","ISSN":"00029394","journalAbbreviation":"American Journal of Ophthalmology","language":"en","page":"9-16","source":"DOI.org (Crossref)","title":"Six-month Longitudinal Comparison of a Portable Tablet Perimeter With the Humphrey Field Analyzer","volume":"190","author":[{"family":"Prea","given":"Selwyn Marc"},{"family":"Kong","given":"Yu Xiang George"},{"family":"Mehta","given":"Aditi"},{"family":"He","given":"Mingguang"},{"family":"Crowston","given":"Jonathan G."},{"family":"Gupta","given":"Vinay"},{"family":"Martin","given":"Keith R."},{"family":"Vingrys","given":"Algis J."}],"issued":{"date-parts":[["2018",6]]}},"locator":"2"}],"schema":"https://github.com/citation-style-language/schema/raw/master/csl-citation.json"} </w:instrText>
      </w:r>
      <w:r w:rsidRPr="00511459">
        <w:rPr>
          <w:rFonts w:ascii="Times New Roman" w:eastAsia="Times New Roman" w:hAnsi="Times New Roman" w:cs="Times New Roman"/>
          <w:color w:val="000000"/>
          <w:kern w:val="0"/>
          <w:sz w:val="22"/>
          <w:szCs w:val="22"/>
          <w14:ligatures w14:val="none"/>
        </w:rPr>
        <w:fldChar w:fldCharType="separate"/>
      </w:r>
      <w:r>
        <w:rPr>
          <w:rFonts w:ascii="Times New Roman" w:eastAsia="Times New Roman" w:hAnsi="Times New Roman" w:cs="Times New Roman"/>
          <w:noProof/>
          <w:color w:val="000000"/>
          <w:kern w:val="0"/>
          <w:sz w:val="22"/>
          <w:szCs w:val="22"/>
          <w14:ligatures w14:val="none"/>
        </w:rPr>
        <w:t>(15)</w:t>
      </w:r>
      <w:r w:rsidRPr="00511459">
        <w:rPr>
          <w:rFonts w:ascii="Times New Roman" w:eastAsia="Times New Roman" w:hAnsi="Times New Roman" w:cs="Times New Roman"/>
          <w:color w:val="000000"/>
          <w:kern w:val="0"/>
          <w:sz w:val="22"/>
          <w:szCs w:val="22"/>
          <w14:ligatures w14:val="none"/>
        </w:rPr>
        <w:fldChar w:fldCharType="end"/>
      </w:r>
      <w:r w:rsidRPr="00511459">
        <w:rPr>
          <w:rFonts w:ascii="Times New Roman" w:eastAsia="Times New Roman" w:hAnsi="Times New Roman" w:cs="Times New Roman"/>
          <w:color w:val="000000"/>
          <w:kern w:val="0"/>
          <w:sz w:val="22"/>
          <w:szCs w:val="22"/>
          <w14:ligatures w14:val="none"/>
        </w:rPr>
        <w:t>.</w:t>
      </w:r>
      <w:r w:rsidR="000D700C">
        <w:rPr>
          <w:rFonts w:ascii="Times New Roman" w:eastAsia="Times New Roman" w:hAnsi="Times New Roman" w:cs="Times New Roman"/>
          <w:color w:val="000000"/>
          <w:kern w:val="0"/>
          <w:sz w:val="22"/>
          <w:szCs w:val="22"/>
          <w14:ligatures w14:val="none"/>
        </w:rPr>
        <w:t xml:space="preserve"> This variability likely arises from the larger steps used by the MRF in this range.</w:t>
      </w:r>
    </w:p>
    <w:p w14:paraId="534C080C" w14:textId="77777777"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p>
    <w:p w14:paraId="438711BC" w14:textId="68FB3CF6"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Discussion</w:t>
      </w:r>
      <w:r w:rsidRPr="00511459">
        <w:rPr>
          <w:rFonts w:ascii="Times New Roman" w:hAnsi="Times New Roman" w:cs="Times New Roman"/>
          <w:color w:val="000000" w:themeColor="text1"/>
          <w:sz w:val="22"/>
          <w:szCs w:val="22"/>
        </w:rPr>
        <w:t xml:space="preserve">: </w:t>
      </w:r>
    </w:p>
    <w:p w14:paraId="2FC0389B" w14:textId="25D7B480" w:rsidR="006856C6" w:rsidRPr="00AA57DA"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color w:val="000000" w:themeColor="text1"/>
          <w:sz w:val="22"/>
          <w:szCs w:val="22"/>
        </w:rPr>
        <w:t xml:space="preserve">The </w:t>
      </w:r>
      <w:r>
        <w:rPr>
          <w:rFonts w:ascii="Times New Roman" w:hAnsi="Times New Roman" w:cs="Times New Roman"/>
          <w:color w:val="000000" w:themeColor="text1"/>
          <w:sz w:val="22"/>
          <w:szCs w:val="22"/>
        </w:rPr>
        <w:t xml:space="preserve">results of this study are </w:t>
      </w:r>
      <w:r w:rsidRPr="00511459">
        <w:rPr>
          <w:rFonts w:ascii="Times New Roman" w:hAnsi="Times New Roman" w:cs="Times New Roman"/>
          <w:color w:val="000000" w:themeColor="text1"/>
          <w:sz w:val="22"/>
          <w:szCs w:val="22"/>
        </w:rPr>
        <w:t xml:space="preserve">best understood by considering five key architectural differences from HFA. First, </w:t>
      </w:r>
      <w:r>
        <w:rPr>
          <w:rFonts w:ascii="Times New Roman" w:hAnsi="Times New Roman" w:cs="Times New Roman"/>
          <w:color w:val="000000" w:themeColor="text1"/>
          <w:sz w:val="22"/>
          <w:szCs w:val="22"/>
        </w:rPr>
        <w:t xml:space="preserve">this generation of </w:t>
      </w:r>
      <w:r w:rsidRPr="00511459">
        <w:rPr>
          <w:rFonts w:ascii="Times New Roman" w:hAnsi="Times New Roman" w:cs="Times New Roman"/>
          <w:color w:val="000000" w:themeColor="text1"/>
          <w:sz w:val="22"/>
          <w:szCs w:val="22"/>
        </w:rPr>
        <w:t>MRF samples more locations (predominantly in the macular region), with 66 test points across 30°, compared with the 52 points of the HFA 24-2 grid</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{"citationID":"1VJHvas8","properties":{"formattedCitation":"(10)","plainCitation":"(10)","noteIndex":0},"citationItems":[{"id":1005,"uris":["http://zotero.org/users/15549944/items/ULPWVK2Q"],"itemData":{"id":1005,"type":"article-journal","abstract":"To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Second,</w:t>
      </w:r>
      <w:r>
        <w:rPr>
          <w:rFonts w:ascii="Times New Roman" w:hAnsi="Times New Roman" w:cs="Times New Roman"/>
          <w:color w:val="000000" w:themeColor="text1"/>
          <w:sz w:val="22"/>
          <w:szCs w:val="22"/>
        </w:rPr>
        <w:t xml:space="preserve"> the studied </w:t>
      </w:r>
      <w:r w:rsidR="00057B82">
        <w:rPr>
          <w:rFonts w:ascii="Times New Roman" w:hAnsi="Times New Roman" w:cs="Times New Roman"/>
          <w:color w:val="000000" w:themeColor="text1"/>
          <w:sz w:val="22"/>
          <w:szCs w:val="22"/>
        </w:rPr>
        <w:t>MRF</w:t>
      </w:r>
      <w:r w:rsidRPr="00511459">
        <w:rPr>
          <w:rFonts w:ascii="Times New Roman" w:hAnsi="Times New Roman" w:cs="Times New Roman"/>
          <w:color w:val="000000" w:themeColor="text1"/>
          <w:sz w:val="22"/>
          <w:szCs w:val="22"/>
        </w:rPr>
        <w:t xml:space="preserve"> </w:t>
      </w:r>
      <w:r w:rsidR="00057B82">
        <w:rPr>
          <w:rFonts w:ascii="Times New Roman" w:hAnsi="Times New Roman" w:cs="Times New Roman"/>
          <w:color w:val="000000" w:themeColor="text1"/>
          <w:sz w:val="22"/>
          <w:szCs w:val="22"/>
        </w:rPr>
        <w:t>version</w:t>
      </w:r>
      <w:r w:rsidRPr="00511459">
        <w:rPr>
          <w:rFonts w:ascii="Times New Roman" w:hAnsi="Times New Roman" w:cs="Times New Roman"/>
          <w:color w:val="000000" w:themeColor="text1"/>
          <w:sz w:val="22"/>
          <w:szCs w:val="22"/>
        </w:rPr>
        <w:t xml:space="preserve"> uses a radial test geometry rather than a Cartesian grid</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{"citationID":"diQD330e","properties":{"formattedCitation":"(10)","plainCitation":"(10)","noteIndex":0},"citationItems":[{"id":1005,"uris":["http://zotero.org/users/15549944/items/ULPWVK2Q"],"itemData":{"id":1005,"type":"article-journal","abstract":"To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Importantly, as a consequence of the radial pattern design, stimulus spacing increases with eccentricity</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{"citationID":"Nldt9vuW","properties":{"formattedCitation":"(10)","plainCitation":"(10)","noteIndex":0},"citationItems":[{"id":1005,"uris":["http://zotero.org/users/15549944/items/ULPWVK2Q"],"itemData":{"id":1005,"type":"article-journal","abstract":"To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To compensate for this, MRF </w:t>
      </w:r>
      <w:commentRangeStart w:id="1"/>
      <w:r w:rsidR="009A2088">
        <w:rPr>
          <w:rFonts w:ascii="Times New Roman" w:hAnsi="Times New Roman" w:cs="Times New Roman"/>
          <w:color w:val="000000" w:themeColor="text1"/>
          <w:sz w:val="22"/>
          <w:szCs w:val="22"/>
        </w:rPr>
        <w:t>adds</w:t>
      </w:r>
      <w:r w:rsidRPr="00511459">
        <w:rPr>
          <w:rFonts w:ascii="Times New Roman" w:hAnsi="Times New Roman" w:cs="Times New Roman"/>
          <w:color w:val="000000" w:themeColor="text1"/>
          <w:sz w:val="22"/>
          <w:szCs w:val="22"/>
        </w:rPr>
        <w:t xml:space="preserve"> </w:t>
      </w:r>
      <w:commentRangeEnd w:id="1"/>
      <w:r w:rsidR="00057B82">
        <w:rPr>
          <w:rStyle w:val="CommentReference"/>
          <w:lang w:val="en-US"/>
        </w:rPr>
        <w:commentReference w:id="1"/>
      </w:r>
      <w:r w:rsidR="00057B82">
        <w:rPr>
          <w:rFonts w:ascii="Times New Roman" w:hAnsi="Times New Roman" w:cs="Times New Roman"/>
          <w:color w:val="000000" w:themeColor="text1"/>
          <w:sz w:val="22"/>
          <w:szCs w:val="22"/>
        </w:rPr>
        <w:t>extra</w:t>
      </w:r>
      <w:r w:rsidRPr="00511459">
        <w:rPr>
          <w:rFonts w:ascii="Times New Roman" w:hAnsi="Times New Roman" w:cs="Times New Roman"/>
          <w:color w:val="000000" w:themeColor="text1"/>
          <w:sz w:val="22"/>
          <w:szCs w:val="22"/>
        </w:rPr>
        <w:t xml:space="preserve"> </w:t>
      </w:r>
      <w:r w:rsidR="009A2088">
        <w:rPr>
          <w:rFonts w:ascii="Times New Roman" w:hAnsi="Times New Roman" w:cs="Times New Roman"/>
          <w:color w:val="000000" w:themeColor="text1"/>
          <w:sz w:val="22"/>
          <w:szCs w:val="22"/>
        </w:rPr>
        <w:t xml:space="preserve">testing </w:t>
      </w:r>
      <w:r w:rsidRPr="00511459">
        <w:rPr>
          <w:rFonts w:ascii="Times New Roman" w:hAnsi="Times New Roman" w:cs="Times New Roman"/>
          <w:color w:val="000000" w:themeColor="text1"/>
          <w:sz w:val="22"/>
          <w:szCs w:val="22"/>
        </w:rPr>
        <w:t xml:space="preserve">points in </w:t>
      </w:r>
      <w:proofErr w:type="spellStart"/>
      <w:r w:rsidRPr="00511459">
        <w:rPr>
          <w:rFonts w:ascii="Times New Roman" w:hAnsi="Times New Roman" w:cs="Times New Roman"/>
          <w:color w:val="000000" w:themeColor="text1"/>
          <w:sz w:val="22"/>
          <w:szCs w:val="22"/>
        </w:rPr>
        <w:t>neighboring</w:t>
      </w:r>
      <w:proofErr w:type="spellEnd"/>
      <w:r w:rsidRPr="00511459">
        <w:rPr>
          <w:rFonts w:ascii="Times New Roman" w:hAnsi="Times New Roman" w:cs="Times New Roman"/>
          <w:color w:val="000000" w:themeColor="text1"/>
          <w:sz w:val="22"/>
          <w:szCs w:val="22"/>
        </w:rPr>
        <w:t xml:space="preserve"> “gaps” when abnormal responses are detected</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{"citationID":"v3u8a05J","properties":{"formattedCitation":"(12)","plainCitation":"(12)","noteIndex":0},"citationItems":[{"id":1011,"uris":["http://zotero.org/users/15549944/items/MIECT2LK"],"itemData":{"id":1011,"type":"article-journal","abstract":"Purpose\nTo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(12)</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Third, MRF relies on spatial summation, increasing stimulus size with eccentricity to maintain a constant threshold across the field (creating a “plateau” rather than the classic hill of vision</w:t>
      </w:r>
      <w:r w:rsidR="00057B82">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{"citationID":"y8crKKjY","properties":{"formattedCitation":"(12)","plainCitation":"(12)","noteIndex":0},"citationItems":[{"id":1011,"uris":["http://zotero.org/users/15549944/items/MIECT2LK"],"itemData":{"id":1011,"type":"article-journal","abstract":"Purpose\nTo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12)</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which </w:t>
      </w:r>
      <w:r w:rsidRPr="0011184A">
        <w:rPr>
          <w:rFonts w:ascii="Times New Roman" w:hAnsi="Times New Roman" w:cs="Times New Roman"/>
          <w:color w:val="000000" w:themeColor="text1"/>
          <w:sz w:val="22"/>
          <w:szCs w:val="22"/>
        </w:rPr>
        <w:t xml:space="preserve">was intended to stabilize measurements and reduce variability </w:t>
      </w:r>
      <w:r w:rsidRPr="0011184A">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{"citationID":"IiXePyj4","properties":{"formattedCitation":"(32)","plainCitation":"(32)","noteIndex":0},"citationItems":[{"id":1030,"uris":["http://zotero.org/users/15549944/items/YR96LMIG"],"itemData":{"id":1030,"type":"article-journal","abstract":"The conventional stimulus for standard automated perimetry is fixed in size, giving elevated contrast thresholds and reduced test reliability in the periphery. Here, we test the hypothesis that appropriate scaling of the size of perimetric stimuli will return fixed thresholds and reduced variability across the visual field. We derived frequency-of-seeing (FOS) curves in five healthy subjects at central (3 degrees) and peripheral (27 degrees) locations with a method of constant stimuli (MOCS) using a desktop LCD display. FOS curves for a Goldmann III (GIII) stimulus were compared with those for size scaled spots. To consider clinical translation, we tested a further five healthy subjects (22–24 years) with the Melbourne Rapid Fields (MRF) tablet perimeter at several locations spanning 1 degree to 25 degrees from fixation, deriving FOS curves (MOCS) and also conducting repeated adaptive clinical thresholding to assess intra- and interobserver variability. We found that GIII contrast thresholds were significantly elevated in the periphery compared with the parafovea, with concomitant reduction of FOS slope. Using appropriately size scaled spots, threshold and slope differences between these locations were significantly reduced. FOS data collected with the tablet perimeter confirmed that size scaling confers broad equivalence of the shape of the FOS curve across the visual field. Repeated adaptive thresholding with size scaled stimuli gave relatively constant intra-observer variability across the visual field, which compares favorably with published normative data obtained with the GIII stimulus. The reduced variability will improve signal-to-noise ratio for correct classification of normal visual field test results, whereas the lower contrast thresholds yield greater dynamic range, which should improve the ability to reliably monitor moderate defects.","container-title":"Journal of Vision","DOI":"10.1167/jov.21.11.2","ISSN":"1534-7362","issue":"11","journalAbbreviation":"J Vis","note":"PMID: 34617957\nPMCID: PMC8504188","page":"2","source":"PubMed Central","title":"Scaling the size of perimetric stimuli reduces variability and returns constant thresholds across the visual field","volume":"21","author":[{"family":"Bedggood","given":"Phillip"},{"family":"Prea","given":"Selwyn Marc"},{"family":"Kong","given":"Yu Xiang George"},{"family":"Vingrys","given":"Algis J."}],"issued":{"date-parts":[["2021",10,7]]}}}],"schema":"https://github.com/citation-style-language/schema/raw/master/csl-citation.json"} </w:instrText>
      </w:r>
      <w:r w:rsidRPr="0011184A">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(32)</w:t>
      </w:r>
      <w:r w:rsidRPr="0011184A">
        <w:rPr>
          <w:rFonts w:ascii="Times New Roman" w:hAnsi="Times New Roman" w:cs="Times New Roman"/>
          <w:color w:val="000000" w:themeColor="text1"/>
          <w:sz w:val="22"/>
          <w:szCs w:val="22"/>
        </w:rPr>
        <w:fldChar w:fldCharType="end"/>
      </w:r>
      <w:r w:rsidRPr="0011184A">
        <w:rPr>
          <w:rFonts w:ascii="Times New Roman" w:hAnsi="Times New Roman" w:cs="Times New Roman"/>
          <w:color w:val="000000" w:themeColor="text1"/>
          <w:sz w:val="22"/>
          <w:szCs w:val="22"/>
        </w:rPr>
        <w:t>.</w:t>
      </w:r>
      <w:r w:rsidRPr="0066769C">
        <w:rPr>
          <w:rFonts w:ascii="Times New Roman" w:hAnsi="Times New Roman" w:cs="Times New Roman"/>
          <w:color w:val="EE0000"/>
          <w:sz w:val="22"/>
          <w:szCs w:val="22"/>
        </w:rPr>
        <w:t xml:space="preserve"> </w:t>
      </w:r>
      <w:r w:rsidRPr="00511459">
        <w:rPr>
          <w:rFonts w:ascii="Times New Roman" w:hAnsi="Times New Roman" w:cs="Times New Roman"/>
          <w:color w:val="000000" w:themeColor="text1"/>
          <w:sz w:val="22"/>
          <w:szCs w:val="22"/>
        </w:rPr>
        <w:t>Fourth, MRF employs a seven-level discrete thresholding algorithm</w:t>
      </w:r>
      <w:r>
        <w:rPr>
          <w:rFonts w:ascii="Times New Roman" w:hAnsi="Times New Roman" w:cs="Times New Roman"/>
          <w:color w:val="000000" w:themeColor="text1"/>
          <w:sz w:val="22"/>
          <w:szCs w:val="22"/>
        </w:rPr>
        <w:t xml:space="preserve">, </w:t>
      </w:r>
      <w:r w:rsidRPr="0011184A">
        <w:rPr>
          <w:rFonts w:ascii="Times New Roman" w:hAnsi="Times New Roman" w:cs="Times New Roman"/>
          <w:color w:val="000000" w:themeColor="text1"/>
          <w:sz w:val="22"/>
          <w:szCs w:val="22"/>
        </w:rPr>
        <w:t>with uneven step sizes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{"citationID":"7rSVSDBw","properties":{"formattedCitation":"(12)","plainCitation":"(12)","noteIndex":0},"citationItems":[{"id":1011,"uris":["http://zotero.org/users/15549944/items/MIECT2LK"],"itemData":{"id":1011,"type":"article-journal","abstract":"Purpose\nTo determine the correlation between the perimetric outcomes from perimetry software Melbourne Rapid Fields (MRF) run on an Apple iPad tablet and those from the Humphrey Field Analyzer (HFA).\n\nMethods\nThe MRF software was designed with features including variable fixation and fast thresholding using Bayes logic. Here, we report a cross-sectional study on 90 eyes from 90 participants: 12 had normal optic nerves and 78 had glaucoma with various degrees of visual field loss (41 mild and 37 moderate-severe). Exclusion criteria were patients with worse than 20/40 vision or recent intraocular surgery. The visual field outcomes of MRF were compared against those returned from the HFA 24-2 SITA standard. Participants were tested twice on the MRF to establish test–retest repeatability.\n\nResults\nThe test durations were shorter on MRF than HFA (5.7 ± 0.1 vs. 6.3 ± 0.1 minutes, P &lt; 0.001). MRF showed a high level of concordance in its outcomes with HFA (intraclass coefficient [ICC] = 0.93 for mean defect [MD] and 0.86 for pattern deviation [PD]) although the MRF tended to give a less negative MD (1.4 dB bias) compared with the HFA. MRF also showed levels of test–retest reliability comparable to HFA (ICC = 0.93 for MD and 0.89 for PD, 95% limits of agreement −4.5 to 4.3 dB).\n\nConclusion\nThe perimetry results from the MRF have a strong correlation to the HFA outcomes. MRF also has test–retest reliability comparable to HFA.\n\nTranslational Relevance\nPortable tablet perimetry may allow accurate assessment of visual field when standard perimetry machines are unavailable or unsuitable.","container-title":"Translational Vision Science &amp; Technology","DOI":"10.1167/tvst.5.6.2","ISSN":"2164-2591","issue":"6","journalAbbreviation":"Transl Vis Sci Technol","note":"PMID: 27847689\nPMCID: PMC5106194","page":"2","source":"PubMed Central","title":"A Comparison of Perimetric Results from a Tablet Perimeter and Humphrey Field Analyzer in Glaucoma Patients","volume":"5","author":[{"family":"Kong","given":"Yu Xiang George"},{"family":"He","given":"Mingguang"},{"family":"Crowston","given":"Jonathan G."},{"family":"Vingrys","given":"Algis J."}],"issued":{"date-parts":[["2016",11,3]]}}}],"schema":"https://github.com/citation-style-language/schema/raw/master/csl-citation.json"}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(12)</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Fifth, unlike HFA, </w:t>
      </w:r>
      <w:r w:rsidRPr="0011184A">
        <w:rPr>
          <w:rFonts w:ascii="Times New Roman" w:hAnsi="Times New Roman" w:cs="Times New Roman"/>
          <w:color w:val="000000" w:themeColor="text1"/>
          <w:sz w:val="22"/>
          <w:szCs w:val="22"/>
        </w:rPr>
        <w:t xml:space="preserve">the MRF testing procedure requires four </w:t>
      </w:r>
      <w:r w:rsidR="00057B82">
        <w:rPr>
          <w:rFonts w:ascii="Times New Roman" w:hAnsi="Times New Roman" w:cs="Times New Roman"/>
          <w:color w:val="000000" w:themeColor="text1"/>
          <w:sz w:val="22"/>
          <w:szCs w:val="22"/>
        </w:rPr>
        <w:t>fixatio</w:t>
      </w:r>
      <w:r w:rsidRPr="0011184A">
        <w:rPr>
          <w:rFonts w:ascii="Times New Roman" w:hAnsi="Times New Roman" w:cs="Times New Roman"/>
          <w:color w:val="000000" w:themeColor="text1"/>
          <w:sz w:val="22"/>
          <w:szCs w:val="22"/>
        </w:rPr>
        <w:t xml:space="preserve">n </w:t>
      </w:r>
      <w:r w:rsidR="00057B82">
        <w:rPr>
          <w:rFonts w:ascii="Times New Roman" w:hAnsi="Times New Roman" w:cs="Times New Roman"/>
          <w:color w:val="000000" w:themeColor="text1"/>
          <w:sz w:val="22"/>
          <w:szCs w:val="22"/>
        </w:rPr>
        <w:t>changes</w:t>
      </w:r>
      <w:r>
        <w:rPr>
          <w:rFonts w:ascii="Times New Roman" w:hAnsi="Times New Roman" w:cs="Times New Roman"/>
          <w:color w:val="000000" w:themeColor="text1"/>
          <w:sz w:val="22"/>
          <w:szCs w:val="22"/>
        </w:rPr>
        <w:t xml:space="preserve">, </w:t>
      </w:r>
      <w:r w:rsidRPr="00511459">
        <w:rPr>
          <w:rFonts w:ascii="Times New Roman" w:hAnsi="Times New Roman" w:cs="Times New Roman"/>
          <w:color w:val="000000" w:themeColor="text1"/>
          <w:sz w:val="22"/>
          <w:szCs w:val="22"/>
        </w:rPr>
        <w:t xml:space="preserve">and a viewing distance of 33 cm is </w:t>
      </w:r>
      <w:r w:rsidR="00057B82">
        <w:rPr>
          <w:rFonts w:ascii="Times New Roman" w:hAnsi="Times New Roman" w:cs="Times New Roman"/>
          <w:color w:val="000000" w:themeColor="text1"/>
          <w:sz w:val="22"/>
          <w:szCs w:val="22"/>
        </w:rPr>
        <w:t>necessary</w:t>
      </w:r>
      <w:r w:rsidRPr="00511459">
        <w:rPr>
          <w:rFonts w:ascii="Times New Roman" w:hAnsi="Times New Roman" w:cs="Times New Roman"/>
          <w:color w:val="000000" w:themeColor="text1"/>
          <w:sz w:val="22"/>
          <w:szCs w:val="22"/>
        </w:rPr>
        <w:t xml:space="preserve"> to avoid corrupting the blind spot</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{"citationID":"SQ4ruuX2","properties":{"formattedCitation":"(10)","plainCitation":"(10)","noteIndex":0},"citationItems":[{"id":1005,"uris":["http://zotero.org/users/15549944/items/ULPWVK2Q"],"itemData":{"id":1005,"type":"article-journal","abstract":"To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511459">
        <w:rPr>
          <w:rFonts w:ascii="Times New Roman" w:hAnsi="Times New Roman" w:cs="Times New Roman"/>
          <w:color w:val="000000" w:themeColor="text1"/>
          <w:sz w:val="22"/>
          <w:szCs w:val="22"/>
        </w:rPr>
        <w:t xml:space="preserve">. </w:t>
      </w:r>
    </w:p>
    <w:p w14:paraId="7C486DF1" w14:textId="77777777" w:rsidR="006856C6" w:rsidRPr="00AA57DA" w:rsidRDefault="006856C6" w:rsidP="006856C6">
      <w:pPr>
        <w:spacing w:after="0" w:line="240" w:lineRule="auto"/>
        <w:jc w:val="both"/>
        <w:rPr>
          <w:rFonts w:ascii="Times New Roman" w:hAnsi="Times New Roman" w:cs="Times New Roman"/>
          <w:color w:val="000000" w:themeColor="text1"/>
          <w:sz w:val="22"/>
          <w:szCs w:val="22"/>
        </w:rPr>
      </w:pPr>
    </w:p>
    <w:p w14:paraId="01AEBC60" w14:textId="3024DAF0" w:rsidR="006856C6" w:rsidRPr="00AA57DA" w:rsidRDefault="006856C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Our</w:t>
      </w:r>
      <w:r w:rsidRPr="00325815">
        <w:rPr>
          <w:rFonts w:ascii="Times New Roman" w:hAnsi="Times New Roman" w:cs="Times New Roman"/>
          <w:color w:val="000000" w:themeColor="text1"/>
          <w:sz w:val="22"/>
          <w:szCs w:val="22"/>
        </w:rPr>
        <w:t xml:space="preserve"> findings are consistent with what would be expected from </w:t>
      </w:r>
      <w:r>
        <w:rPr>
          <w:rFonts w:ascii="Times New Roman" w:hAnsi="Times New Roman" w:cs="Times New Roman"/>
          <w:color w:val="000000" w:themeColor="text1"/>
          <w:sz w:val="22"/>
          <w:szCs w:val="22"/>
        </w:rPr>
        <w:t>a</w:t>
      </w:r>
      <w:r w:rsidRPr="00325815">
        <w:rPr>
          <w:rFonts w:ascii="Times New Roman" w:hAnsi="Times New Roman" w:cs="Times New Roman"/>
          <w:color w:val="000000" w:themeColor="text1"/>
          <w:sz w:val="22"/>
          <w:szCs w:val="22"/>
        </w:rPr>
        <w:t xml:space="preserve"> three-presentation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{"citationID":"9F0rSETg","properties":{"formattedCitation":"(33)","plainCitation":"(33)","noteIndex":0},"citationItems":[{"id":1034,"uris":["http://zotero.org/users/15549944/items/MASWPI8A"],"itemData":{"id":1034,"type":"article-journal","abstract":"QUEST [Watson and Pelli, Perception and Psychophysics, 13, 113–120 (1983)] is an efficient method of measuring thresholds which is based on three steps: (1) Specification of prior knowledge and assumptions, including an initial probability density function (p.d.f.) of threshold (i.e. relative probability of different thresholds in the population). (2) A method for choosing the stimulus intensity of any trial. (3) A method for choosing the final threshold estimate. QUEST introduced a Bayesian framework for combining prior knowledge with the results of previous trials to calculate a current p.d.f.; this is then used to implement Steps 2 and 3. While maintaining this Bayesian approach, this paper evaluates whether modifications of the QUEST method (particularly Step 2, but also Steps 1 and 3) can lead to greater precision and reduced bias. Four variations of the QUEST method (differing in Step 2) were evaluated by computer simulations. In addition to the standard method of setting the stimulus intensity to the mode of the current p.d.f. of threshold, the alternatives of using the mean and the median were evaluated. In the fourth variation—the Minimum Variance Method—the next stimulus intensity is chosen to minimize the expected variance at the end of the next trial. An exact enumeration technique with up to 20 trials was used for both yes-no and two-alternative forced-choice (2AFC) experiments. In all cases, using the mean (here called ZEST) provided better precision than using the median which in turn was better than using the mode. The Minimum Variance Method provided slightly better precision than ZEST. The usual threshold criterion—based on the “ideal sweat factor”—may not provide optimum precision; efficiency can generally be unproved by optimizing the threshold criterion. We therefore recommend either using ZEST with the optimum threshold criterion or the more complex Minimum Variance Method. A distinction is made between “measurement bias”, which is derived from the mean of repeated threshold estimates for a single real threshold, and “interpretation bias”, which is derived from the mean of real thresholds yielding a single threshold estimate. If their assumptions are correct, the current methods have no interpretation bias, but they do have measurement bias. Interpretation bias caused by errors in the assumptions used by ZEST is evaluated. The precisions and merits of yes-no and 2AFC techniques are compared. Practical implementation of the ZEST method is described in the Appendix, with emphasis on the flexibility of the current methods in circumventing experimental problems, and on enhancements to allow for variations in the slope of the psychometric function, drifts in threshold, and correlation between thresholds for different stimuli.","container-title":"Vision Research","DOI":"10.1016/0042-6989(94)90039-6","ISSN":"0042-6989","issue":"7","journalAbbreviation":"Vision Research","page":"885-912","source":"ScienceDirect","title":"Efficient and unbiased modifications of the QUEST threshold method: Theory, simulations, experimental evaluation and practical implementation","title-short":"Efficient and unbiased modifications of the QUEST threshold method","volume":"34","author":[{"family":"King-Smith","given":"P. Ewen"},{"family":"Grigsby","given":"Scott S."},{"family":"Vingrys","given":"Algis J."},{"family":"Benes","given":"Susan C."},{"family":"Supowit","given":"Aaron"}],"issued":{"date-parts":[["1994",4,1]]}}}],"schema":"https://github.com/citation-style-language/schema/raw/master/csl-citation.json"}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(33)</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 xml:space="preserve">, </w:t>
      </w:r>
      <w:r w:rsidRPr="00325815">
        <w:rPr>
          <w:rFonts w:ascii="Times New Roman" w:hAnsi="Times New Roman" w:cs="Times New Roman"/>
          <w:color w:val="000000" w:themeColor="text1"/>
          <w:sz w:val="22"/>
          <w:szCs w:val="22"/>
        </w:rPr>
        <w:t>coarse</w:t>
      </w:r>
      <w:r>
        <w:rPr>
          <w:rFonts w:ascii="Times New Roman" w:hAnsi="Times New Roman" w:cs="Times New Roman"/>
          <w:color w:val="000000" w:themeColor="text1"/>
          <w:sz w:val="22"/>
          <w:szCs w:val="22"/>
        </w:rPr>
        <w:t>r</w:t>
      </w:r>
      <w:r w:rsidRPr="00325815">
        <w:rPr>
          <w:rFonts w:ascii="Times New Roman" w:hAnsi="Times New Roman" w:cs="Times New Roman"/>
          <w:color w:val="000000" w:themeColor="text1"/>
          <w:sz w:val="22"/>
          <w:szCs w:val="22"/>
        </w:rPr>
        <w:t xml:space="preserve"> staircas</w:t>
      </w:r>
      <w:r>
        <w:rPr>
          <w:rFonts w:ascii="Times New Roman" w:hAnsi="Times New Roman" w:cs="Times New Roman"/>
          <w:color w:val="000000" w:themeColor="text1"/>
          <w:sz w:val="22"/>
          <w:szCs w:val="22"/>
        </w:rPr>
        <w:t>e, in which there are</w:t>
      </w:r>
      <w:r w:rsidRPr="00325815">
        <w:rPr>
          <w:rFonts w:ascii="Times New Roman" w:hAnsi="Times New Roman" w:cs="Times New Roman"/>
          <w:color w:val="000000" w:themeColor="text1"/>
          <w:sz w:val="22"/>
          <w:szCs w:val="22"/>
        </w:rPr>
        <w:t xml:space="preserve"> faster test times and high </w:t>
      </w:r>
      <w:r>
        <w:rPr>
          <w:rFonts w:ascii="Times New Roman" w:hAnsi="Times New Roman" w:cs="Times New Roman"/>
          <w:color w:val="000000" w:themeColor="text1"/>
          <w:sz w:val="22"/>
          <w:szCs w:val="22"/>
        </w:rPr>
        <w:t xml:space="preserve">global </w:t>
      </w:r>
      <w:r w:rsidRPr="00325815">
        <w:rPr>
          <w:rFonts w:ascii="Times New Roman" w:hAnsi="Times New Roman" w:cs="Times New Roman"/>
          <w:color w:val="000000" w:themeColor="text1"/>
          <w:sz w:val="22"/>
          <w:szCs w:val="22"/>
        </w:rPr>
        <w:t>repeatability</w:t>
      </w:r>
      <w:r>
        <w:rPr>
          <w:rFonts w:ascii="Times New Roman" w:hAnsi="Times New Roman" w:cs="Times New Roman"/>
          <w:color w:val="000000" w:themeColor="text1"/>
          <w:sz w:val="22"/>
          <w:szCs w:val="22"/>
        </w:rPr>
        <w:t xml:space="preserve"> (</w:t>
      </w:r>
      <w:r w:rsidRPr="00325815">
        <w:rPr>
          <w:rFonts w:ascii="Times New Roman" w:hAnsi="Times New Roman" w:cs="Times New Roman"/>
          <w:color w:val="000000" w:themeColor="text1"/>
          <w:sz w:val="22"/>
          <w:szCs w:val="22"/>
        </w:rPr>
        <w:t>particularly at extreme values</w:t>
      </w:r>
      <w:r>
        <w:rPr>
          <w:rFonts w:ascii="Times New Roman" w:hAnsi="Times New Roman" w:cs="Times New Roman"/>
          <w:color w:val="000000" w:themeColor="text1"/>
          <w:sz w:val="22"/>
          <w:szCs w:val="22"/>
        </w:rPr>
        <w:t xml:space="preserve">) with a </w:t>
      </w:r>
      <w:r w:rsidRPr="00325815">
        <w:rPr>
          <w:rFonts w:ascii="Times New Roman" w:hAnsi="Times New Roman" w:cs="Times New Roman"/>
          <w:color w:val="000000" w:themeColor="text1"/>
          <w:sz w:val="22"/>
          <w:szCs w:val="22"/>
        </w:rPr>
        <w:t>greater pointwise variability.</w:t>
      </w:r>
      <w:r>
        <w:rPr>
          <w:rFonts w:ascii="Times New Roman" w:hAnsi="Times New Roman" w:cs="Times New Roman"/>
          <w:color w:val="000000" w:themeColor="text1"/>
          <w:sz w:val="22"/>
          <w:szCs w:val="22"/>
        </w:rPr>
        <w:t xml:space="preserve"> </w:t>
      </w:r>
      <w:r w:rsidRPr="0011184A">
        <w:rPr>
          <w:rFonts w:ascii="Times New Roman" w:hAnsi="Times New Roman" w:cs="Times New Roman"/>
          <w:color w:val="000000" w:themeColor="text1"/>
          <w:sz w:val="22"/>
          <w:szCs w:val="22"/>
        </w:rPr>
        <w:t xml:space="preserve">MRF uses a “minimalist” three-step Bayesian staircase that classifies sensitivity into seven discrete thresholds (0, 6, 12, 17, 22, 26, and 30 dB), derived from the three binary </w:t>
      </w:r>
      <w:r w:rsidRPr="0011184A">
        <w:rPr>
          <w:rFonts w:ascii="Times New Roman" w:hAnsi="Times New Roman" w:cs="Times New Roman"/>
          <w:color w:val="000000" w:themeColor="text1"/>
          <w:sz w:val="22"/>
          <w:szCs w:val="22"/>
        </w:rPr>
        <w:lastRenderedPageBreak/>
        <w:t>yes/no responses (2³ = eight categories)</w:t>
      </w:r>
      <w:r>
        <w:rPr>
          <w:rFonts w:ascii="Times New Roman" w:hAnsi="Times New Roman" w:cs="Times New Roman"/>
          <w:color w:val="000000" w:themeColor="text1"/>
          <w:sz w:val="22"/>
          <w:szCs w:val="22"/>
        </w:rPr>
        <w:t xml:space="preserve"> </w:t>
      </w:r>
      <w:r w:rsidRPr="0011184A">
        <w:rPr>
          <w:rFonts w:ascii="Times New Roman" w:hAnsi="Times New Roman" w:cs="Times New Roman"/>
          <w:color w:val="000000" w:themeColor="text1"/>
          <w:sz w:val="22"/>
          <w:szCs w:val="22"/>
        </w:rPr>
        <w:t>with the two lowest levels combined due to high variability below 10 dB</w:t>
      </w:r>
      <w:r w:rsidRPr="005732AF">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{"citationID":"XDtgai2K","properties":{"formattedCitation":"(10)","plainCitation":"(10)","noteIndex":0},"citationItems":[{"id":1005,"uris":["http://zotero.org/users/15549944/items/ULPWVK2Q"],"itemData":{"id":1005,"type":"article-journal","abstract":"To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11184A">
        <w:rPr>
          <w:rFonts w:ascii="Times New Roman" w:hAnsi="Times New Roman" w:cs="Times New Roman"/>
          <w:color w:val="000000" w:themeColor="text1"/>
          <w:sz w:val="22"/>
          <w:szCs w:val="22"/>
        </w:rPr>
        <w:t>. The algorithm begins with an initial 17dB probe (</w:t>
      </w:r>
      <w:r>
        <w:rPr>
          <w:rFonts w:ascii="Times New Roman" w:hAnsi="Times New Roman" w:cs="Times New Roman"/>
          <w:color w:val="000000" w:themeColor="text1"/>
          <w:sz w:val="22"/>
          <w:szCs w:val="22"/>
        </w:rPr>
        <w:t xml:space="preserve">a value </w:t>
      </w:r>
      <w:r w:rsidR="00162BDA">
        <w:rPr>
          <w:rFonts w:ascii="Times New Roman" w:hAnsi="Times New Roman" w:cs="Times New Roman"/>
          <w:color w:val="000000" w:themeColor="text1"/>
          <w:sz w:val="22"/>
          <w:szCs w:val="22"/>
        </w:rPr>
        <w:t>observed</w:t>
      </w:r>
      <w:r>
        <w:rPr>
          <w:rFonts w:ascii="Times New Roman" w:hAnsi="Times New Roman" w:cs="Times New Roman"/>
          <w:color w:val="000000" w:themeColor="text1"/>
          <w:sz w:val="22"/>
          <w:szCs w:val="22"/>
        </w:rPr>
        <w:t xml:space="preserve"> by</w:t>
      </w:r>
      <w:r w:rsidRPr="0011184A">
        <w:rPr>
          <w:rFonts w:ascii="Times New Roman" w:hAnsi="Times New Roman" w:cs="Times New Roman"/>
          <w:color w:val="000000" w:themeColor="text1"/>
          <w:sz w:val="22"/>
          <w:szCs w:val="22"/>
        </w:rPr>
        <w:t xml:space="preserve"> 9</w:t>
      </w:r>
      <w:r>
        <w:rPr>
          <w:rFonts w:ascii="Times New Roman" w:hAnsi="Times New Roman" w:cs="Times New Roman"/>
          <w:color w:val="000000" w:themeColor="text1"/>
          <w:sz w:val="22"/>
          <w:szCs w:val="22"/>
        </w:rPr>
        <w:t>7.5%</w:t>
      </w:r>
      <w:r w:rsidRPr="0011184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of </w:t>
      </w:r>
      <w:r w:rsidRPr="0011184A">
        <w:rPr>
          <w:rFonts w:ascii="Times New Roman" w:hAnsi="Times New Roman" w:cs="Times New Roman"/>
          <w:color w:val="000000" w:themeColor="text1"/>
          <w:sz w:val="22"/>
          <w:szCs w:val="22"/>
        </w:rPr>
        <w:t>normal</w:t>
      </w:r>
      <w:r>
        <w:rPr>
          <w:rFonts w:ascii="Times New Roman" w:hAnsi="Times New Roman" w:cs="Times New Roman"/>
          <w:color w:val="000000" w:themeColor="text1"/>
          <w:sz w:val="22"/>
          <w:szCs w:val="22"/>
        </w:rPr>
        <w:t xml:space="preserve"> patients</w:t>
      </w:r>
      <w:r w:rsidRPr="0011184A">
        <w:rPr>
          <w:rFonts w:ascii="Times New Roman" w:hAnsi="Times New Roman" w:cs="Times New Roman"/>
          <w:color w:val="000000" w:themeColor="text1"/>
          <w:sz w:val="22"/>
          <w:szCs w:val="22"/>
        </w:rPr>
        <w:t>)</w:t>
      </w:r>
      <w:r w:rsidR="00162BD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{"citationID":"Erew2rVc","properties":{"formattedCitation":"(10)","plainCitation":"(10)","noteIndex":0},"citationItems":[{"id":1005,"uris":["http://zotero.org/users/15549944/items/ULPWVK2Q"],"itemData":{"id":1005,"type":"article-journal","abstract":"To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11184A">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and </w:t>
      </w:r>
      <w:r w:rsidRPr="0011184A">
        <w:rPr>
          <w:rFonts w:ascii="Times New Roman" w:hAnsi="Times New Roman" w:cs="Times New Roman"/>
          <w:color w:val="000000" w:themeColor="text1"/>
          <w:sz w:val="22"/>
          <w:szCs w:val="22"/>
        </w:rPr>
        <w:t>updat</w:t>
      </w:r>
      <w:r>
        <w:rPr>
          <w:rFonts w:ascii="Times New Roman" w:hAnsi="Times New Roman" w:cs="Times New Roman"/>
          <w:color w:val="000000" w:themeColor="text1"/>
          <w:sz w:val="22"/>
          <w:szCs w:val="22"/>
        </w:rPr>
        <w:t>es</w:t>
      </w:r>
      <w:r w:rsidRPr="0011184A">
        <w:rPr>
          <w:rFonts w:ascii="Times New Roman" w:hAnsi="Times New Roman" w:cs="Times New Roman"/>
          <w:color w:val="000000" w:themeColor="text1"/>
          <w:sz w:val="22"/>
          <w:szCs w:val="22"/>
        </w:rPr>
        <w:t xml:space="preserve"> the posterior</w:t>
      </w:r>
      <w:r>
        <w:rPr>
          <w:rFonts w:ascii="Times New Roman" w:hAnsi="Times New Roman" w:cs="Times New Roman"/>
          <w:color w:val="000000" w:themeColor="text1"/>
          <w:sz w:val="22"/>
          <w:szCs w:val="22"/>
        </w:rPr>
        <w:t xml:space="preserve"> probability distribution</w:t>
      </w:r>
      <w:r w:rsidRPr="0011184A">
        <w:rPr>
          <w:rFonts w:ascii="Times New Roman" w:hAnsi="Times New Roman" w:cs="Times New Roman"/>
          <w:color w:val="000000" w:themeColor="text1"/>
          <w:sz w:val="22"/>
          <w:szCs w:val="22"/>
        </w:rPr>
        <w:t xml:space="preserve"> after each response. This design speeds testing but reduces granularity</w:t>
      </w:r>
      <w:r>
        <w:rPr>
          <w:rFonts w:ascii="Times New Roman" w:hAnsi="Times New Roman" w:cs="Times New Roman"/>
          <w:color w:val="000000" w:themeColor="text1"/>
          <w:sz w:val="22"/>
          <w:szCs w:val="22"/>
        </w:rPr>
        <w:t xml:space="preserve">; </w:t>
      </w:r>
      <w:r w:rsidRPr="0011184A">
        <w:rPr>
          <w:rFonts w:ascii="Times New Roman" w:hAnsi="Times New Roman" w:cs="Times New Roman"/>
          <w:color w:val="000000" w:themeColor="text1"/>
          <w:sz w:val="22"/>
          <w:szCs w:val="22"/>
        </w:rPr>
        <w:t>for example, only three levels (12, 17, 22 dB) exist between 12 and 22 dB</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{"citationID":"7wUypnYK","properties":{"formattedCitation":"(10)","plainCitation":"(10)","noteIndex":0},"citationItems":[{"id":1005,"uris":["http://zotero.org/users/15549944/items/ULPWVK2Q"],"itemData":{"id":1005,"type":"article-journal","abstract":"To describe a tangent perimeter developed on an Apple iPad (Melbourne Rapid Field, MRF).    The MRF assays 66 locations over 28° × 18° by having the patient vary fixation. Spot size and background luminance are paired to yield constant thresholds across the field. Spot locations were selected after analysis of 360 patient records. The capacity of the MRF to detect defects was verified in five participants (age 22–28 years) by simulating four common losses: central, arcuate, quadrant, and hemianopia. We also consider the effect of: myosis, blur (+3 DS), viewing distance (25–75 cm), ambient light (4–600 lux), and retest repeatability (1-week apart) on thresholds. Group means [SEM] are compared by Student's t-test and repeatability returned from Bland-Altman analysis.    We found a 5 cd.m−2 background replicates the Weber fraction produced by a Humphrey spot shown at 35 dB. Our variable size gives constant thresholds (29.6 [0.2] dB) across all locations. Altering viewing distance (25 cm = 29.8 [0.9] dB; 75 cm = 28.9 [0.6] dB) and ambient lighting (4 lux, 29.8 [0.8] dB; 600 lux, 29.5 [1.0] dB) did not affect threshold although screen reflections must be avoided. Myosis (−1.2 dB) and blur (−1.5 dB) will reduce sensitivity (P &amp;lt; 0.05). Simulated defects with a mean defect (MD) of −3.3 dB are detected by the MRF. The Coefficient of repeatability was 9.6%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2.9 dB) in normal regions and 48.1% (SD </w:instrText>
      </w:r>
      <w:r>
        <w:rPr>
          <w:rFonts w:ascii="Cambria Math" w:hAnsi="Cambria Math" w:cs="Cambria Math"/>
          <w:color w:val="000000" w:themeColor="text1"/>
          <w:sz w:val="22"/>
          <w:szCs w:val="22"/>
        </w:rPr>
        <w:instrText>∼</w:instrText>
      </w:r>
      <w:r>
        <w:rPr>
          <w:rFonts w:ascii="Times New Roman" w:hAnsi="Times New Roman" w:cs="Times New Roman"/>
          <w:color w:val="000000" w:themeColor="text1"/>
          <w:sz w:val="22"/>
          <w:szCs w:val="22"/>
        </w:rPr>
        <w:instrText xml:space="preserve">8.0 dB) in areas of simulated scotoma.    Tablet technology can return efficient and reliable thresholds to 30° as a tangent perimeter.    The MRF will allow testing at a bedside, at home, in rural or remote areas, or where equipment cannot be financed.","container-title":"Translational Vision Science &amp; Technology","DOI":"10.1167/tvst.5.4.3","ISSN":"2164-2591","issue":"4","journalAbbreviation":"Trans. Vis. Sci. Tech.","page":"3","source":"Silverchair","title":"Validation of a Tablet as a Tangent Perimeter","volume":"5","author":[{"family":"Vingrys","given":"Algis J."},{"family":"Healey","given":"Jessica K."},{"family":"Liew","given":"Sheryl"},{"family":"Saharinen","given":"Veera"},{"family":"Tran","given":"Michael"},{"family":"Wu","given":"William"},{"family":"Kong","given":"George Y. X."}],"issued":{"date-parts":[["2016",7,12]]}}}],"schema":"https://github.com/citation-style-language/schema/raw/master/csl-citation.json"}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(10)</w:t>
      </w:r>
      <w:r>
        <w:rPr>
          <w:rFonts w:ascii="Times New Roman" w:hAnsi="Times New Roman" w:cs="Times New Roman"/>
          <w:color w:val="000000" w:themeColor="text1"/>
          <w:sz w:val="22"/>
          <w:szCs w:val="22"/>
        </w:rPr>
        <w:fldChar w:fldCharType="end"/>
      </w:r>
      <w:r w:rsidRPr="0011184A">
        <w:rPr>
          <w:rFonts w:ascii="Times New Roman" w:hAnsi="Times New Roman" w:cs="Times New Roman"/>
          <w:color w:val="000000" w:themeColor="text1"/>
          <w:sz w:val="22"/>
          <w:szCs w:val="22"/>
        </w:rPr>
        <w:t xml:space="preserve">. </w:t>
      </w:r>
      <w:r w:rsidRPr="00294897">
        <w:rPr>
          <w:rFonts w:ascii="Times New Roman" w:hAnsi="Times New Roman" w:cs="Times New Roman"/>
          <w:color w:val="000000" w:themeColor="text1"/>
          <w:sz w:val="22"/>
          <w:szCs w:val="22"/>
        </w:rPr>
        <w:t xml:space="preserve">This “minimalist” design reflects MRF’s original purpose as a </w:t>
      </w:r>
      <w:r>
        <w:rPr>
          <w:rFonts w:ascii="Times New Roman" w:hAnsi="Times New Roman" w:cs="Times New Roman"/>
          <w:color w:val="000000" w:themeColor="text1"/>
          <w:sz w:val="22"/>
          <w:szCs w:val="22"/>
        </w:rPr>
        <w:t>portable</w:t>
      </w:r>
      <w:r w:rsidRPr="00294897">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perimeter</w:t>
      </w:r>
      <w:r w:rsidRPr="00294897">
        <w:rPr>
          <w:rFonts w:ascii="Times New Roman" w:hAnsi="Times New Roman" w:cs="Times New Roman"/>
          <w:color w:val="000000" w:themeColor="text1"/>
          <w:sz w:val="22"/>
          <w:szCs w:val="22"/>
        </w:rPr>
        <w:t xml:space="preserve"> intended for frequent home testing, where increased measurement frequency </w:t>
      </w:r>
      <w:r>
        <w:rPr>
          <w:rFonts w:ascii="Times New Roman" w:hAnsi="Times New Roman" w:cs="Times New Roman"/>
          <w:color w:val="000000" w:themeColor="text1"/>
          <w:sz w:val="22"/>
          <w:szCs w:val="22"/>
        </w:rPr>
        <w:t>could</w:t>
      </w:r>
      <w:r w:rsidRPr="00294897">
        <w:rPr>
          <w:rFonts w:ascii="Times New Roman" w:hAnsi="Times New Roman" w:cs="Times New Roman"/>
          <w:color w:val="000000" w:themeColor="text1"/>
          <w:sz w:val="22"/>
          <w:szCs w:val="22"/>
        </w:rPr>
        <w:t xml:space="preserve"> compensate for reduced pointwise resolution</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ZOTERO_ITEM CSL_CITATION {"citationID":"gbaUT04y","properties":{"formattedCitation":"(11)","plainCitation":"(11)","noteIndex":0},"citationItems":[{"id":1037,"uris":["http://zotero.org/users/15549944/items/2JKFH7ZW"],"itemData":{"id":1037,"type":"article-journal","abstract":"Purpose: Recent developments in electronic technology are making it possible to home monitor the sensitivity of the central visual ﬁeld using portable devices. We used simulations to investigate whether the higher test frequency afforded by home monitoring improves the early detection of rapid visual ﬁeld loss in glaucoma and how any beneﬁts might be affected by imperfect compliance or increased variability in the home-monitoring test. Design: Computer simulation, with parameter selection conﬁrmed with a cohort study. Participants: A total of 43 patients with treated glaucoma (both open-angle and closed-angle), ocular hypertension or glaucoma suspects (mean age, 71 years; range, 37e89 years), were followed in the cohort study.\nMethods: We simulated series (n ¼ 100 000) of visual ﬁelds for patients with stable glaucoma and patients with progressing glaucoma for 2 in-clinic (yearly and 6-monthly) and 3 home-monitoring (monthly, fortnightly, and weekly) schedules, each running over a 5-year period. Various percentages of home-monitored ﬁelds were omitted at random to simulate reduced compliance, and the variability of the home monitored ﬁelds also was manipulated. We used previously published variability characteristics for perimetry and conﬁrmed their appropriateness for a home-monitoring device by measuring the device’s retest variability at 2 months in a cohort of 43 patients. The criterion for ﬂagging progression in our simulation was a signiﬁcant slope of the ordinary least squares regression of a simulated patient’s mean deviation (MD) data. Main Outcome Measures: The sensitivity for identifying rapid visual ﬁeld loss ( 2 decibels [dB]/year loss of MD).\nResults: Although a sensitivity of 0.8 for rapid ﬁeld loss was achieved after 2.5 years of 6-monthly testing in the clinic, weekly home monitoring achieved this by 0.9 years despite moderate test compliance of 63%. The improved performance of weekly home monitoring over 6-monthly clinical testing was retained even when home monitoring was assumed to produce more variable test results or be associated with low patient compliance.\nConclusions: Detecting rapid visual ﬁeld progression may be improved using a home-monitoring strategy, even when compliance is imperfect. The cost-beneﬁt of such an approach is yet to be demonstrated, however. Ophthalmology 2017;124:1735-1742 ª 2017 by the American Academy of Ophthalmology","container-title":"Ophthalmology","DOI":"10.1016/j.ophtha.2017.06.028","ISSN":"01616420","issue":"12","journalAbbreviation":"Ophthalmology","language":"en","page":"1735-1742","source":"DOI.org (Crossref)","title":"Can Home Monitoring Allow Earlier Detection of Rapid Visual Field Progression in Glaucoma?","volume":"124","author":[{"family":"Anderson","given":"Andrew J."},{"family":"Bedggood","given":"Phillip A."},{"family":"George Kong","given":"Yu Xiang"},{"family":"Martin","given":"Keith R."},{"family":"Vingrys","given":"Algis J."}],"issued":{"date-parts":[["2017",12]]}}}],"schema":"https://github.com/citation-style-language/schema/raw/master/csl-citation.json"} </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(11)</w:t>
      </w:r>
      <w:r>
        <w:rPr>
          <w:rFonts w:ascii="Times New Roman" w:hAnsi="Times New Roman" w:cs="Times New Roman"/>
          <w:color w:val="000000" w:themeColor="text1"/>
          <w:sz w:val="22"/>
          <w:szCs w:val="22"/>
        </w:rPr>
        <w:fldChar w:fldCharType="end"/>
      </w:r>
      <w:r w:rsidRPr="00294897">
        <w:rPr>
          <w:rFonts w:ascii="Times New Roman" w:hAnsi="Times New Roman" w:cs="Times New Roman"/>
          <w:color w:val="000000" w:themeColor="text1"/>
          <w:sz w:val="22"/>
          <w:szCs w:val="22"/>
        </w:rPr>
        <w:t>.</w:t>
      </w:r>
      <w:r w:rsidR="00AA57DA">
        <w:rPr>
          <w:rFonts w:ascii="Times New Roman" w:hAnsi="Times New Roman" w:cs="Times New Roman"/>
          <w:color w:val="000000" w:themeColor="text1"/>
          <w:sz w:val="22"/>
          <w:szCs w:val="22"/>
        </w:rPr>
        <w:t xml:space="preserve">  </w:t>
      </w:r>
    </w:p>
    <w:p w14:paraId="277D7216"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p>
    <w:p w14:paraId="128E8D37" w14:textId="3BE4966D" w:rsidR="006856C6" w:rsidRPr="00537F65" w:rsidRDefault="00AA57DA"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Given these </w:t>
      </w:r>
      <w:r w:rsidR="00162BDA">
        <w:rPr>
          <w:rFonts w:ascii="Times New Roman" w:hAnsi="Times New Roman" w:cs="Times New Roman"/>
          <w:color w:val="000000" w:themeColor="text1"/>
          <w:kern w:val="0"/>
          <w:sz w:val="22"/>
          <w:szCs w:val="22"/>
          <w14:ligatures w14:val="none"/>
        </w:rPr>
        <w:t>design features, it is unsurprising that MRF yields different pointwise thresholds, although global indices align closely</w:t>
      </w:r>
      <w:r w:rsidR="00FE7348">
        <w:rPr>
          <w:rFonts w:ascii="Times New Roman" w:hAnsi="Times New Roman" w:cs="Times New Roman"/>
          <w:color w:val="000000" w:themeColor="text1"/>
          <w:sz w:val="22"/>
          <w:szCs w:val="22"/>
        </w:rPr>
        <w:t xml:space="preserve"> with HFA values</w:t>
      </w:r>
      <w:r>
        <w:rPr>
          <w:rFonts w:ascii="Times New Roman" w:hAnsi="Times New Roman" w:cs="Times New Roman"/>
          <w:color w:val="000000" w:themeColor="text1"/>
          <w:sz w:val="22"/>
          <w:szCs w:val="22"/>
        </w:rPr>
        <w:t xml:space="preserve">. </w:t>
      </w:r>
      <w:r w:rsidR="000D700C">
        <w:rPr>
          <w:rFonts w:ascii="Times New Roman" w:hAnsi="Times New Roman" w:cs="Times New Roman"/>
          <w:color w:val="000000" w:themeColor="text1"/>
          <w:sz w:val="22"/>
          <w:szCs w:val="22"/>
        </w:rPr>
        <w:t xml:space="preserve">This outcome </w:t>
      </w:r>
      <w:r w:rsidR="00162BDA">
        <w:rPr>
          <w:rFonts w:ascii="Times New Roman" w:hAnsi="Times New Roman" w:cs="Times New Roman"/>
          <w:color w:val="000000" w:themeColor="text1"/>
          <w:sz w:val="22"/>
          <w:szCs w:val="22"/>
        </w:rPr>
        <w:t xml:space="preserve">also </w:t>
      </w:r>
      <w:r w:rsidR="000D700C">
        <w:rPr>
          <w:rFonts w:ascii="Times New Roman" w:hAnsi="Times New Roman" w:cs="Times New Roman"/>
          <w:color w:val="000000" w:themeColor="text1"/>
          <w:sz w:val="22"/>
          <w:szCs w:val="22"/>
        </w:rPr>
        <w:t xml:space="preserve">reflects </w:t>
      </w:r>
      <w:r w:rsidR="00162BDA">
        <w:rPr>
          <w:rFonts w:ascii="Times New Roman" w:hAnsi="Times New Roman" w:cs="Times New Roman"/>
          <w:color w:val="000000" w:themeColor="text1"/>
          <w:kern w:val="0"/>
          <w:sz w:val="22"/>
          <w:szCs w:val="22"/>
          <w14:ligatures w14:val="none"/>
        </w:rPr>
        <w:t xml:space="preserve">spot scaling: the spot is smaller than Goldman size 3 in the macula, yielding lower thresholds, </w:t>
      </w:r>
      <w:r w:rsidR="0049659F">
        <w:rPr>
          <w:rFonts w:ascii="Times New Roman" w:hAnsi="Times New Roman" w:cs="Times New Roman"/>
          <w:color w:val="000000" w:themeColor="text1"/>
          <w:kern w:val="0"/>
          <w:sz w:val="22"/>
          <w:szCs w:val="22"/>
          <w14:ligatures w14:val="none"/>
        </w:rPr>
        <w:t>whereas it is</w:t>
      </w:r>
      <w:r w:rsidR="00162BDA">
        <w:rPr>
          <w:rFonts w:ascii="Times New Roman" w:hAnsi="Times New Roman" w:cs="Times New Roman"/>
          <w:color w:val="000000" w:themeColor="text1"/>
          <w:kern w:val="0"/>
          <w:sz w:val="22"/>
          <w:szCs w:val="22"/>
          <w14:ligatures w14:val="none"/>
        </w:rPr>
        <w:t xml:space="preserve"> larger in the periphery, yielding</w:t>
      </w:r>
      <w:r w:rsidR="00726875">
        <w:rPr>
          <w:rFonts w:ascii="Times New Roman" w:hAnsi="Times New Roman" w:cs="Times New Roman"/>
          <w:color w:val="000000" w:themeColor="text1"/>
          <w:sz w:val="22"/>
          <w:szCs w:val="22"/>
        </w:rPr>
        <w:t xml:space="preserve"> higher thresholds</w:t>
      </w:r>
      <w:r w:rsidR="000D700C">
        <w:rPr>
          <w:rFonts w:ascii="Times New Roman" w:hAnsi="Times New Roman" w:cs="Times New Roman"/>
          <w:color w:val="000000" w:themeColor="text1"/>
          <w:sz w:val="22"/>
          <w:szCs w:val="22"/>
        </w:rPr>
        <w:t xml:space="preserve">. </w:t>
      </w:r>
      <w:r w:rsidR="00726875">
        <w:rPr>
          <w:rFonts w:ascii="Times New Roman" w:hAnsi="Times New Roman" w:cs="Times New Roman"/>
          <w:color w:val="000000" w:themeColor="text1"/>
          <w:sz w:val="22"/>
          <w:szCs w:val="22"/>
        </w:rPr>
        <w:t>Overall</w:t>
      </w:r>
      <w:r w:rsidR="00562692">
        <w:rPr>
          <w:rFonts w:ascii="Times New Roman" w:hAnsi="Times New Roman" w:cs="Times New Roman"/>
          <w:color w:val="000000" w:themeColor="text1"/>
          <w:sz w:val="22"/>
          <w:szCs w:val="22"/>
        </w:rPr>
        <w:t>,</w:t>
      </w:r>
      <w:r w:rsidR="00726875">
        <w:rPr>
          <w:rFonts w:ascii="Times New Roman" w:hAnsi="Times New Roman" w:cs="Times New Roman"/>
          <w:color w:val="000000" w:themeColor="text1"/>
          <w:sz w:val="22"/>
          <w:szCs w:val="22"/>
        </w:rPr>
        <w:t xml:space="preserve"> the size factor </w:t>
      </w:r>
      <w:r w:rsidR="0049659F">
        <w:rPr>
          <w:rFonts w:ascii="Times New Roman" w:hAnsi="Times New Roman" w:cs="Times New Roman"/>
          <w:color w:val="000000" w:themeColor="text1"/>
          <w:sz w:val="22"/>
          <w:szCs w:val="22"/>
        </w:rPr>
        <w:t>is</w:t>
      </w:r>
      <w:r w:rsidR="008B3C9E">
        <w:rPr>
          <w:rFonts w:ascii="Times New Roman" w:hAnsi="Times New Roman" w:cs="Times New Roman"/>
          <w:color w:val="000000" w:themeColor="text1"/>
          <w:sz w:val="22"/>
          <w:szCs w:val="22"/>
        </w:rPr>
        <w:t xml:space="preserve"> designed to </w:t>
      </w:r>
      <w:r w:rsidR="0049659F">
        <w:rPr>
          <w:rFonts w:ascii="Times New Roman" w:hAnsi="Times New Roman" w:cs="Times New Roman"/>
          <w:color w:val="000000" w:themeColor="text1"/>
          <w:sz w:val="22"/>
          <w:szCs w:val="22"/>
        </w:rPr>
        <w:t>yield</w:t>
      </w:r>
      <w:r w:rsidR="00726875">
        <w:rPr>
          <w:rFonts w:ascii="Times New Roman" w:hAnsi="Times New Roman" w:cs="Times New Roman"/>
          <w:color w:val="000000" w:themeColor="text1"/>
          <w:sz w:val="22"/>
          <w:szCs w:val="22"/>
        </w:rPr>
        <w:t xml:space="preserve"> HFA-like global val</w:t>
      </w:r>
      <w:r w:rsidR="00562692">
        <w:rPr>
          <w:rFonts w:ascii="Times New Roman" w:hAnsi="Times New Roman" w:cs="Times New Roman"/>
          <w:color w:val="000000" w:themeColor="text1"/>
          <w:sz w:val="22"/>
          <w:szCs w:val="22"/>
        </w:rPr>
        <w:t>u</w:t>
      </w:r>
      <w:r w:rsidR="00726875">
        <w:rPr>
          <w:rFonts w:ascii="Times New Roman" w:hAnsi="Times New Roman" w:cs="Times New Roman"/>
          <w:color w:val="000000" w:themeColor="text1"/>
          <w:sz w:val="22"/>
          <w:szCs w:val="22"/>
        </w:rPr>
        <w:t xml:space="preserve">es. </w:t>
      </w:r>
      <w:r w:rsidR="006856C6">
        <w:rPr>
          <w:rFonts w:ascii="Times New Roman" w:hAnsi="Times New Roman" w:cs="Times New Roman"/>
          <w:color w:val="000000" w:themeColor="text1"/>
          <w:sz w:val="22"/>
          <w:szCs w:val="22"/>
        </w:rPr>
        <w:t xml:space="preserve">In our study, </w:t>
      </w:r>
      <w:r w:rsidR="006856C6" w:rsidRPr="005343FF">
        <w:rPr>
          <w:rFonts w:ascii="Times New Roman" w:hAnsi="Times New Roman" w:cs="Times New Roman"/>
          <w:color w:val="000000" w:themeColor="text1"/>
          <w:sz w:val="22"/>
          <w:szCs w:val="22"/>
        </w:rPr>
        <w:t xml:space="preserve">MRF demonstrated excellent global concordance, correlation, and AUC, but </w:t>
      </w:r>
      <w:r w:rsidR="006856C6">
        <w:rPr>
          <w:rFonts w:ascii="Times New Roman" w:hAnsi="Times New Roman" w:cs="Times New Roman"/>
          <w:color w:val="000000" w:themeColor="text1"/>
          <w:sz w:val="22"/>
          <w:szCs w:val="22"/>
        </w:rPr>
        <w:t>some</w:t>
      </w:r>
      <w:r w:rsidR="006856C6" w:rsidRPr="005343FF">
        <w:rPr>
          <w:rFonts w:ascii="Times New Roman" w:hAnsi="Times New Roman" w:cs="Times New Roman"/>
          <w:color w:val="000000" w:themeColor="text1"/>
          <w:sz w:val="22"/>
          <w:szCs w:val="22"/>
        </w:rPr>
        <w:t xml:space="preserve"> performance differences </w:t>
      </w:r>
      <w:r w:rsidR="0049659F">
        <w:rPr>
          <w:rFonts w:ascii="Times New Roman" w:hAnsi="Times New Roman" w:cs="Times New Roman"/>
          <w:color w:val="000000" w:themeColor="text1"/>
          <w:sz w:val="22"/>
          <w:szCs w:val="22"/>
        </w:rPr>
        <w:t>relative</w:t>
      </w:r>
      <w:r w:rsidR="006856C6" w:rsidRPr="005343FF">
        <w:rPr>
          <w:rFonts w:ascii="Times New Roman" w:hAnsi="Times New Roman" w:cs="Times New Roman"/>
          <w:color w:val="000000" w:themeColor="text1"/>
          <w:sz w:val="22"/>
          <w:szCs w:val="22"/>
        </w:rPr>
        <w:t xml:space="preserve"> </w:t>
      </w:r>
      <w:r w:rsidR="0049659F">
        <w:rPr>
          <w:rFonts w:ascii="Times New Roman" w:hAnsi="Times New Roman" w:cs="Times New Roman"/>
          <w:color w:val="000000" w:themeColor="text1"/>
          <w:sz w:val="22"/>
          <w:szCs w:val="22"/>
        </w:rPr>
        <w:t>to</w:t>
      </w:r>
      <w:r w:rsidR="006856C6" w:rsidRPr="005343FF">
        <w:rPr>
          <w:rFonts w:ascii="Times New Roman" w:hAnsi="Times New Roman" w:cs="Times New Roman"/>
          <w:color w:val="000000" w:themeColor="text1"/>
          <w:sz w:val="22"/>
          <w:szCs w:val="22"/>
        </w:rPr>
        <w:t xml:space="preserve"> HFA were observed. The </w:t>
      </w:r>
      <w:r w:rsidR="009A2088">
        <w:rPr>
          <w:rFonts w:ascii="Times New Roman" w:hAnsi="Times New Roman" w:cs="Times New Roman"/>
          <w:color w:val="000000" w:themeColor="text1"/>
          <w:sz w:val="22"/>
          <w:szCs w:val="22"/>
        </w:rPr>
        <w:t>higher</w:t>
      </w:r>
      <w:r w:rsidR="006856C6" w:rsidRPr="005343FF">
        <w:rPr>
          <w:rFonts w:ascii="Times New Roman" w:hAnsi="Times New Roman" w:cs="Times New Roman"/>
          <w:color w:val="000000" w:themeColor="text1"/>
          <w:sz w:val="22"/>
          <w:szCs w:val="22"/>
        </w:rPr>
        <w:t xml:space="preserve"> MD values may</w:t>
      </w:r>
      <w:r w:rsidR="006856C6">
        <w:rPr>
          <w:rFonts w:ascii="Times New Roman" w:hAnsi="Times New Roman" w:cs="Times New Roman"/>
          <w:color w:val="000000" w:themeColor="text1"/>
          <w:sz w:val="22"/>
          <w:szCs w:val="22"/>
        </w:rPr>
        <w:t xml:space="preserve"> </w:t>
      </w:r>
      <w:r w:rsidR="006856C6" w:rsidRPr="005343FF">
        <w:rPr>
          <w:rFonts w:ascii="Times New Roman" w:hAnsi="Times New Roman" w:cs="Times New Roman"/>
          <w:color w:val="000000" w:themeColor="text1"/>
          <w:sz w:val="22"/>
          <w:szCs w:val="22"/>
        </w:rPr>
        <w:t xml:space="preserve">be </w:t>
      </w:r>
      <w:r w:rsidR="0049659F">
        <w:rPr>
          <w:rFonts w:ascii="Times New Roman" w:hAnsi="Times New Roman" w:cs="Times New Roman"/>
          <w:color w:val="000000" w:themeColor="text1"/>
          <w:sz w:val="22"/>
          <w:szCs w:val="22"/>
        </w:rPr>
        <w:t xml:space="preserve">partially </w:t>
      </w:r>
      <w:r w:rsidR="006856C6" w:rsidRPr="005343FF">
        <w:rPr>
          <w:rFonts w:ascii="Times New Roman" w:hAnsi="Times New Roman" w:cs="Times New Roman"/>
          <w:color w:val="000000" w:themeColor="text1"/>
          <w:sz w:val="22"/>
          <w:szCs w:val="22"/>
        </w:rPr>
        <w:t>explained by the larger stimulus size used to maintain sensitivity across the field.</w:t>
      </w:r>
      <w:r w:rsidR="00562692">
        <w:rPr>
          <w:rFonts w:ascii="Times New Roman" w:hAnsi="Times New Roman" w:cs="Times New Roman"/>
          <w:color w:val="000000" w:themeColor="text1"/>
          <w:sz w:val="22"/>
          <w:szCs w:val="22"/>
        </w:rPr>
        <w:t xml:space="preserve"> </w:t>
      </w:r>
      <w:r w:rsidR="006856C6" w:rsidRPr="005343FF">
        <w:rPr>
          <w:rFonts w:ascii="Times New Roman" w:hAnsi="Times New Roman" w:cs="Times New Roman"/>
          <w:color w:val="000000" w:themeColor="text1"/>
          <w:sz w:val="22"/>
          <w:szCs w:val="22"/>
        </w:rPr>
        <w:t xml:space="preserve">Reliability indices were poorer for MRF; however, </w:t>
      </w:r>
      <w:r w:rsidR="006856C6">
        <w:rPr>
          <w:rFonts w:ascii="Times New Roman" w:hAnsi="Times New Roman" w:cs="Times New Roman"/>
          <w:color w:val="000000" w:themeColor="text1"/>
          <w:sz w:val="22"/>
          <w:szCs w:val="22"/>
        </w:rPr>
        <w:t>th</w:t>
      </w:r>
      <w:r w:rsidR="0049659F">
        <w:rPr>
          <w:rFonts w:ascii="Times New Roman" w:hAnsi="Times New Roman" w:cs="Times New Roman"/>
          <w:color w:val="000000" w:themeColor="text1"/>
          <w:sz w:val="22"/>
          <w:szCs w:val="22"/>
        </w:rPr>
        <w:t>ese</w:t>
      </w:r>
      <w:r w:rsidR="006856C6">
        <w:rPr>
          <w:rFonts w:ascii="Times New Roman" w:hAnsi="Times New Roman" w:cs="Times New Roman"/>
          <w:color w:val="000000" w:themeColor="text1"/>
          <w:sz w:val="22"/>
          <w:szCs w:val="22"/>
        </w:rPr>
        <w:t xml:space="preserve"> data included </w:t>
      </w:r>
      <w:r w:rsidR="006856C6" w:rsidRPr="005343FF">
        <w:rPr>
          <w:rFonts w:ascii="Times New Roman" w:hAnsi="Times New Roman" w:cs="Times New Roman"/>
          <w:color w:val="000000" w:themeColor="text1"/>
          <w:sz w:val="22"/>
          <w:szCs w:val="22"/>
        </w:rPr>
        <w:t xml:space="preserve">at-home measurements, which </w:t>
      </w:r>
      <w:r w:rsidR="0049659F">
        <w:rPr>
          <w:rFonts w:ascii="Times New Roman" w:hAnsi="Times New Roman" w:cs="Times New Roman"/>
          <w:color w:val="000000" w:themeColor="text1"/>
          <w:sz w:val="22"/>
          <w:szCs w:val="22"/>
        </w:rPr>
        <w:t>may</w:t>
      </w:r>
      <w:r w:rsidR="006856C6" w:rsidRPr="005343FF">
        <w:rPr>
          <w:rFonts w:ascii="Times New Roman" w:hAnsi="Times New Roman" w:cs="Times New Roman"/>
          <w:color w:val="000000" w:themeColor="text1"/>
          <w:sz w:val="22"/>
          <w:szCs w:val="22"/>
        </w:rPr>
        <w:t xml:space="preserve"> </w:t>
      </w:r>
      <w:r w:rsidR="0049659F">
        <w:rPr>
          <w:rFonts w:ascii="Times New Roman" w:hAnsi="Times New Roman" w:cs="Times New Roman"/>
          <w:color w:val="000000" w:themeColor="text1"/>
          <w:sz w:val="22"/>
          <w:szCs w:val="22"/>
        </w:rPr>
        <w:t>have been</w:t>
      </w:r>
      <w:r w:rsidR="006856C6" w:rsidRPr="005343FF">
        <w:rPr>
          <w:rFonts w:ascii="Times New Roman" w:hAnsi="Times New Roman" w:cs="Times New Roman"/>
          <w:color w:val="000000" w:themeColor="text1"/>
          <w:sz w:val="22"/>
          <w:szCs w:val="22"/>
        </w:rPr>
        <w:t xml:space="preserve"> more </w:t>
      </w:r>
      <w:r w:rsidR="0049659F">
        <w:rPr>
          <w:rFonts w:ascii="Times New Roman" w:hAnsi="Times New Roman" w:cs="Times New Roman"/>
          <w:color w:val="000000" w:themeColor="text1"/>
          <w:sz w:val="22"/>
          <w:szCs w:val="22"/>
        </w:rPr>
        <w:t xml:space="preserve">susceptible to </w:t>
      </w:r>
      <w:r w:rsidR="006856C6" w:rsidRPr="005343FF">
        <w:rPr>
          <w:rFonts w:ascii="Times New Roman" w:hAnsi="Times New Roman" w:cs="Times New Roman"/>
          <w:color w:val="000000" w:themeColor="text1"/>
          <w:sz w:val="22"/>
          <w:szCs w:val="22"/>
        </w:rPr>
        <w:t>environmental distractions.</w:t>
      </w:r>
      <w:r w:rsidR="006856C6" w:rsidRPr="003C020A">
        <w:rPr>
          <w:rFonts w:ascii="Times New Roman" w:hAnsi="Times New Roman" w:cs="Times New Roman"/>
          <w:color w:val="000000" w:themeColor="text1"/>
          <w:sz w:val="22"/>
          <w:szCs w:val="22"/>
        </w:rPr>
        <w:t xml:space="preserve"> </w:t>
      </w:r>
    </w:p>
    <w:p w14:paraId="01CC2B96" w14:textId="77777777" w:rsidR="006856C6" w:rsidRPr="00537F65" w:rsidRDefault="006856C6" w:rsidP="006856C6">
      <w:pPr>
        <w:spacing w:after="0" w:line="240" w:lineRule="auto"/>
        <w:jc w:val="both"/>
        <w:rPr>
          <w:rFonts w:ascii="Times New Roman" w:hAnsi="Times New Roman" w:cs="Times New Roman"/>
          <w:color w:val="000000" w:themeColor="text1"/>
          <w:sz w:val="22"/>
          <w:szCs w:val="22"/>
        </w:rPr>
      </w:pPr>
    </w:p>
    <w:p w14:paraId="10B0BA3D" w14:textId="65430A9E" w:rsidR="006856C6" w:rsidRDefault="006856C6" w:rsidP="006856C6">
      <w:pPr>
        <w:spacing w:after="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Our</w:t>
      </w:r>
      <w:r w:rsidRPr="00C569BA">
        <w:rPr>
          <w:rFonts w:ascii="Times New Roman" w:hAnsi="Times New Roman" w:cs="Times New Roman"/>
          <w:color w:val="000000" w:themeColor="text1"/>
          <w:sz w:val="22"/>
          <w:szCs w:val="22"/>
        </w:rPr>
        <w:t xml:space="preserve"> study has limitations. Although MRF has been evaluated </w:t>
      </w:r>
      <w:r w:rsidR="009832E7">
        <w:rPr>
          <w:rFonts w:ascii="Times New Roman" w:hAnsi="Times New Roman" w:cs="Times New Roman"/>
          <w:color w:val="000000" w:themeColor="text1"/>
          <w:kern w:val="0"/>
          <w:sz w:val="22"/>
          <w:szCs w:val="22"/>
          <w14:ligatures w14:val="none"/>
        </w:rPr>
        <w:t>independently, with findings consistent with those of the technology's developers, a substantial proportion of the included data originated from studies conducted by the developers, raising the possibility of bias owing to conflicts</w:t>
      </w:r>
      <w:r w:rsidRPr="00C569BA">
        <w:rPr>
          <w:rFonts w:ascii="Times New Roman" w:hAnsi="Times New Roman" w:cs="Times New Roman"/>
          <w:color w:val="000000" w:themeColor="text1"/>
          <w:sz w:val="22"/>
          <w:szCs w:val="22"/>
        </w:rPr>
        <w:t xml:space="preserve"> of interest. To address this, we performed a meta-regression to examine whether developer involvement was associated with the reported outcomes. Our analysis found no statistical evidence that such involvement influenced </w:t>
      </w:r>
      <w:r>
        <w:rPr>
          <w:rFonts w:ascii="Times New Roman" w:hAnsi="Times New Roman" w:cs="Times New Roman"/>
          <w:color w:val="000000" w:themeColor="text1"/>
          <w:sz w:val="22"/>
          <w:szCs w:val="22"/>
        </w:rPr>
        <w:t>the reported</w:t>
      </w:r>
      <w:r w:rsidRPr="00C569BA">
        <w:rPr>
          <w:rFonts w:ascii="Times New Roman" w:hAnsi="Times New Roman" w:cs="Times New Roman"/>
          <w:color w:val="000000" w:themeColor="text1"/>
          <w:sz w:val="22"/>
          <w:szCs w:val="22"/>
        </w:rPr>
        <w:t xml:space="preserve"> results. Another limitation is the limited availability of meta</w:t>
      </w:r>
      <w:r>
        <w:rPr>
          <w:rFonts w:ascii="Times New Roman" w:hAnsi="Times New Roman" w:cs="Times New Roman"/>
          <w:color w:val="000000" w:themeColor="text1"/>
          <w:sz w:val="22"/>
          <w:szCs w:val="22"/>
        </w:rPr>
        <w:t>-</w:t>
      </w:r>
      <w:proofErr w:type="spellStart"/>
      <w:r w:rsidRPr="00C569BA">
        <w:rPr>
          <w:rFonts w:ascii="Times New Roman" w:hAnsi="Times New Roman" w:cs="Times New Roman"/>
          <w:color w:val="000000" w:themeColor="text1"/>
          <w:sz w:val="22"/>
          <w:szCs w:val="22"/>
        </w:rPr>
        <w:t>analyzable</w:t>
      </w:r>
      <w:proofErr w:type="spellEnd"/>
      <w:r w:rsidRPr="00C569BA">
        <w:rPr>
          <w:rFonts w:ascii="Times New Roman" w:hAnsi="Times New Roman" w:cs="Times New Roman"/>
          <w:color w:val="000000" w:themeColor="text1"/>
          <w:sz w:val="22"/>
          <w:szCs w:val="22"/>
        </w:rPr>
        <w:t xml:space="preserve"> pointwise data, which prevented formal pooling of pointwise outcomes. To mitigate this, we incorporated a narrative synthesis to extract and contextualize clinically relevant, non-meta</w:t>
      </w:r>
      <w:r>
        <w:rPr>
          <w:rFonts w:ascii="Times New Roman" w:hAnsi="Times New Roman" w:cs="Times New Roman"/>
          <w:color w:val="000000" w:themeColor="text1"/>
          <w:sz w:val="22"/>
          <w:szCs w:val="22"/>
        </w:rPr>
        <w:t>-</w:t>
      </w:r>
      <w:proofErr w:type="spellStart"/>
      <w:r w:rsidRPr="00C569BA">
        <w:rPr>
          <w:rFonts w:ascii="Times New Roman" w:hAnsi="Times New Roman" w:cs="Times New Roman"/>
          <w:color w:val="000000" w:themeColor="text1"/>
          <w:sz w:val="22"/>
          <w:szCs w:val="22"/>
        </w:rPr>
        <w:t>analyzable</w:t>
      </w:r>
      <w:proofErr w:type="spellEnd"/>
      <w:r w:rsidRPr="00C569BA">
        <w:rPr>
          <w:rFonts w:ascii="Times New Roman" w:hAnsi="Times New Roman" w:cs="Times New Roman"/>
          <w:color w:val="000000" w:themeColor="text1"/>
          <w:sz w:val="22"/>
          <w:szCs w:val="22"/>
        </w:rPr>
        <w:t xml:space="preserve"> information.</w:t>
      </w:r>
      <w:r>
        <w:rPr>
          <w:rFonts w:ascii="Times New Roman" w:hAnsi="Times New Roman" w:cs="Times New Roman"/>
          <w:color w:val="000000" w:themeColor="text1"/>
          <w:sz w:val="22"/>
          <w:szCs w:val="22"/>
        </w:rPr>
        <w:t xml:space="preserve"> </w:t>
      </w:r>
    </w:p>
    <w:p w14:paraId="66E57819" w14:textId="77777777" w:rsidR="006856C6" w:rsidRPr="005343FF" w:rsidRDefault="006856C6" w:rsidP="006856C6">
      <w:pPr>
        <w:spacing w:after="0" w:line="240" w:lineRule="auto"/>
        <w:jc w:val="both"/>
        <w:rPr>
          <w:rFonts w:ascii="Times New Roman" w:hAnsi="Times New Roman" w:cs="Times New Roman"/>
          <w:color w:val="000000" w:themeColor="text1"/>
          <w:sz w:val="22"/>
          <w:szCs w:val="22"/>
        </w:rPr>
      </w:pPr>
    </w:p>
    <w:p w14:paraId="0C3D41EF" w14:textId="5AF15571" w:rsidR="006856C6" w:rsidRDefault="006856C6" w:rsidP="006856C6">
      <w:pPr>
        <w:spacing w:after="0" w:line="240" w:lineRule="auto"/>
        <w:jc w:val="both"/>
        <w:rPr>
          <w:rFonts w:ascii="Times New Roman" w:hAnsi="Times New Roman" w:cs="Times New Roman"/>
          <w:b/>
          <w:bCs/>
          <w:color w:val="000000" w:themeColor="text1"/>
          <w:sz w:val="22"/>
          <w:szCs w:val="22"/>
        </w:rPr>
      </w:pPr>
      <w:r w:rsidRPr="00EA4BD2">
        <w:rPr>
          <w:rFonts w:ascii="Times New Roman" w:hAnsi="Times New Roman" w:cs="Times New Roman"/>
          <w:color w:val="000000" w:themeColor="text1"/>
          <w:sz w:val="22"/>
          <w:szCs w:val="22"/>
        </w:rPr>
        <w:t xml:space="preserve">Future research should focus on the impact of the three-presentation coarse staircase on the detection of early glaucomatous defects and quantify the testing frequency at which increased home testing can compensate for </w:t>
      </w:r>
      <w:r>
        <w:rPr>
          <w:rFonts w:ascii="Times New Roman" w:hAnsi="Times New Roman" w:cs="Times New Roman"/>
          <w:color w:val="000000" w:themeColor="text1"/>
          <w:sz w:val="22"/>
          <w:szCs w:val="22"/>
        </w:rPr>
        <w:t xml:space="preserve">a </w:t>
      </w:r>
      <w:r w:rsidRPr="00EA4BD2">
        <w:rPr>
          <w:rFonts w:ascii="Times New Roman" w:hAnsi="Times New Roman" w:cs="Times New Roman"/>
          <w:color w:val="000000" w:themeColor="text1"/>
          <w:sz w:val="22"/>
          <w:szCs w:val="22"/>
        </w:rPr>
        <w:t>reduced threshold resolution.</w:t>
      </w:r>
      <w:r>
        <w:rPr>
          <w:rFonts w:ascii="Times New Roman" w:hAnsi="Times New Roman" w:cs="Times New Roman"/>
          <w:color w:val="000000" w:themeColor="text1"/>
          <w:sz w:val="22"/>
          <w:szCs w:val="22"/>
        </w:rPr>
        <w:t xml:space="preserve"> </w:t>
      </w:r>
      <w:r w:rsidRPr="00EA4BD2">
        <w:rPr>
          <w:rFonts w:ascii="Times New Roman" w:hAnsi="Times New Roman" w:cs="Times New Roman"/>
          <w:color w:val="000000" w:themeColor="text1"/>
          <w:sz w:val="22"/>
          <w:szCs w:val="22"/>
        </w:rPr>
        <w:t xml:space="preserve">Another important area for future </w:t>
      </w:r>
      <w:r>
        <w:rPr>
          <w:rFonts w:ascii="Times New Roman" w:hAnsi="Times New Roman" w:cs="Times New Roman"/>
          <w:color w:val="000000" w:themeColor="text1"/>
          <w:sz w:val="22"/>
          <w:szCs w:val="22"/>
        </w:rPr>
        <w:t>research</w:t>
      </w:r>
      <w:r w:rsidRPr="00EA4BD2">
        <w:rPr>
          <w:rFonts w:ascii="Times New Roman" w:hAnsi="Times New Roman" w:cs="Times New Roman"/>
          <w:color w:val="000000" w:themeColor="text1"/>
          <w:sz w:val="22"/>
          <w:szCs w:val="22"/>
        </w:rPr>
        <w:t xml:space="preserve"> is the development of a framework that </w:t>
      </w:r>
      <w:r w:rsidR="009832E7">
        <w:rPr>
          <w:rFonts w:ascii="Times New Roman" w:hAnsi="Times New Roman" w:cs="Times New Roman"/>
          <w:color w:val="000000" w:themeColor="text1"/>
          <w:sz w:val="22"/>
          <w:szCs w:val="22"/>
        </w:rPr>
        <w:t>enables</w:t>
      </w:r>
      <w:r>
        <w:rPr>
          <w:rFonts w:ascii="Times New Roman" w:hAnsi="Times New Roman" w:cs="Times New Roman"/>
          <w:color w:val="000000" w:themeColor="text1"/>
          <w:sz w:val="22"/>
          <w:szCs w:val="22"/>
        </w:rPr>
        <w:t xml:space="preserve"> </w:t>
      </w:r>
      <w:r w:rsidR="009832E7">
        <w:rPr>
          <w:rFonts w:ascii="Times New Roman" w:hAnsi="Times New Roman" w:cs="Times New Roman"/>
          <w:color w:val="000000" w:themeColor="text1"/>
          <w:sz w:val="22"/>
          <w:szCs w:val="22"/>
        </w:rPr>
        <w:t>comparison</w:t>
      </w:r>
      <w:r>
        <w:rPr>
          <w:rFonts w:ascii="Times New Roman" w:hAnsi="Times New Roman" w:cs="Times New Roman"/>
          <w:color w:val="000000" w:themeColor="text1"/>
          <w:sz w:val="22"/>
          <w:szCs w:val="22"/>
        </w:rPr>
        <w:t xml:space="preserve"> </w:t>
      </w:r>
      <w:r w:rsidR="009832E7">
        <w:rPr>
          <w:rFonts w:ascii="Times New Roman" w:hAnsi="Times New Roman" w:cs="Times New Roman"/>
          <w:color w:val="000000" w:themeColor="text1"/>
          <w:sz w:val="22"/>
          <w:szCs w:val="22"/>
        </w:rPr>
        <w:t>of</w:t>
      </w:r>
      <w:r>
        <w:rPr>
          <w:rFonts w:ascii="Times New Roman" w:hAnsi="Times New Roman" w:cs="Times New Roman"/>
          <w:color w:val="000000" w:themeColor="text1"/>
          <w:sz w:val="22"/>
          <w:szCs w:val="22"/>
        </w:rPr>
        <w:t xml:space="preserve"> </w:t>
      </w:r>
      <w:r w:rsidRPr="00EA4BD2">
        <w:rPr>
          <w:rFonts w:ascii="Times New Roman" w:hAnsi="Times New Roman" w:cs="Times New Roman"/>
          <w:color w:val="000000" w:themeColor="text1"/>
          <w:sz w:val="22"/>
          <w:szCs w:val="22"/>
        </w:rPr>
        <w:t xml:space="preserve">different </w:t>
      </w:r>
      <w:r w:rsidR="00726875">
        <w:rPr>
          <w:rFonts w:ascii="Times New Roman" w:hAnsi="Times New Roman" w:cs="Times New Roman"/>
          <w:color w:val="000000" w:themeColor="text1"/>
          <w:sz w:val="22"/>
          <w:szCs w:val="22"/>
        </w:rPr>
        <w:t>portable</w:t>
      </w:r>
      <w:r w:rsidR="00726875" w:rsidRPr="00EA4BD2">
        <w:rPr>
          <w:rFonts w:ascii="Times New Roman" w:hAnsi="Times New Roman" w:cs="Times New Roman"/>
          <w:color w:val="000000" w:themeColor="text1"/>
          <w:sz w:val="22"/>
          <w:szCs w:val="22"/>
        </w:rPr>
        <w:t xml:space="preserve"> </w:t>
      </w:r>
      <w:r w:rsidRPr="00EA4BD2">
        <w:rPr>
          <w:rFonts w:ascii="Times New Roman" w:hAnsi="Times New Roman" w:cs="Times New Roman"/>
          <w:color w:val="000000" w:themeColor="text1"/>
          <w:sz w:val="22"/>
          <w:szCs w:val="22"/>
        </w:rPr>
        <w:t>perimetry technologies while accounting for differences in thresholding strategies, normative databases, and hardware limitations.</w:t>
      </w:r>
      <w:r w:rsidR="009832E7">
        <w:rPr>
          <w:rFonts w:ascii="Times New Roman" w:hAnsi="Times New Roman" w:cs="Times New Roman"/>
          <w:color w:val="000000" w:themeColor="text1"/>
          <w:sz w:val="22"/>
          <w:szCs w:val="22"/>
        </w:rPr>
        <w:t xml:space="preserve">  Finally, the ability of the MRF to detect change accurately also needs to be confirmed.</w:t>
      </w:r>
    </w:p>
    <w:p w14:paraId="2517220D" w14:textId="77777777" w:rsidR="006856C6" w:rsidRDefault="006856C6" w:rsidP="006856C6">
      <w:pPr>
        <w:spacing w:after="0" w:line="240" w:lineRule="auto"/>
        <w:jc w:val="both"/>
        <w:rPr>
          <w:rFonts w:ascii="Times New Roman" w:hAnsi="Times New Roman" w:cs="Times New Roman"/>
          <w:b/>
          <w:bCs/>
          <w:color w:val="000000" w:themeColor="text1"/>
          <w:sz w:val="22"/>
          <w:szCs w:val="22"/>
        </w:rPr>
      </w:pPr>
    </w:p>
    <w:p w14:paraId="0E1C0D79" w14:textId="5ED0A2CB" w:rsidR="006856C6" w:rsidRDefault="006856C6" w:rsidP="006856C6">
      <w:pPr>
        <w:spacing w:after="0" w:line="240" w:lineRule="auto"/>
        <w:jc w:val="both"/>
        <w:rPr>
          <w:rFonts w:ascii="Times New Roman" w:hAnsi="Times New Roman" w:cs="Times New Roman"/>
          <w:color w:val="000000" w:themeColor="text1"/>
          <w:sz w:val="22"/>
          <w:szCs w:val="22"/>
        </w:rPr>
      </w:pPr>
      <w:r w:rsidRPr="005C0EA1">
        <w:rPr>
          <w:rFonts w:ascii="Times New Roman" w:hAnsi="Times New Roman" w:cs="Times New Roman"/>
          <w:color w:val="000000" w:themeColor="text1"/>
          <w:sz w:val="22"/>
          <w:szCs w:val="22"/>
        </w:rPr>
        <w:t xml:space="preserve">In summary, MRF </w:t>
      </w:r>
      <w:r w:rsidR="009832E7">
        <w:rPr>
          <w:rFonts w:ascii="Times New Roman" w:hAnsi="Times New Roman" w:cs="Times New Roman"/>
          <w:color w:val="000000" w:themeColor="text1"/>
          <w:sz w:val="22"/>
          <w:szCs w:val="22"/>
        </w:rPr>
        <w:t>had a</w:t>
      </w:r>
      <w:r w:rsidRPr="005C0EA1">
        <w:rPr>
          <w:rFonts w:ascii="Times New Roman" w:hAnsi="Times New Roman" w:cs="Times New Roman"/>
          <w:color w:val="000000" w:themeColor="text1"/>
          <w:sz w:val="22"/>
          <w:szCs w:val="22"/>
        </w:rPr>
        <w:t xml:space="preserve"> </w:t>
      </w:r>
      <w:r w:rsidR="00FE7348">
        <w:rPr>
          <w:rFonts w:ascii="Times New Roman" w:hAnsi="Times New Roman" w:cs="Times New Roman"/>
          <w:color w:val="000000" w:themeColor="text1"/>
          <w:sz w:val="22"/>
          <w:szCs w:val="22"/>
        </w:rPr>
        <w:t xml:space="preserve">small </w:t>
      </w:r>
      <w:r w:rsidRPr="005C0EA1">
        <w:rPr>
          <w:rFonts w:ascii="Times New Roman" w:hAnsi="Times New Roman" w:cs="Times New Roman"/>
          <w:color w:val="000000" w:themeColor="text1"/>
          <w:sz w:val="22"/>
          <w:szCs w:val="22"/>
        </w:rPr>
        <w:t xml:space="preserve">bias in MD and PSD and high agreement with HFA </w:t>
      </w:r>
      <w:r w:rsidR="009832E7">
        <w:rPr>
          <w:rFonts w:ascii="Times New Roman" w:hAnsi="Times New Roman" w:cs="Times New Roman"/>
          <w:color w:val="000000" w:themeColor="text1"/>
          <w:sz w:val="22"/>
          <w:szCs w:val="22"/>
        </w:rPr>
        <w:t>o</w:t>
      </w:r>
      <w:r w:rsidR="009832E7" w:rsidRPr="005C0EA1">
        <w:rPr>
          <w:rFonts w:ascii="Times New Roman" w:hAnsi="Times New Roman" w:cs="Times New Roman"/>
          <w:color w:val="000000" w:themeColor="text1"/>
          <w:sz w:val="22"/>
          <w:szCs w:val="22"/>
        </w:rPr>
        <w:t xml:space="preserve">n </w:t>
      </w:r>
      <w:r w:rsidRPr="005C0EA1">
        <w:rPr>
          <w:rFonts w:ascii="Times New Roman" w:hAnsi="Times New Roman" w:cs="Times New Roman"/>
          <w:color w:val="000000" w:themeColor="text1"/>
          <w:sz w:val="22"/>
          <w:szCs w:val="22"/>
        </w:rPr>
        <w:t>global indices, with comparable concordance, test–retest reliability, and correlation</w:t>
      </w:r>
      <w:r>
        <w:rPr>
          <w:rFonts w:ascii="Times New Roman" w:hAnsi="Times New Roman" w:cs="Times New Roman"/>
          <w:color w:val="000000" w:themeColor="text1"/>
          <w:sz w:val="22"/>
          <w:szCs w:val="22"/>
        </w:rPr>
        <w:t xml:space="preserve"> coefficients</w:t>
      </w:r>
      <w:r w:rsidRPr="005C0EA1">
        <w:rPr>
          <w:rFonts w:ascii="Times New Roman" w:hAnsi="Times New Roman" w:cs="Times New Roman"/>
          <w:color w:val="000000" w:themeColor="text1"/>
          <w:sz w:val="22"/>
          <w:szCs w:val="22"/>
        </w:rPr>
        <w:t xml:space="preserve">. MRF had shorter test durations but exhibited greater pointwise variability, higher rates of fixation losses, false </w:t>
      </w:r>
      <w:r w:rsidR="00FE7348">
        <w:rPr>
          <w:rFonts w:ascii="Times New Roman" w:hAnsi="Times New Roman" w:cs="Times New Roman"/>
          <w:color w:val="000000" w:themeColor="text1"/>
          <w:sz w:val="22"/>
          <w:szCs w:val="22"/>
        </w:rPr>
        <w:t>positives</w:t>
      </w:r>
      <w:r w:rsidR="00562692">
        <w:rPr>
          <w:rFonts w:ascii="Times New Roman" w:hAnsi="Times New Roman" w:cs="Times New Roman"/>
          <w:color w:val="000000" w:themeColor="text1"/>
          <w:sz w:val="22"/>
          <w:szCs w:val="22"/>
        </w:rPr>
        <w:t>,</w:t>
      </w:r>
      <w:r w:rsidR="00FE7348">
        <w:rPr>
          <w:rFonts w:ascii="Times New Roman" w:hAnsi="Times New Roman" w:cs="Times New Roman"/>
          <w:color w:val="000000" w:themeColor="text1"/>
          <w:sz w:val="22"/>
          <w:szCs w:val="22"/>
        </w:rPr>
        <w:t xml:space="preserve"> </w:t>
      </w:r>
      <w:r w:rsidRPr="005C0EA1">
        <w:rPr>
          <w:rFonts w:ascii="Times New Roman" w:hAnsi="Times New Roman" w:cs="Times New Roman"/>
          <w:color w:val="000000" w:themeColor="text1"/>
          <w:sz w:val="22"/>
          <w:szCs w:val="22"/>
        </w:rPr>
        <w:t xml:space="preserve">and false negatives. </w:t>
      </w:r>
      <w:r w:rsidR="00FE7348">
        <w:rPr>
          <w:rFonts w:ascii="Times New Roman" w:hAnsi="Times New Roman" w:cs="Times New Roman"/>
          <w:color w:val="000000" w:themeColor="text1"/>
          <w:sz w:val="22"/>
          <w:szCs w:val="22"/>
        </w:rPr>
        <w:t xml:space="preserve">Coupled with </w:t>
      </w:r>
      <w:r w:rsidR="00726875">
        <w:rPr>
          <w:rFonts w:ascii="Times New Roman" w:hAnsi="Times New Roman" w:cs="Times New Roman"/>
          <w:color w:val="000000" w:themeColor="text1"/>
          <w:sz w:val="22"/>
          <w:szCs w:val="22"/>
        </w:rPr>
        <w:t>its</w:t>
      </w:r>
      <w:r w:rsidR="00FE7348">
        <w:rPr>
          <w:rFonts w:ascii="Times New Roman" w:hAnsi="Times New Roman" w:cs="Times New Roman"/>
          <w:color w:val="000000" w:themeColor="text1"/>
          <w:sz w:val="22"/>
          <w:szCs w:val="22"/>
        </w:rPr>
        <w:t xml:space="preserve"> excellent diagnostic performance</w:t>
      </w:r>
      <w:r w:rsidR="00562692">
        <w:rPr>
          <w:rFonts w:ascii="Times New Roman" w:hAnsi="Times New Roman" w:cs="Times New Roman"/>
          <w:color w:val="000000" w:themeColor="text1"/>
          <w:sz w:val="22"/>
          <w:szCs w:val="22"/>
        </w:rPr>
        <w:t>,</w:t>
      </w:r>
      <w:r w:rsidR="00FE7348" w:rsidRPr="005C0EA1">
        <w:rPr>
          <w:rFonts w:ascii="Times New Roman" w:hAnsi="Times New Roman" w:cs="Times New Roman"/>
          <w:color w:val="000000" w:themeColor="text1"/>
          <w:sz w:val="22"/>
          <w:szCs w:val="22"/>
        </w:rPr>
        <w:t xml:space="preserve"> </w:t>
      </w:r>
      <w:r w:rsidR="00FE7348">
        <w:rPr>
          <w:rFonts w:ascii="Times New Roman" w:hAnsi="Times New Roman" w:cs="Times New Roman"/>
          <w:color w:val="000000" w:themeColor="text1"/>
          <w:sz w:val="22"/>
          <w:szCs w:val="22"/>
        </w:rPr>
        <w:t>the</w:t>
      </w:r>
      <w:r w:rsidRPr="005C0EA1">
        <w:rPr>
          <w:rFonts w:ascii="Times New Roman" w:hAnsi="Times New Roman" w:cs="Times New Roman"/>
          <w:color w:val="000000" w:themeColor="text1"/>
          <w:sz w:val="22"/>
          <w:szCs w:val="22"/>
        </w:rPr>
        <w:t xml:space="preserve"> MRF can be a useful perimetric tool</w:t>
      </w:r>
      <w:r w:rsidR="00FE7348">
        <w:rPr>
          <w:rFonts w:ascii="Times New Roman" w:hAnsi="Times New Roman" w:cs="Times New Roman"/>
          <w:color w:val="000000" w:themeColor="text1"/>
          <w:sz w:val="22"/>
          <w:szCs w:val="22"/>
        </w:rPr>
        <w:t xml:space="preserve"> in </w:t>
      </w:r>
      <w:r w:rsidR="00562692">
        <w:rPr>
          <w:rFonts w:ascii="Times New Roman" w:hAnsi="Times New Roman" w:cs="Times New Roman"/>
          <w:color w:val="000000" w:themeColor="text1"/>
          <w:sz w:val="22"/>
          <w:szCs w:val="22"/>
        </w:rPr>
        <w:t xml:space="preserve">the </w:t>
      </w:r>
      <w:r w:rsidR="00FE7348">
        <w:rPr>
          <w:rFonts w:ascii="Times New Roman" w:hAnsi="Times New Roman" w:cs="Times New Roman"/>
          <w:color w:val="000000" w:themeColor="text1"/>
          <w:sz w:val="22"/>
          <w:szCs w:val="22"/>
        </w:rPr>
        <w:t>clinic</w:t>
      </w:r>
      <w:r w:rsidRPr="005C0EA1">
        <w:rPr>
          <w:rFonts w:ascii="Times New Roman" w:hAnsi="Times New Roman" w:cs="Times New Roman"/>
          <w:color w:val="000000" w:themeColor="text1"/>
          <w:sz w:val="22"/>
          <w:szCs w:val="22"/>
        </w:rPr>
        <w:t xml:space="preserve">, </w:t>
      </w:r>
      <w:r w:rsidR="00FE7348">
        <w:rPr>
          <w:rFonts w:ascii="Times New Roman" w:hAnsi="Times New Roman" w:cs="Times New Roman"/>
          <w:color w:val="000000" w:themeColor="text1"/>
          <w:sz w:val="22"/>
          <w:szCs w:val="22"/>
        </w:rPr>
        <w:t>and</w:t>
      </w:r>
      <w:r w:rsidR="00FE7348" w:rsidRPr="005C0EA1">
        <w:rPr>
          <w:rFonts w:ascii="Times New Roman" w:hAnsi="Times New Roman" w:cs="Times New Roman"/>
          <w:color w:val="000000" w:themeColor="text1"/>
          <w:sz w:val="22"/>
          <w:szCs w:val="22"/>
        </w:rPr>
        <w:t xml:space="preserve"> </w:t>
      </w:r>
      <w:r w:rsidRPr="005C0EA1">
        <w:rPr>
          <w:rFonts w:ascii="Times New Roman" w:hAnsi="Times New Roman" w:cs="Times New Roman"/>
          <w:color w:val="000000" w:themeColor="text1"/>
          <w:sz w:val="22"/>
          <w:szCs w:val="22"/>
        </w:rPr>
        <w:t>when portable testing is needed.</w:t>
      </w:r>
    </w:p>
    <w:p w14:paraId="42E12334" w14:textId="77777777" w:rsidR="006856C6" w:rsidRPr="00562692" w:rsidRDefault="006856C6" w:rsidP="006856C6">
      <w:pPr>
        <w:spacing w:after="0" w:line="240" w:lineRule="auto"/>
        <w:jc w:val="both"/>
        <w:rPr>
          <w:rFonts w:ascii="Times New Roman" w:hAnsi="Times New Roman" w:cs="Times New Roman"/>
          <w:color w:val="000000" w:themeColor="text1"/>
          <w:sz w:val="22"/>
          <w:szCs w:val="22"/>
          <w:lang w:val="en-US"/>
        </w:rPr>
      </w:pPr>
    </w:p>
    <w:p w14:paraId="57AD5157"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058C1D6D"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34D083E4"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1C043800"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39E42BBB"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03816BF5"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7090B1B4"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28EBADAE"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7155BBB4"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3265B355"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70687F2A"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7769398F"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0714C987"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378F6D96" w14:textId="77777777" w:rsidR="006856C6" w:rsidRDefault="006856C6" w:rsidP="006856C6">
      <w:pPr>
        <w:spacing w:after="0" w:line="240" w:lineRule="auto"/>
        <w:jc w:val="both"/>
        <w:rPr>
          <w:rFonts w:ascii="Times New Roman" w:hAnsi="Times New Roman" w:cs="Times New Roman"/>
          <w:color w:val="000000" w:themeColor="text1"/>
          <w:sz w:val="22"/>
          <w:szCs w:val="22"/>
        </w:rPr>
      </w:pPr>
    </w:p>
    <w:p w14:paraId="2260BEE8" w14:textId="77777777" w:rsidR="006856C6" w:rsidRPr="006856C6" w:rsidRDefault="006856C6" w:rsidP="006856C6">
      <w:pPr>
        <w:spacing w:after="0" w:line="240" w:lineRule="auto"/>
        <w:jc w:val="both"/>
        <w:rPr>
          <w:rFonts w:ascii="Times New Roman" w:hAnsi="Times New Roman" w:cs="Times New Roman"/>
          <w:color w:val="000000" w:themeColor="text1"/>
          <w:sz w:val="22"/>
          <w:szCs w:val="22"/>
        </w:rPr>
      </w:pPr>
    </w:p>
    <w:p w14:paraId="4B84BD47" w14:textId="360E0890" w:rsidR="00114C1C" w:rsidRPr="00114C1C" w:rsidRDefault="006856C6" w:rsidP="00114C1C">
      <w:pPr>
        <w:spacing w:line="24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Table</w:t>
      </w:r>
      <w:r w:rsidR="00114C1C">
        <w:rPr>
          <w:rFonts w:ascii="Times New Roman" w:eastAsia="Times New Roman" w:hAnsi="Times New Roman" w:cs="Times New Roman"/>
          <w:b/>
          <w:bCs/>
          <w:color w:val="000000"/>
          <w:kern w:val="0"/>
          <w:sz w:val="22"/>
          <w:szCs w:val="22"/>
          <w14:ligatures w14:val="none"/>
        </w:rPr>
        <w:t xml:space="preserve"> </w:t>
      </w:r>
      <w:r>
        <w:rPr>
          <w:rFonts w:ascii="Times New Roman" w:eastAsia="Times New Roman" w:hAnsi="Times New Roman" w:cs="Times New Roman"/>
          <w:b/>
          <w:bCs/>
          <w:color w:val="000000"/>
          <w:kern w:val="0"/>
          <w:sz w:val="22"/>
          <w:szCs w:val="22"/>
          <w14:ligatures w14:val="none"/>
        </w:rPr>
        <w:t>and Figure</w:t>
      </w:r>
      <w:r w:rsidR="00114C1C">
        <w:rPr>
          <w:rFonts w:ascii="Times New Roman" w:eastAsia="Times New Roman" w:hAnsi="Times New Roman" w:cs="Times New Roman"/>
          <w:b/>
          <w:bCs/>
          <w:color w:val="000000"/>
          <w:kern w:val="0"/>
          <w:sz w:val="22"/>
          <w:szCs w:val="22"/>
          <w14:ligatures w14:val="none"/>
        </w:rPr>
        <w:t xml:space="preserve"> Legends:</w:t>
      </w:r>
    </w:p>
    <w:p w14:paraId="6D718B26" w14:textId="7EE93ECE"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Table 1.</w:t>
      </w:r>
      <w:r w:rsidRPr="00114C1C">
        <w:rPr>
          <w:rFonts w:ascii="Times New Roman" w:eastAsia="Times New Roman" w:hAnsi="Times New Roman" w:cs="Times New Roman"/>
          <w:color w:val="000000"/>
          <w:kern w:val="0"/>
          <w:sz w:val="20"/>
          <w:szCs w:val="20"/>
          <w:lang w:val="en-US"/>
          <w14:ligatures w14:val="none"/>
        </w:rPr>
        <w:t> Characteristics of included studies and participant populations.</w:t>
      </w:r>
      <w:r w:rsidR="001A47D0">
        <w:rPr>
          <w:rFonts w:ascii="Times New Roman" w:eastAsia="Times New Roman" w:hAnsi="Times New Roman" w:cs="Times New Roman"/>
          <w:color w:val="000000"/>
          <w:kern w:val="0"/>
          <w:sz w:val="20"/>
          <w:szCs w:val="20"/>
          <w:lang w:val="en-US"/>
          <w14:ligatures w14:val="none"/>
        </w:rPr>
        <w:t xml:space="preserve"> *For this study, only SITA Standard data was extracted.</w:t>
      </w:r>
    </w:p>
    <w:p w14:paraId="167F2BE7" w14:textId="211994E3" w:rsidR="00114C1C" w:rsidRDefault="00114C1C" w:rsidP="00114C1C">
      <w:pPr>
        <w:spacing w:line="240" w:lineRule="auto"/>
        <w:jc w:val="both"/>
        <w:rPr>
          <w:rFonts w:ascii="Times New Roman" w:eastAsia="Times New Roman" w:hAnsi="Times New Roman" w:cs="Times New Roman"/>
          <w:color w:val="000000"/>
          <w:kern w:val="0"/>
          <w:sz w:val="20"/>
          <w:szCs w:val="20"/>
          <w:lang w:val="en-US"/>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Figure 1. </w:t>
      </w:r>
      <w:r w:rsidRPr="00114C1C">
        <w:rPr>
          <w:rFonts w:ascii="Times New Roman" w:eastAsia="Times New Roman" w:hAnsi="Times New Roman" w:cs="Times New Roman"/>
          <w:color w:val="000000"/>
          <w:kern w:val="0"/>
          <w:sz w:val="20"/>
          <w:szCs w:val="20"/>
          <w:lang w:val="en-US"/>
          <w14:ligatures w14:val="none"/>
        </w:rPr>
        <w:t>PRISMA flow diagram illustrating the study selection process. A total of 290 records were identified. After removal of duplicates, 288 studies were screened by title and abstract, of which 240 were excluded. Forty-eight full-text articles were assessed for eligibility, and 39 were excluded due to wrong comparator, wrong intervention, or lack of full-text availability. Nine studies met the inclusion criteria and were included in the qualitative and quantitative synthesis.</w:t>
      </w:r>
    </w:p>
    <w:p w14:paraId="318F5C81" w14:textId="38CF28E3"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Figure 2. </w:t>
      </w:r>
      <w:r w:rsidRPr="00114C1C">
        <w:rPr>
          <w:rFonts w:ascii="Times New Roman" w:eastAsia="Times New Roman" w:hAnsi="Times New Roman" w:cs="Times New Roman"/>
          <w:color w:val="000000"/>
          <w:kern w:val="0"/>
          <w:sz w:val="20"/>
          <w:szCs w:val="20"/>
          <w:lang w:val="en-US"/>
          <w14:ligatures w14:val="none"/>
        </w:rPr>
        <w:t>Forest plot of the pooled difference in means for mean deviation (MD) between Melbourne Rapid Fields (MRF) and Humphrey Field Analyzer (HFA). Individual study estimates and 95% confidence intervals are shown, along with the overall random effects estimate. Positive values indicate that MD values obtained with MRF are less negative (higher dB) compared with HFA.</w:t>
      </w:r>
    </w:p>
    <w:p w14:paraId="573AE354"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Figure 3. </w:t>
      </w:r>
      <w:r w:rsidRPr="00114C1C">
        <w:rPr>
          <w:rFonts w:ascii="Times New Roman" w:eastAsia="Times New Roman" w:hAnsi="Times New Roman" w:cs="Times New Roman"/>
          <w:color w:val="000000"/>
          <w:kern w:val="0"/>
          <w:sz w:val="20"/>
          <w:szCs w:val="20"/>
          <w:lang w:val="en-US"/>
          <w14:ligatures w14:val="none"/>
        </w:rPr>
        <w:t>Forest plot of the pooled difference in means for pattern deviation/pattern standard deviation (PD/PSD) between Melbourne Rapid Fields (MRF) and Humphrey Field Analyzer (HFA). Positive values indicate higher PSD values with MRF compared with HFA.</w:t>
      </w:r>
    </w:p>
    <w:p w14:paraId="70E52A4F"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Figure 4. </w:t>
      </w:r>
      <w:r w:rsidRPr="00114C1C">
        <w:rPr>
          <w:rFonts w:ascii="Times New Roman" w:eastAsia="Times New Roman" w:hAnsi="Times New Roman" w:cs="Times New Roman"/>
          <w:color w:val="000000"/>
          <w:kern w:val="0"/>
          <w:sz w:val="20"/>
          <w:szCs w:val="20"/>
          <w:lang w:val="en-US"/>
          <w14:ligatures w14:val="none"/>
        </w:rPr>
        <w:t>Forest plot of the pooled r-squared (R²) for mean deviation (MD) between Melbourne Rapid Fields (MRF) and Humphrey Field Analyzer (HFA). Higher R² values indicate stronger correlation and agreement between MRF and HFA measurements. The asymmetric confidence intervals reflect the bounded scale of correlation metrics and the back-transformation of variance-stabilized estimates.</w:t>
      </w:r>
    </w:p>
    <w:p w14:paraId="08A5069D"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MX"/>
          <w14:ligatures w14:val="none"/>
        </w:rPr>
        <w:t xml:space="preserve">Figure 5: </w:t>
      </w:r>
      <w:r w:rsidRPr="00114C1C">
        <w:rPr>
          <w:rFonts w:ascii="Times New Roman" w:eastAsia="Times New Roman" w:hAnsi="Times New Roman" w:cs="Times New Roman"/>
          <w:color w:val="000000"/>
          <w:kern w:val="0"/>
          <w:sz w:val="20"/>
          <w:szCs w:val="20"/>
          <w:lang w:val="en-US"/>
          <w14:ligatures w14:val="none"/>
        </w:rPr>
        <w:t>Forest plot of the pooled intraclass correlation coefficient (ICC) for mean deviation (MD) between Melbourne Rapid Fields (MRF) and Humphrey Field Analyzer (HFA). Higher ICC values indicate stronger agreement between MRF and HFA measurements. The asymmetric confidence intervals reflect the bounded scale of correlation metrics and the back-transformation of variance-stabilized estimates.</w:t>
      </w:r>
    </w:p>
    <w:p w14:paraId="2947B77A"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MX"/>
          <w14:ligatures w14:val="none"/>
        </w:rPr>
        <w:t xml:space="preserve">Figure 6: </w:t>
      </w:r>
      <w:r w:rsidRPr="00114C1C">
        <w:rPr>
          <w:rFonts w:ascii="Times New Roman" w:eastAsia="Times New Roman" w:hAnsi="Times New Roman" w:cs="Times New Roman"/>
          <w:color w:val="000000"/>
          <w:kern w:val="0"/>
          <w:sz w:val="20"/>
          <w:szCs w:val="20"/>
          <w:lang w:val="en-US"/>
          <w14:ligatures w14:val="none"/>
        </w:rPr>
        <w:t>Forest plot of the pooled intraclass correlation coefficient (ICC) for test–retest repeatability of mean deviation (MD) measurements obtained with Melbourne Rapid Fields (MRF). Higher ICC values indicate greater test–retest reliability of MD measurements.</w:t>
      </w:r>
    </w:p>
    <w:p w14:paraId="7568E810"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Supplementary Figure 1.</w:t>
      </w:r>
      <w:r w:rsidRPr="00114C1C">
        <w:rPr>
          <w:rFonts w:ascii="Times New Roman" w:eastAsia="Times New Roman" w:hAnsi="Times New Roman" w:cs="Times New Roman"/>
          <w:color w:val="000000"/>
          <w:kern w:val="0"/>
          <w:sz w:val="20"/>
          <w:szCs w:val="20"/>
          <w:lang w:val="en-US"/>
          <w14:ligatures w14:val="none"/>
        </w:rPr>
        <w:t> Forest plot comparing per-eye testing time between Melbourne Rapid Fields (MRF) and Humphrey Field Analyzer (HFA). The pooled mean difference indicates that MRF testing is approximately 1.3 minutes (approximately 1 minute and 20 seconds) shorter per eye than HFA. Negative values favor MRF.</w:t>
      </w:r>
    </w:p>
    <w:p w14:paraId="2B341B99"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2. </w:t>
      </w:r>
      <w:r w:rsidRPr="00114C1C">
        <w:rPr>
          <w:rFonts w:ascii="Times New Roman" w:eastAsia="Times New Roman" w:hAnsi="Times New Roman" w:cs="Times New Roman"/>
          <w:color w:val="000000"/>
          <w:kern w:val="0"/>
          <w:sz w:val="20"/>
          <w:szCs w:val="20"/>
          <w:lang w:val="en-US"/>
          <w14:ligatures w14:val="none"/>
        </w:rPr>
        <w:t>Forest plot of zonal intraclass correlation coefficients (ICCs) comparing regional mean threshold values between Melbourne Rapid Fields (MRF) and Humphrey Field Analyzer (HFA). Pooled ICCs are shown for each of the eight visual field zones: Zone 1 (superior–central), Zone 2 (inferior–central), Zone 3 (superior–peripheral–nasal), Zone 4 (superior–nasal), Zone 5 (superior–temporal), Zone 6 (inferior–temporal), Zone 7 (inferior–nasal), and Zone 8 (inferior–peripheral–nasal), as well as the overall pooled estimate across zones. Higher ICC values indicate stronger concordance between MRF and HFA regional threshold measurements.</w:t>
      </w:r>
    </w:p>
    <w:p w14:paraId="347D5EF8"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3. </w:t>
      </w:r>
      <w:r w:rsidRPr="00114C1C">
        <w:rPr>
          <w:rFonts w:ascii="Times New Roman" w:eastAsia="Times New Roman" w:hAnsi="Times New Roman" w:cs="Times New Roman"/>
          <w:color w:val="000000"/>
          <w:kern w:val="0"/>
          <w:sz w:val="20"/>
          <w:szCs w:val="20"/>
          <w:lang w:val="en-US"/>
          <w14:ligatures w14:val="none"/>
        </w:rPr>
        <w:t>Forest plot of zonal intraclass correlation coefficients (ICCs) for test–retest repeatability of regional mean threshold values obtained with Melbourne Rapid Fields (MRF). Pooled ICCs are shown for each of the eight visual field zones: Zone 1 (superior–central), Zone 2 (inferior–central), Zone 3 (superior–peripheral–nasal), Zone 4 (superior–nasal), Zone 5 (superior–temporal), Zone 6 (inferior–temporal), Zone 7 (inferior–nasal), and Zone 8 (inferior–peripheral–nasal), as well as the overall pooled estimate across zones. Higher ICC values indicate greater test–retest repeatability of MRF regional threshold measurements.</w:t>
      </w:r>
    </w:p>
    <w:p w14:paraId="531CA5D7"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4. </w:t>
      </w:r>
      <w:r w:rsidRPr="00114C1C">
        <w:rPr>
          <w:rFonts w:ascii="Times New Roman" w:eastAsia="Times New Roman" w:hAnsi="Times New Roman" w:cs="Times New Roman"/>
          <w:color w:val="000000"/>
          <w:kern w:val="0"/>
          <w:sz w:val="20"/>
          <w:szCs w:val="20"/>
          <w:lang w:val="en-US"/>
          <w14:ligatures w14:val="none"/>
        </w:rPr>
        <w:t xml:space="preserve">Forest plot of pooled areas under the receiver operating characteristic curve (AUCs) for the discrimination of glaucomatous versus normal eyes using mean deviation (MD) and pattern standard deviation (PSD) derived from Melbourne Rapid Fields (MRF) and Humphrey Field Analyzer (HFA). Subgroup analyses are shown for MRF MD, HFA MD, MRF PSD, and HFA PSD. Higher AUC values indicate better discriminatory </w:t>
      </w:r>
      <w:r w:rsidRPr="00114C1C">
        <w:rPr>
          <w:rFonts w:ascii="Times New Roman" w:eastAsia="Times New Roman" w:hAnsi="Times New Roman" w:cs="Times New Roman"/>
          <w:color w:val="000000"/>
          <w:kern w:val="0"/>
          <w:sz w:val="20"/>
          <w:szCs w:val="20"/>
          <w:lang w:val="en-US"/>
          <w14:ligatures w14:val="none"/>
        </w:rPr>
        <w:lastRenderedPageBreak/>
        <w:t xml:space="preserve">performance. </w:t>
      </w:r>
      <w:r w:rsidRPr="00114C1C">
        <w:rPr>
          <w:rFonts w:ascii="Times New Roman" w:eastAsia="Times New Roman" w:hAnsi="Times New Roman" w:cs="Times New Roman"/>
          <w:b/>
          <w:bCs/>
          <w:color w:val="000000"/>
          <w:kern w:val="0"/>
          <w:sz w:val="20"/>
          <w:szCs w:val="20"/>
          <w:lang w:val="en-US"/>
          <w14:ligatures w14:val="none"/>
        </w:rPr>
        <w:t>Note</w:t>
      </w:r>
      <w:r w:rsidRPr="00114C1C">
        <w:rPr>
          <w:rFonts w:ascii="Times New Roman" w:eastAsia="Times New Roman" w:hAnsi="Times New Roman" w:cs="Times New Roman"/>
          <w:color w:val="000000"/>
          <w:kern w:val="0"/>
          <w:sz w:val="20"/>
          <w:szCs w:val="20"/>
          <w:lang w:val="en-US"/>
          <w14:ligatures w14:val="none"/>
        </w:rPr>
        <w:t>: Normal subjects were classified as such by an ophthalmologist following an ophthalmologic examination</w:t>
      </w:r>
    </w:p>
    <w:p w14:paraId="29F8165F"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5. </w:t>
      </w:r>
      <w:r w:rsidRPr="00114C1C">
        <w:rPr>
          <w:rFonts w:ascii="Times New Roman" w:eastAsia="Times New Roman" w:hAnsi="Times New Roman" w:cs="Times New Roman"/>
          <w:color w:val="000000"/>
          <w:kern w:val="0"/>
          <w:sz w:val="20"/>
          <w:szCs w:val="20"/>
          <w:lang w:val="en-US"/>
          <w14:ligatures w14:val="none"/>
        </w:rPr>
        <w:t>Forest plot of the pooled proportion (raw proportions) of fixation losses for Humphrey Field Analyzer (HFA) and Melbourne Rapid Fields (MRF). The sub-group comparison assesses differences in fixation loss proportions between devices. Higher proportions indicate a greater frequency of fixation losses.</w:t>
      </w:r>
    </w:p>
    <w:p w14:paraId="2DB4520D"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6. </w:t>
      </w:r>
      <w:r w:rsidRPr="00114C1C">
        <w:rPr>
          <w:rFonts w:ascii="Times New Roman" w:eastAsia="Times New Roman" w:hAnsi="Times New Roman" w:cs="Times New Roman"/>
          <w:color w:val="000000"/>
          <w:kern w:val="0"/>
          <w:sz w:val="20"/>
          <w:szCs w:val="20"/>
          <w:lang w:val="en-US"/>
          <w14:ligatures w14:val="none"/>
        </w:rPr>
        <w:t>Forest plot of the pooled proportion of false-positive responses for Melbourne Rapid Fields (MRF) and Humphrey Field Analyzer (HFA). Of note, the pooled confidence interval for the MRF subgroup is markedly wide, reflecting substantial between-study heterogeneity and limited precision in this estimation.</w:t>
      </w:r>
    </w:p>
    <w:p w14:paraId="3F3A8E23"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r w:rsidRPr="00114C1C">
        <w:rPr>
          <w:rFonts w:ascii="Times New Roman" w:eastAsia="Times New Roman" w:hAnsi="Times New Roman" w:cs="Times New Roman"/>
          <w:b/>
          <w:bCs/>
          <w:color w:val="000000"/>
          <w:kern w:val="0"/>
          <w:sz w:val="20"/>
          <w:szCs w:val="20"/>
          <w:lang w:val="en-US"/>
          <w14:ligatures w14:val="none"/>
        </w:rPr>
        <w:t xml:space="preserve">Supplementary Figure 7. </w:t>
      </w:r>
      <w:r w:rsidRPr="00114C1C">
        <w:rPr>
          <w:rFonts w:ascii="Times New Roman" w:eastAsia="Times New Roman" w:hAnsi="Times New Roman" w:cs="Times New Roman"/>
          <w:color w:val="000000"/>
          <w:kern w:val="0"/>
          <w:sz w:val="20"/>
          <w:szCs w:val="20"/>
          <w:lang w:val="en-US"/>
          <w14:ligatures w14:val="none"/>
        </w:rPr>
        <w:t>Forest plot of the pooled proportion of false-negative responses for Melbourne Rapid Fields (MRF) and Humphrey Field Analyzer (HFA). The pooled false-negative proportion is higher for MRF than for HFA.</w:t>
      </w:r>
    </w:p>
    <w:p w14:paraId="5BF36E23" w14:textId="77777777" w:rsidR="00114C1C" w:rsidRPr="00114C1C" w:rsidRDefault="00114C1C" w:rsidP="00114C1C">
      <w:pPr>
        <w:spacing w:line="240" w:lineRule="auto"/>
        <w:jc w:val="both"/>
        <w:rPr>
          <w:rFonts w:ascii="Times New Roman" w:eastAsia="Times New Roman" w:hAnsi="Times New Roman" w:cs="Times New Roman"/>
          <w:color w:val="000000"/>
          <w:kern w:val="0"/>
          <w:sz w:val="20"/>
          <w:szCs w:val="20"/>
          <w:lang w:val="en-MX"/>
          <w14:ligatures w14:val="none"/>
        </w:rPr>
      </w:pPr>
    </w:p>
    <w:p w14:paraId="6F4927B6" w14:textId="77777777" w:rsidR="00114C1C" w:rsidRPr="00114C1C" w:rsidRDefault="00114C1C" w:rsidP="00114C1C">
      <w:pPr>
        <w:spacing w:line="240" w:lineRule="auto"/>
        <w:jc w:val="both"/>
        <w:rPr>
          <w:rFonts w:ascii="Times New Roman" w:eastAsia="Times New Roman" w:hAnsi="Times New Roman" w:cs="Times New Roman"/>
          <w:color w:val="000000"/>
          <w:kern w:val="0"/>
          <w:sz w:val="22"/>
          <w:szCs w:val="22"/>
          <w:lang w:val="en-MX"/>
          <w14:ligatures w14:val="none"/>
        </w:rPr>
      </w:pPr>
    </w:p>
    <w:p w14:paraId="2F41212E" w14:textId="77777777" w:rsidR="00114C1C" w:rsidRPr="00114C1C" w:rsidRDefault="00114C1C" w:rsidP="006856C6">
      <w:pPr>
        <w:spacing w:line="240" w:lineRule="auto"/>
        <w:rPr>
          <w:rFonts w:ascii="Times New Roman" w:eastAsia="Times New Roman" w:hAnsi="Times New Roman" w:cs="Times New Roman"/>
          <w:b/>
          <w:bCs/>
          <w:color w:val="000000"/>
          <w:kern w:val="0"/>
          <w:sz w:val="22"/>
          <w:szCs w:val="22"/>
          <w:lang w:val="en-MX"/>
          <w14:ligatures w14:val="none"/>
        </w:rPr>
      </w:pPr>
    </w:p>
    <w:p w14:paraId="2ECDF8B7" w14:textId="77777777" w:rsidR="00114C1C" w:rsidRDefault="00114C1C" w:rsidP="006856C6">
      <w:pPr>
        <w:spacing w:line="240" w:lineRule="auto"/>
        <w:rPr>
          <w:rFonts w:ascii="Times New Roman" w:eastAsia="Times New Roman" w:hAnsi="Times New Roman" w:cs="Times New Roman"/>
          <w:b/>
          <w:bCs/>
          <w:color w:val="000000"/>
          <w:kern w:val="0"/>
          <w:sz w:val="22"/>
          <w:szCs w:val="22"/>
          <w14:ligatures w14:val="none"/>
        </w:rPr>
      </w:pPr>
    </w:p>
    <w:p w14:paraId="5ACFDF1B" w14:textId="536B5A32" w:rsidR="00114C1C" w:rsidRDefault="00114C1C" w:rsidP="00114C1C">
      <w:pP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br w:type="page"/>
      </w:r>
    </w:p>
    <w:p w14:paraId="4A3EAAB9" w14:textId="0D3B31FF" w:rsidR="006856C6" w:rsidRPr="001A47D0" w:rsidRDefault="006856C6" w:rsidP="006856C6">
      <w:pPr>
        <w:tabs>
          <w:tab w:val="left" w:pos="7485"/>
          <w:tab w:val="left" w:pos="9169"/>
          <w:tab w:val="right" w:pos="10466"/>
        </w:tabs>
        <w:spacing w:line="240" w:lineRule="auto"/>
        <w:rPr>
          <w:rFonts w:ascii="Arial" w:eastAsia="Arial" w:hAnsi="Arial" w:cs="Arial"/>
          <w:sz w:val="18"/>
          <w:szCs w:val="18"/>
          <w:lang w:val="es-ES"/>
        </w:rPr>
      </w:pPr>
      <w:proofErr w:type="spellStart"/>
      <w:r w:rsidRPr="001A47D0">
        <w:rPr>
          <w:rFonts w:ascii="Times New Roman" w:eastAsia="Times New Roman" w:hAnsi="Times New Roman" w:cs="Times New Roman"/>
          <w:b/>
          <w:bCs/>
          <w:color w:val="000000"/>
          <w:kern w:val="0"/>
          <w:sz w:val="22"/>
          <w:szCs w:val="22"/>
          <w:lang w:val="es-ES"/>
          <w14:ligatures w14:val="none"/>
        </w:rPr>
        <w:lastRenderedPageBreak/>
        <w:t>References</w:t>
      </w:r>
      <w:proofErr w:type="spellEnd"/>
      <w:r w:rsidRPr="001A47D0">
        <w:rPr>
          <w:rFonts w:ascii="Times New Roman" w:eastAsia="Times New Roman" w:hAnsi="Times New Roman" w:cs="Times New Roman"/>
          <w:b/>
          <w:bCs/>
          <w:color w:val="000000"/>
          <w:kern w:val="0"/>
          <w:sz w:val="22"/>
          <w:szCs w:val="22"/>
          <w:lang w:val="es-ES"/>
          <w14:ligatures w14:val="none"/>
        </w:rPr>
        <w:t>:</w:t>
      </w:r>
    </w:p>
    <w:p w14:paraId="6128532C" w14:textId="77777777" w:rsidR="006856C6" w:rsidRPr="001A47D0" w:rsidRDefault="006856C6" w:rsidP="006856C6">
      <w:pPr>
        <w:pStyle w:val="Bibliography"/>
        <w:spacing w:after="0"/>
        <w:rPr>
          <w:rFonts w:eastAsia="Times New Roman"/>
          <w:b/>
          <w:bCs/>
          <w:color w:val="000000"/>
          <w:sz w:val="22"/>
          <w:szCs w:val="22"/>
          <w:lang w:val="es-ES"/>
          <w14:ligatures w14:val="none"/>
        </w:rPr>
      </w:pPr>
    </w:p>
    <w:p w14:paraId="630BA243" w14:textId="7C476F72" w:rsidR="006856C6" w:rsidRPr="004C5FF3" w:rsidRDefault="006856C6" w:rsidP="006856C6">
      <w:pPr>
        <w:pStyle w:val="Bibliography"/>
        <w:spacing w:after="0"/>
        <w:rPr>
          <w:rFonts w:ascii="Times New Roman" w:hAnsi="Times New Roman" w:cs="Times New Roman"/>
          <w:color w:val="000000"/>
          <w:sz w:val="22"/>
          <w:lang w:val="en-US"/>
        </w:rPr>
      </w:pPr>
      <w:r>
        <w:rPr>
          <w:rFonts w:eastAsia="Times New Roman"/>
          <w:b/>
          <w:bCs/>
          <w:color w:val="000000"/>
          <w:sz w:val="22"/>
          <w:szCs w:val="22"/>
          <w14:ligatures w14:val="none"/>
        </w:rPr>
        <w:fldChar w:fldCharType="begin"/>
      </w:r>
      <w:r w:rsidRPr="00562692">
        <w:rPr>
          <w:rFonts w:eastAsia="Times New Roman"/>
          <w:b/>
          <w:bCs/>
          <w:color w:val="000000"/>
          <w:sz w:val="22"/>
          <w:szCs w:val="22"/>
          <w:lang w:val="es-ES"/>
          <w14:ligatures w14:val="none"/>
        </w:rPr>
        <w:instrText xml:space="preserve"> ADDIN ZOTERO_BIBL {"uncited":[],"omitted":[],"custom":[]} CSL_BIBLIOGRAPHY </w:instrText>
      </w:r>
      <w:r>
        <w:rPr>
          <w:rFonts w:eastAsia="Times New Roman"/>
          <w:b/>
          <w:bCs/>
          <w:color w:val="000000"/>
          <w:sz w:val="22"/>
          <w:szCs w:val="22"/>
          <w14:ligatures w14:val="none"/>
        </w:rPr>
        <w:fldChar w:fldCharType="separate"/>
      </w:r>
      <w:r w:rsidRPr="004C5FF3">
        <w:rPr>
          <w:rFonts w:ascii="Times New Roman" w:hAnsi="Times New Roman" w:cs="Times New Roman"/>
          <w:color w:val="000000"/>
          <w:sz w:val="22"/>
          <w:lang w:val="es-ES"/>
        </w:rPr>
        <w:t>1.</w:t>
      </w:r>
      <w:r w:rsidRPr="004C5FF3">
        <w:rPr>
          <w:rFonts w:ascii="Times New Roman" w:hAnsi="Times New Roman" w:cs="Times New Roman"/>
          <w:color w:val="000000"/>
          <w:sz w:val="22"/>
          <w:lang w:val="es-ES"/>
        </w:rPr>
        <w:tab/>
      </w:r>
      <w:proofErr w:type="spellStart"/>
      <w:r w:rsidRPr="004C5FF3">
        <w:rPr>
          <w:rFonts w:ascii="Times New Roman" w:hAnsi="Times New Roman" w:cs="Times New Roman"/>
          <w:color w:val="000000"/>
          <w:sz w:val="22"/>
          <w:lang w:val="es-ES"/>
        </w:rPr>
        <w:t>Sun</w:t>
      </w:r>
      <w:proofErr w:type="spellEnd"/>
      <w:r w:rsidRPr="004C5FF3">
        <w:rPr>
          <w:rFonts w:ascii="Times New Roman" w:hAnsi="Times New Roman" w:cs="Times New Roman"/>
          <w:color w:val="000000"/>
          <w:sz w:val="22"/>
          <w:lang w:val="es-ES"/>
        </w:rPr>
        <w:t xml:space="preserve"> Y, Chen A, </w:t>
      </w:r>
      <w:proofErr w:type="spellStart"/>
      <w:r w:rsidRPr="004C5FF3">
        <w:rPr>
          <w:rFonts w:ascii="Times New Roman" w:hAnsi="Times New Roman" w:cs="Times New Roman"/>
          <w:color w:val="000000"/>
          <w:sz w:val="22"/>
          <w:lang w:val="es-ES"/>
        </w:rPr>
        <w:t>Zou</w:t>
      </w:r>
      <w:proofErr w:type="spellEnd"/>
      <w:r w:rsidRPr="004C5FF3">
        <w:rPr>
          <w:rFonts w:ascii="Times New Roman" w:hAnsi="Times New Roman" w:cs="Times New Roman"/>
          <w:color w:val="000000"/>
          <w:sz w:val="22"/>
          <w:lang w:val="es-ES"/>
        </w:rPr>
        <w:t xml:space="preserve"> M, Zhang Y, Jin L, Li Y, et al. </w:t>
      </w:r>
      <w:r w:rsidRPr="004C5FF3">
        <w:rPr>
          <w:rFonts w:ascii="Times New Roman" w:hAnsi="Times New Roman" w:cs="Times New Roman"/>
          <w:color w:val="000000"/>
          <w:sz w:val="22"/>
          <w:lang w:val="en-US"/>
        </w:rPr>
        <w:t xml:space="preserve">Time trends, associations and prevalence of blindness and vision loss due to glaucoma: an analysis of observational data from the Global Burden of Disease Study 2017. BMJ Open. 2022 Jan;12(1):e053805. </w:t>
      </w:r>
    </w:p>
    <w:p w14:paraId="505CD807" w14:textId="24679AF1"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w:t>
      </w:r>
      <w:r w:rsidRPr="004C5FF3">
        <w:rPr>
          <w:rFonts w:ascii="Times New Roman" w:hAnsi="Times New Roman" w:cs="Times New Roman"/>
          <w:color w:val="000000"/>
          <w:sz w:val="22"/>
          <w:lang w:val="en-US"/>
        </w:rPr>
        <w:tab/>
        <w:t xml:space="preserve">Tham YC, Li X, Wong TY, Quigley HA, Aung T, Cheng CY. Global Prevalence of Glaucoma and Projections of Glaucoma Burden through 2040. Ophthalmology. 2014 Nov;121(11):2081–90. </w:t>
      </w:r>
    </w:p>
    <w:p w14:paraId="14D86FC5" w14:textId="601DE883"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3.</w:t>
      </w:r>
      <w:r w:rsidRPr="004C5FF3">
        <w:rPr>
          <w:rFonts w:ascii="Times New Roman" w:hAnsi="Times New Roman" w:cs="Times New Roman"/>
          <w:color w:val="000000"/>
          <w:sz w:val="22"/>
          <w:lang w:val="en-US"/>
        </w:rPr>
        <w:tab/>
        <w:t xml:space="preserve">Gedde SJ, Vinod K, Wright MM, Muir KW, Lind JT, Chen PP, et al. Primary Open-Angle Glaucoma Preferred Practice Pattern®. Ophthalmology. 2021 Jan;128(1):P71–150. </w:t>
      </w:r>
    </w:p>
    <w:p w14:paraId="4E448945"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4.</w:t>
      </w:r>
      <w:r w:rsidRPr="004C5FF3">
        <w:rPr>
          <w:rFonts w:ascii="Times New Roman" w:hAnsi="Times New Roman" w:cs="Times New Roman"/>
          <w:color w:val="000000"/>
          <w:sz w:val="22"/>
          <w:lang w:val="en-US"/>
        </w:rPr>
        <w:tab/>
        <w:t xml:space="preserve">Soh Z, Yu M, Betzler BK, Majithia S, Thakur S, Tham YC, et al. The Global Extent of Undetected Glaucoma in Adults. Ophthalmology. 2021 Oct;128(10):1393–404. </w:t>
      </w:r>
    </w:p>
    <w:p w14:paraId="3652F874"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5.</w:t>
      </w:r>
      <w:r w:rsidRPr="004C5FF3">
        <w:rPr>
          <w:rFonts w:ascii="Times New Roman" w:hAnsi="Times New Roman" w:cs="Times New Roman"/>
          <w:color w:val="000000"/>
          <w:sz w:val="22"/>
          <w:lang w:val="en-US"/>
        </w:rPr>
        <w:tab/>
        <w:t xml:space="preserve">Heijl A, Leske MC, Bengtsson B, Hyman L, Bengtsson B, Hussein M. Reduction of Intraocular Pressure and Glaucoma Progression. ARCH OPHTHALMOL. 2002;120. </w:t>
      </w:r>
    </w:p>
    <w:p w14:paraId="2812528F"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6.</w:t>
      </w:r>
      <w:r w:rsidRPr="004C5FF3">
        <w:rPr>
          <w:rFonts w:ascii="Times New Roman" w:hAnsi="Times New Roman" w:cs="Times New Roman"/>
          <w:color w:val="000000"/>
          <w:sz w:val="22"/>
          <w:lang w:val="en-US"/>
        </w:rPr>
        <w:tab/>
        <w:t xml:space="preserve">Phu J, Khuu SK, Nivison-Smith L, Kalloniatis M. Standard automated perimetry for glaucoma and diseases of the retina and visual pathways: Current and future perspectives. Prog Retin Eye Res. 2025 Jan;104:101307. </w:t>
      </w:r>
    </w:p>
    <w:p w14:paraId="61F5F850"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7.</w:t>
      </w:r>
      <w:r w:rsidRPr="004C5FF3">
        <w:rPr>
          <w:rFonts w:ascii="Times New Roman" w:hAnsi="Times New Roman" w:cs="Times New Roman"/>
          <w:color w:val="000000"/>
          <w:sz w:val="22"/>
          <w:lang w:val="en-US"/>
        </w:rPr>
        <w:tab/>
        <w:t xml:space="preserve">Garba F, Kyari F, Burton MJ, Adler SH, Khan Z, Bello M, et al. Portable devices for the diagnosis of glaucoma: a scoping review. BMJ Open. 2025 Oct;15(10):e105681. </w:t>
      </w:r>
    </w:p>
    <w:p w14:paraId="3443F007"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8.</w:t>
      </w:r>
      <w:r w:rsidRPr="004C5FF3">
        <w:rPr>
          <w:rFonts w:ascii="Times New Roman" w:hAnsi="Times New Roman" w:cs="Times New Roman"/>
          <w:color w:val="000000"/>
          <w:sz w:val="22"/>
          <w:lang w:val="en-US"/>
        </w:rPr>
        <w:tab/>
        <w:t xml:space="preserve">Meethal NSK, Sisodia VPS, George R, Khanna RC. Barriers and Potential Solutions to Glaucoma Screening in the Developing World: A Review. J Glaucoma. 2024 Aug;33(8S):S33. </w:t>
      </w:r>
    </w:p>
    <w:p w14:paraId="2D5C03A7"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9.</w:t>
      </w:r>
      <w:r w:rsidRPr="004C5FF3">
        <w:rPr>
          <w:rFonts w:ascii="Times New Roman" w:hAnsi="Times New Roman" w:cs="Times New Roman"/>
          <w:color w:val="000000"/>
          <w:sz w:val="22"/>
          <w:lang w:val="en-US"/>
        </w:rPr>
        <w:tab/>
        <w:t xml:space="preserve">Garba F, Kyari F, Burton MJ, Adler SH, Khan Z, Bello M, et al. Portable devices for the diagnosis of glaucoma: a scoping review. BMJ Open. 2025 Oct;15(10):e105681. </w:t>
      </w:r>
    </w:p>
    <w:p w14:paraId="3E04DF9B"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10.</w:t>
      </w:r>
      <w:r w:rsidRPr="004C5FF3">
        <w:rPr>
          <w:rFonts w:ascii="Times New Roman" w:hAnsi="Times New Roman" w:cs="Times New Roman"/>
          <w:color w:val="000000"/>
          <w:sz w:val="22"/>
          <w:lang w:val="en-US"/>
        </w:rPr>
        <w:tab/>
        <w:t xml:space="preserve">Vingrys AJ, Healey JK, Liew S, Saharinen V, Tran M, Wu W, et al. Validation of a Tablet as a Tangent Perimeter. Transl Vis Sci Technol. 2016 July 12;5(4):3. </w:t>
      </w:r>
    </w:p>
    <w:p w14:paraId="5C031127"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11.</w:t>
      </w:r>
      <w:r w:rsidRPr="004C5FF3">
        <w:rPr>
          <w:rFonts w:ascii="Times New Roman" w:hAnsi="Times New Roman" w:cs="Times New Roman"/>
          <w:color w:val="000000"/>
          <w:sz w:val="22"/>
          <w:lang w:val="en-US"/>
        </w:rPr>
        <w:tab/>
        <w:t xml:space="preserve">Anderson AJ, Bedggood PA, George Kong YX, Martin KR, Vingrys AJ. Can Home Monitoring Allow Earlier Detection of Rapid Visual Field Progression in Glaucoma? Ophthalmology. 2017 Dec;124(12):1735–42. </w:t>
      </w:r>
    </w:p>
    <w:p w14:paraId="7CB5E8D2"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12.</w:t>
      </w:r>
      <w:r w:rsidRPr="004C5FF3">
        <w:rPr>
          <w:rFonts w:ascii="Times New Roman" w:hAnsi="Times New Roman" w:cs="Times New Roman"/>
          <w:color w:val="000000"/>
          <w:sz w:val="22"/>
          <w:lang w:val="en-US"/>
        </w:rPr>
        <w:tab/>
        <w:t xml:space="preserve">Kong YXG, He M, Crowston JG, Vingrys AJ. A Comparison of Perimetric Results from a Tablet Perimeter and Humphrey Field Analyzer in Glaucoma Patients. Transl Vis Sci Technol. 2016 Nov 3;5(6):2. </w:t>
      </w:r>
    </w:p>
    <w:p w14:paraId="69B1B074"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13.</w:t>
      </w:r>
      <w:r w:rsidRPr="004C5FF3">
        <w:rPr>
          <w:rFonts w:ascii="Times New Roman" w:hAnsi="Times New Roman" w:cs="Times New Roman"/>
          <w:color w:val="000000"/>
          <w:sz w:val="22"/>
          <w:lang w:val="en-US"/>
        </w:rPr>
        <w:tab/>
        <w:t xml:space="preserve">Prea SM, Kong GYX, Guymer RH, Sivarajah P, Baglin EK, Vingrys AJ. The Short-Term Compliance and Concordance to in Clinic Testing for Tablet-Based Home Monitoring in Age-Related Macular Degeneration. Am J Ophthalmol. 2022 Mar;235:280–90. </w:t>
      </w:r>
    </w:p>
    <w:p w14:paraId="60CB4F32"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14.</w:t>
      </w:r>
      <w:r w:rsidRPr="004C5FF3">
        <w:rPr>
          <w:rFonts w:ascii="Times New Roman" w:hAnsi="Times New Roman" w:cs="Times New Roman"/>
          <w:color w:val="000000"/>
          <w:sz w:val="22"/>
          <w:lang w:val="en-US"/>
        </w:rPr>
        <w:tab/>
        <w:t xml:space="preserve">Prea SM, Vingrys AJ, Kong GYX. Test Reliability and Compliance to a Twelve-Month Visual Field Telemedicine Study in Glaucoma Patients. J Clin Med. 2022 July 25;11(15):4317. </w:t>
      </w:r>
    </w:p>
    <w:p w14:paraId="72AA1112"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15.</w:t>
      </w:r>
      <w:r w:rsidRPr="004C5FF3">
        <w:rPr>
          <w:rFonts w:ascii="Times New Roman" w:hAnsi="Times New Roman" w:cs="Times New Roman"/>
          <w:color w:val="000000"/>
          <w:sz w:val="22"/>
          <w:lang w:val="en-US"/>
        </w:rPr>
        <w:tab/>
        <w:t xml:space="preserve">Prea SM, Kong YXG, Mehta A, He M, Crowston JG, Gupta V, et al. Six-month Longitudinal Comparison of a Portable Tablet Perimeter With the Humphrey Field Analyzer. Am J Ophthalmol. 2018 June;190:9–16. </w:t>
      </w:r>
    </w:p>
    <w:p w14:paraId="015DCC90" w14:textId="77777777" w:rsidR="006856C6" w:rsidRPr="004C5FF3" w:rsidRDefault="006856C6" w:rsidP="006856C6">
      <w:pPr>
        <w:pStyle w:val="Bibliography"/>
        <w:spacing w:after="0"/>
        <w:rPr>
          <w:rFonts w:ascii="Times New Roman" w:hAnsi="Times New Roman" w:cs="Times New Roman"/>
          <w:color w:val="000000"/>
          <w:sz w:val="22"/>
          <w:lang w:val="en-US"/>
        </w:rPr>
      </w:pPr>
      <w:r w:rsidRPr="003866EB">
        <w:rPr>
          <w:rFonts w:ascii="Times New Roman" w:hAnsi="Times New Roman" w:cs="Times New Roman"/>
          <w:color w:val="000000"/>
          <w:sz w:val="22"/>
          <w:lang w:val="en-US"/>
        </w:rPr>
        <w:t>16.</w:t>
      </w:r>
      <w:r w:rsidRPr="003866EB">
        <w:rPr>
          <w:rFonts w:ascii="Times New Roman" w:hAnsi="Times New Roman" w:cs="Times New Roman"/>
          <w:color w:val="000000"/>
          <w:sz w:val="22"/>
          <w:lang w:val="en-US"/>
        </w:rPr>
        <w:tab/>
        <w:t xml:space="preserve">Stata C. Stata 18. StataCorp LLC.; 2023. </w:t>
      </w:r>
      <w:r w:rsidRPr="004C5FF3">
        <w:rPr>
          <w:rFonts w:ascii="Times New Roman" w:hAnsi="Times New Roman" w:cs="Times New Roman"/>
          <w:color w:val="000000"/>
          <w:sz w:val="22"/>
          <w:lang w:val="en-US"/>
        </w:rPr>
        <w:t xml:space="preserve">(Stata). </w:t>
      </w:r>
    </w:p>
    <w:p w14:paraId="067D6EE2"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17.</w:t>
      </w:r>
      <w:r w:rsidRPr="004C5FF3">
        <w:rPr>
          <w:rFonts w:ascii="Times New Roman" w:hAnsi="Times New Roman" w:cs="Times New Roman"/>
          <w:color w:val="000000"/>
          <w:sz w:val="22"/>
          <w:lang w:val="en-US"/>
        </w:rPr>
        <w:tab/>
        <w:t xml:space="preserve">StataCorp. Stata 18 Meta-Analysis Reference Manual. College Station, TX: Stata Press; 2023. </w:t>
      </w:r>
    </w:p>
    <w:p w14:paraId="15137AEB"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18.</w:t>
      </w:r>
      <w:r w:rsidRPr="004C5FF3">
        <w:rPr>
          <w:rFonts w:ascii="Times New Roman" w:hAnsi="Times New Roman" w:cs="Times New Roman"/>
          <w:color w:val="000000"/>
          <w:sz w:val="22"/>
          <w:lang w:val="en-US"/>
        </w:rPr>
        <w:tab/>
        <w:t xml:space="preserve">Riley RD, Higgins JPT, Deeks JJ. Interpretation of random effects meta-analyses. BMJ. 2011 Feb 10;342:d549. </w:t>
      </w:r>
    </w:p>
    <w:p w14:paraId="275F4BCC"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19.</w:t>
      </w:r>
      <w:r w:rsidRPr="004C5FF3">
        <w:rPr>
          <w:rFonts w:ascii="Times New Roman" w:hAnsi="Times New Roman" w:cs="Times New Roman"/>
          <w:color w:val="000000"/>
          <w:sz w:val="22"/>
          <w:lang w:val="en-US"/>
        </w:rPr>
        <w:tab/>
        <w:t xml:space="preserve">Higgins JPT, Thompson SG, Deeks JJ, Altman DG. Measuring inconsistency in meta-analyses. BMJ. 2003 Sept 6;327(7414):557–60. </w:t>
      </w:r>
    </w:p>
    <w:p w14:paraId="0DEB98B5"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20.</w:t>
      </w:r>
      <w:r w:rsidRPr="004C5FF3">
        <w:rPr>
          <w:rFonts w:ascii="Times New Roman" w:hAnsi="Times New Roman" w:cs="Times New Roman"/>
          <w:color w:val="000000"/>
          <w:sz w:val="22"/>
          <w:lang w:val="en-US"/>
        </w:rPr>
        <w:tab/>
        <w:t xml:space="preserve">Luo D, Wan X, Liu J, Tong T. Optimally estimating the sample mean from the sample size, median, mid-range, and/or mid-quartile range. Stat Methods Med Res. 2018 June 1;27(6):1785–805. </w:t>
      </w:r>
    </w:p>
    <w:p w14:paraId="224E0D71"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21.</w:t>
      </w:r>
      <w:r w:rsidRPr="004C5FF3">
        <w:rPr>
          <w:rFonts w:ascii="Times New Roman" w:hAnsi="Times New Roman" w:cs="Times New Roman"/>
          <w:color w:val="000000"/>
          <w:sz w:val="22"/>
          <w:lang w:val="en-US"/>
        </w:rPr>
        <w:tab/>
        <w:t>Chapter 6: Choosing effect measures and computing estimates of effect | Cochrane [Internet]. [cited 2025 Dec 4]. Available from: https://www.cochrane.org/authors/handbooks-and-manuals/handbook/current/chapter-06#section-6-5-2</w:t>
      </w:r>
    </w:p>
    <w:p w14:paraId="2766744B"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lastRenderedPageBreak/>
        <w:t>22.</w:t>
      </w:r>
      <w:r w:rsidRPr="004C5FF3">
        <w:rPr>
          <w:rFonts w:ascii="Times New Roman" w:hAnsi="Times New Roman" w:cs="Times New Roman"/>
          <w:color w:val="000000"/>
          <w:sz w:val="22"/>
          <w:lang w:val="en-US"/>
        </w:rPr>
        <w:tab/>
        <w:t xml:space="preserve">van Aert RCM. Meta-analyzing partial correlation coefficients using Fisher’s z transformation. Res Synth Methods. 2023 Sept;14(5):768–73. </w:t>
      </w:r>
    </w:p>
    <w:p w14:paraId="208820FA"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23.</w:t>
      </w:r>
      <w:r w:rsidRPr="004C5FF3">
        <w:rPr>
          <w:rFonts w:ascii="Times New Roman" w:hAnsi="Times New Roman" w:cs="Times New Roman"/>
          <w:color w:val="000000"/>
          <w:sz w:val="22"/>
          <w:lang w:val="en-US"/>
        </w:rPr>
        <w:tab/>
        <w:t xml:space="preserve">Tipton E, Shuster J. A Framework for the Meta-Analysis of Bland-Altman Studies Based on a Limits of Agreement Approach. Stat Med. 2017 Oct 15;36(23):3621–35. </w:t>
      </w:r>
    </w:p>
    <w:p w14:paraId="2165C9BC"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24.</w:t>
      </w:r>
      <w:r w:rsidRPr="004C5FF3">
        <w:rPr>
          <w:rFonts w:ascii="Times New Roman" w:hAnsi="Times New Roman" w:cs="Times New Roman"/>
          <w:color w:val="000000"/>
          <w:sz w:val="22"/>
          <w:lang w:val="en-US"/>
        </w:rPr>
        <w:tab/>
        <w:t xml:space="preserve">Drevon D, Fursa SR, Malcolm AL. Intercoder Reliability and Validity of WebPlotDigitizer in Extracting Graphed Data. Behav Modif. 2017 Mar 1;41(2):323–39. </w:t>
      </w:r>
    </w:p>
    <w:p w14:paraId="58F90840"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25.</w:t>
      </w:r>
      <w:r w:rsidRPr="004C5FF3">
        <w:rPr>
          <w:rFonts w:ascii="Times New Roman" w:hAnsi="Times New Roman" w:cs="Times New Roman"/>
          <w:color w:val="000000"/>
          <w:sz w:val="22"/>
          <w:lang w:val="en-US"/>
        </w:rPr>
        <w:tab/>
        <w:t xml:space="preserve">Jefferson T. Sponsorship bias in clinical trials: growing menace or dawning realisation? J R Soc Med. 2020 Apr;113(4):148–57. </w:t>
      </w:r>
    </w:p>
    <w:p w14:paraId="64BE645D"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26.</w:t>
      </w:r>
      <w:r w:rsidRPr="004C5FF3">
        <w:rPr>
          <w:rFonts w:ascii="Times New Roman" w:hAnsi="Times New Roman" w:cs="Times New Roman"/>
          <w:color w:val="000000"/>
          <w:sz w:val="22"/>
          <w:lang w:val="en-US"/>
        </w:rPr>
        <w:tab/>
        <w:t xml:space="preserve">Schulz AM, Graham EC, You Y, Klistorner A, Graham SL. Performance of iPad-based threshold perimetry in glaucoma and controls. Clin Experiment Ophthalmol. 2018;46(4):346–55. </w:t>
      </w:r>
    </w:p>
    <w:p w14:paraId="771D3599"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27.</w:t>
      </w:r>
      <w:r w:rsidRPr="004C5FF3">
        <w:rPr>
          <w:rFonts w:ascii="Times New Roman" w:hAnsi="Times New Roman" w:cs="Times New Roman"/>
          <w:color w:val="000000"/>
          <w:sz w:val="22"/>
          <w:lang w:val="en-US"/>
        </w:rPr>
        <w:tab/>
        <w:t xml:space="preserve">Kumar H, Thulasidas M. Comparison of Perimetric Outcomes from Melbourne Rapid Fields Tablet Perimeter Software and Humphrey Field Analyzer in Glaucoma Patients. J Ophthalmol. 2020;2020(1):8384509. </w:t>
      </w:r>
    </w:p>
    <w:p w14:paraId="369E2B6A"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28.</w:t>
      </w:r>
      <w:r w:rsidRPr="004C5FF3">
        <w:rPr>
          <w:rFonts w:ascii="Times New Roman" w:hAnsi="Times New Roman" w:cs="Times New Roman"/>
          <w:color w:val="000000"/>
          <w:sz w:val="22"/>
          <w:lang w:val="en-US"/>
        </w:rPr>
        <w:tab/>
        <w:t xml:space="preserve">Prea SM, Kong GYX, Guymer RH, Vingrys AJ. Uptake, Persistence, and Performance of Weekly Home Monitoring of Visual Field in a Large Cohort of Patients With Glaucoma. Am J Ophthalmol. 2021 Mar 1;223:286–95. </w:t>
      </w:r>
    </w:p>
    <w:p w14:paraId="6CF44C82"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29.</w:t>
      </w:r>
      <w:r w:rsidRPr="004C5FF3">
        <w:rPr>
          <w:rFonts w:ascii="Times New Roman" w:hAnsi="Times New Roman" w:cs="Times New Roman"/>
          <w:color w:val="000000"/>
          <w:sz w:val="22"/>
          <w:lang w:val="en-US"/>
        </w:rPr>
        <w:tab/>
        <w:t xml:space="preserve">Prince J, Thompson A, Mwanza JC, Tolleson-Rinehart S, Budenz DL. Glaucoma Screening Using an iPad-Based Visual Field Test in a West African Population. Ophthalmol Glaucoma. 2022 May;5(3):275–83. </w:t>
      </w:r>
    </w:p>
    <w:p w14:paraId="7328109C"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30.</w:t>
      </w:r>
      <w:r w:rsidRPr="004C5FF3">
        <w:rPr>
          <w:rFonts w:ascii="Times New Roman" w:hAnsi="Times New Roman" w:cs="Times New Roman"/>
          <w:color w:val="000000"/>
          <w:sz w:val="22"/>
          <w:lang w:val="en-US"/>
        </w:rPr>
        <w:tab/>
        <w:t xml:space="preserve">Chen DF, Zhou W, Lu X, Wang T, Wang C, Wang Y, et al. Comparative Analysis of Melbourne Rapid Fields Web-Browser Perimeter and Humphrey Field Analyzer in Chinese Glaucoma Patients. Transl Vis Sci Technol. 2025 July 1;14(7):18. </w:t>
      </w:r>
    </w:p>
    <w:p w14:paraId="63121466"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31.</w:t>
      </w:r>
      <w:r w:rsidRPr="004C5FF3">
        <w:rPr>
          <w:rFonts w:ascii="Times New Roman" w:hAnsi="Times New Roman" w:cs="Times New Roman"/>
          <w:color w:val="000000"/>
          <w:sz w:val="22"/>
          <w:lang w:val="en-US"/>
        </w:rPr>
        <w:tab/>
        <w:t xml:space="preserve">Kang J, De Arrigunaga S, Freeman SE, Zhao Y, Lin M, Liebman DL, et al. Comparison of Perimetric Outcomes from a Tablet Perimeter, Smart Visual Function Analyzer, and Humphrey Field Analyzer. Ophthalmol Glaucoma. 2023 Sept 1;6(5):509–20. </w:t>
      </w:r>
    </w:p>
    <w:p w14:paraId="47A58444"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32.</w:t>
      </w:r>
      <w:r w:rsidRPr="004C5FF3">
        <w:rPr>
          <w:rFonts w:ascii="Times New Roman" w:hAnsi="Times New Roman" w:cs="Times New Roman"/>
          <w:color w:val="000000"/>
          <w:sz w:val="22"/>
          <w:lang w:val="en-US"/>
        </w:rPr>
        <w:tab/>
        <w:t xml:space="preserve">Bedggood P, Prea SM, Kong YXG, Vingrys AJ. Scaling the size of perimetric stimuli reduces variability and returns constant thresholds across the visual field. J Vis. 2021 Oct 7;21(11):2. </w:t>
      </w:r>
    </w:p>
    <w:p w14:paraId="33CFFE2B" w14:textId="77777777" w:rsidR="006856C6" w:rsidRPr="004C5FF3" w:rsidRDefault="006856C6" w:rsidP="006856C6">
      <w:pPr>
        <w:pStyle w:val="Bibliography"/>
        <w:spacing w:after="0"/>
        <w:rPr>
          <w:rFonts w:ascii="Times New Roman" w:hAnsi="Times New Roman" w:cs="Times New Roman"/>
          <w:color w:val="000000"/>
          <w:sz w:val="22"/>
          <w:lang w:val="en-US"/>
        </w:rPr>
      </w:pPr>
      <w:r w:rsidRPr="004C5FF3">
        <w:rPr>
          <w:rFonts w:ascii="Times New Roman" w:hAnsi="Times New Roman" w:cs="Times New Roman"/>
          <w:color w:val="000000"/>
          <w:sz w:val="22"/>
          <w:lang w:val="en-US"/>
        </w:rPr>
        <w:t>33.</w:t>
      </w:r>
      <w:r w:rsidRPr="004C5FF3">
        <w:rPr>
          <w:rFonts w:ascii="Times New Roman" w:hAnsi="Times New Roman" w:cs="Times New Roman"/>
          <w:color w:val="000000"/>
          <w:sz w:val="22"/>
          <w:lang w:val="en-US"/>
        </w:rPr>
        <w:tab/>
        <w:t xml:space="preserve">King-Smith PE, Grigsby SS, Vingrys AJ, Benes SC, Supowit A. Efficient and unbiased modifications of the QUEST threshold method: Theory, simulations, experimental evaluation and practical implementation. Vision Res. 1994 Apr 1;34(7):885–912. </w:t>
      </w:r>
    </w:p>
    <w:p w14:paraId="4D568CD0" w14:textId="77777777" w:rsidR="006856C6" w:rsidRPr="005A3DBC" w:rsidRDefault="006856C6" w:rsidP="006856C6">
      <w:pPr>
        <w:spacing w:after="0" w:line="240" w:lineRule="auto"/>
        <w:jc w:val="both"/>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fldChar w:fldCharType="end"/>
      </w:r>
    </w:p>
    <w:p w14:paraId="0C64F590" w14:textId="77777777"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Registration</w:t>
      </w:r>
      <w:r w:rsidRPr="00511459">
        <w:rPr>
          <w:rFonts w:ascii="Times New Roman" w:hAnsi="Times New Roman" w:cs="Times New Roman"/>
          <w:color w:val="000000" w:themeColor="text1"/>
          <w:sz w:val="22"/>
          <w:szCs w:val="22"/>
        </w:rPr>
        <w:t>: PROSPERO registration CRD420251009468.</w:t>
      </w:r>
    </w:p>
    <w:p w14:paraId="182D3B4E" w14:textId="77777777"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p>
    <w:p w14:paraId="1A48D656" w14:textId="7B4527DC"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Acknowledgments</w:t>
      </w:r>
      <w:r w:rsidRPr="00511459">
        <w:rPr>
          <w:rFonts w:ascii="Times New Roman" w:hAnsi="Times New Roman" w:cs="Times New Roman"/>
          <w:color w:val="000000" w:themeColor="text1"/>
          <w:sz w:val="22"/>
          <w:szCs w:val="22"/>
        </w:rPr>
        <w:t xml:space="preserve">: </w:t>
      </w:r>
      <w:r w:rsidR="006664BD" w:rsidRPr="006664BD">
        <w:rPr>
          <w:rFonts w:ascii="Times New Roman" w:hAnsi="Times New Roman" w:cs="Times New Roman"/>
          <w:color w:val="000000" w:themeColor="text1"/>
          <w:sz w:val="22"/>
          <w:szCs w:val="22"/>
        </w:rPr>
        <w:t xml:space="preserve">We are grateful to Prof. Vingrys for sharing his expertise, providing comments, and making available raw data from his group’s studies, which were independently </w:t>
      </w:r>
      <w:proofErr w:type="spellStart"/>
      <w:r w:rsidR="006664BD" w:rsidRPr="006664BD">
        <w:rPr>
          <w:rFonts w:ascii="Times New Roman" w:hAnsi="Times New Roman" w:cs="Times New Roman"/>
          <w:color w:val="000000" w:themeColor="text1"/>
          <w:sz w:val="22"/>
          <w:szCs w:val="22"/>
        </w:rPr>
        <w:t>analyzed</w:t>
      </w:r>
      <w:proofErr w:type="spellEnd"/>
      <w:r w:rsidR="006664BD" w:rsidRPr="006664BD">
        <w:rPr>
          <w:rFonts w:ascii="Times New Roman" w:hAnsi="Times New Roman" w:cs="Times New Roman"/>
          <w:color w:val="000000" w:themeColor="text1"/>
          <w:sz w:val="22"/>
          <w:szCs w:val="22"/>
        </w:rPr>
        <w:t xml:space="preserve"> by our group. We also thank Stefania Papatheodorou and Tobias Elze for their time, expertise, and methodological guidance.</w:t>
      </w:r>
    </w:p>
    <w:p w14:paraId="77536127" w14:textId="77777777" w:rsidR="006856C6" w:rsidRPr="00511459" w:rsidRDefault="006856C6" w:rsidP="006856C6">
      <w:pPr>
        <w:spacing w:after="0" w:line="240" w:lineRule="auto"/>
        <w:jc w:val="both"/>
        <w:rPr>
          <w:rFonts w:ascii="Times New Roman" w:hAnsi="Times New Roman" w:cs="Times New Roman"/>
          <w:b/>
          <w:bCs/>
          <w:color w:val="000000" w:themeColor="text1"/>
          <w:sz w:val="22"/>
          <w:szCs w:val="22"/>
        </w:rPr>
      </w:pPr>
    </w:p>
    <w:p w14:paraId="1ABDDA46" w14:textId="29FE8EEC" w:rsidR="006664BD" w:rsidRPr="00511459" w:rsidRDefault="006856C6" w:rsidP="006664BD">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 xml:space="preserve">Availability of data and statistical code: </w:t>
      </w:r>
      <w:r w:rsidR="006664BD">
        <w:rPr>
          <w:rFonts w:ascii="Times New Roman" w:hAnsi="Times New Roman" w:cs="Times New Roman"/>
          <w:color w:val="000000" w:themeColor="text1"/>
          <w:sz w:val="22"/>
          <w:szCs w:val="22"/>
        </w:rPr>
        <w:t>T</w:t>
      </w:r>
      <w:r w:rsidR="006664BD" w:rsidRPr="003B2BA3">
        <w:rPr>
          <w:rFonts w:ascii="Times New Roman" w:hAnsi="Times New Roman" w:cs="Times New Roman"/>
          <w:color w:val="000000" w:themeColor="text1"/>
          <w:sz w:val="22"/>
          <w:szCs w:val="22"/>
        </w:rPr>
        <w:t>he extracted datasets, risk-of-bias assessments, and complete statistical analysis code have been made publicly available (</w:t>
      </w:r>
      <w:hyperlink r:id="rId13" w:history="1">
        <w:r w:rsidR="006664BD" w:rsidRPr="008A6141">
          <w:rPr>
            <w:rStyle w:val="Hyperlink"/>
            <w:rFonts w:ascii="Times New Roman" w:hAnsi="Times New Roman" w:cs="Times New Roman"/>
            <w:sz w:val="22"/>
            <w:szCs w:val="22"/>
          </w:rPr>
          <w:t>https://github.com/andresinzunza/pop_tag</w:t>
        </w:r>
      </w:hyperlink>
      <w:r w:rsidR="006664BD" w:rsidRPr="003B2BA3">
        <w:rPr>
          <w:rFonts w:ascii="Times New Roman" w:hAnsi="Times New Roman" w:cs="Times New Roman"/>
          <w:color w:val="000000" w:themeColor="text1"/>
          <w:sz w:val="22"/>
          <w:szCs w:val="22"/>
        </w:rPr>
        <w:t>).</w:t>
      </w:r>
    </w:p>
    <w:p w14:paraId="77E76378" w14:textId="77777777" w:rsidR="006664BD" w:rsidRPr="00511459" w:rsidRDefault="006664BD" w:rsidP="006856C6">
      <w:pPr>
        <w:spacing w:after="0" w:line="240" w:lineRule="auto"/>
        <w:jc w:val="both"/>
        <w:rPr>
          <w:rFonts w:ascii="Times New Roman" w:hAnsi="Times New Roman" w:cs="Times New Roman"/>
          <w:b/>
          <w:bCs/>
          <w:color w:val="000000" w:themeColor="text1"/>
          <w:sz w:val="22"/>
          <w:szCs w:val="22"/>
        </w:rPr>
      </w:pPr>
    </w:p>
    <w:p w14:paraId="5ABE9331" w14:textId="7D27FAC9" w:rsidR="006856C6" w:rsidRPr="00511459" w:rsidRDefault="006856C6" w:rsidP="006856C6">
      <w:pPr>
        <w:spacing w:after="0" w:line="240" w:lineRule="auto"/>
        <w:jc w:val="both"/>
        <w:rPr>
          <w:rFonts w:ascii="Times New Roman" w:hAnsi="Times New Roman" w:cs="Times New Roman"/>
          <w:color w:val="000000" w:themeColor="text1"/>
          <w:sz w:val="22"/>
          <w:szCs w:val="22"/>
        </w:rPr>
      </w:pPr>
      <w:r w:rsidRPr="00511459">
        <w:rPr>
          <w:rFonts w:ascii="Times New Roman" w:hAnsi="Times New Roman" w:cs="Times New Roman"/>
          <w:b/>
          <w:bCs/>
          <w:color w:val="000000" w:themeColor="text1"/>
          <w:sz w:val="22"/>
          <w:szCs w:val="22"/>
        </w:rPr>
        <w:t>Declaration of generative AI and AI-assisted technologies in the writing process</w:t>
      </w:r>
      <w:r w:rsidRPr="00511459">
        <w:rPr>
          <w:rFonts w:ascii="Times New Roman" w:hAnsi="Times New Roman" w:cs="Times New Roman"/>
          <w:color w:val="000000" w:themeColor="text1"/>
          <w:sz w:val="22"/>
          <w:szCs w:val="22"/>
        </w:rPr>
        <w:t>: During the preparation of this work, the authors used ChatGPT 4.0-5.</w:t>
      </w:r>
      <w:r w:rsidR="00F02B30">
        <w:rPr>
          <w:rFonts w:ascii="Times New Roman" w:hAnsi="Times New Roman" w:cs="Times New Roman"/>
          <w:color w:val="000000" w:themeColor="text1"/>
          <w:sz w:val="22"/>
          <w:szCs w:val="22"/>
        </w:rPr>
        <w:t>2</w:t>
      </w:r>
      <w:r w:rsidRPr="00511459">
        <w:rPr>
          <w:rFonts w:ascii="Times New Roman" w:hAnsi="Times New Roman" w:cs="Times New Roman"/>
          <w:color w:val="000000" w:themeColor="text1"/>
          <w:sz w:val="22"/>
          <w:szCs w:val="22"/>
        </w:rPr>
        <w:t xml:space="preserve"> (OpenAI), Harvard University’s Sanbox (Harvard’s secure Generative AI environment), and Grammarly AI (</w:t>
      </w:r>
      <w:r w:rsidRPr="00511459">
        <w:rPr>
          <w:rFonts w:ascii="Times New Roman" w:hAnsi="Times New Roman" w:cs="Times New Roman"/>
          <w:color w:val="1F243C"/>
          <w:sz w:val="22"/>
          <w:szCs w:val="22"/>
        </w:rPr>
        <w:t>© 2025 Grammarly, Inc.</w:t>
      </w:r>
      <w:r w:rsidRPr="00511459">
        <w:rPr>
          <w:rFonts w:ascii="Times New Roman" w:hAnsi="Times New Roman" w:cs="Times New Roman"/>
          <w:color w:val="000000" w:themeColor="text1"/>
          <w:sz w:val="22"/>
          <w:szCs w:val="22"/>
        </w:rPr>
        <w:t>) to improve the readability and language of the manuscript.</w:t>
      </w:r>
      <w:r w:rsidR="00F02B30" w:rsidRPr="00F02B30">
        <w:rPr>
          <w:rFonts w:ascii="Times New Roman" w:hAnsi="Times New Roman" w:cs="Times New Roman"/>
          <w:color w:val="000000" w:themeColor="text1"/>
          <w:sz w:val="22"/>
          <w:szCs w:val="22"/>
        </w:rPr>
        <w:t xml:space="preserve"> </w:t>
      </w:r>
      <w:r w:rsidR="00F02B30" w:rsidRPr="00511459">
        <w:rPr>
          <w:rFonts w:ascii="Times New Roman" w:hAnsi="Times New Roman" w:cs="Times New Roman"/>
          <w:color w:val="000000" w:themeColor="text1"/>
          <w:sz w:val="22"/>
          <w:szCs w:val="22"/>
        </w:rPr>
        <w:t>ChatGPT 4.0-5.</w:t>
      </w:r>
      <w:r w:rsidR="00F02B30">
        <w:rPr>
          <w:rFonts w:ascii="Times New Roman" w:hAnsi="Times New Roman" w:cs="Times New Roman"/>
          <w:color w:val="000000" w:themeColor="text1"/>
          <w:sz w:val="22"/>
          <w:szCs w:val="22"/>
        </w:rPr>
        <w:t>2</w:t>
      </w:r>
      <w:r w:rsidR="00F02B30" w:rsidRPr="00511459">
        <w:rPr>
          <w:rFonts w:ascii="Times New Roman" w:hAnsi="Times New Roman" w:cs="Times New Roman"/>
          <w:color w:val="000000" w:themeColor="text1"/>
          <w:sz w:val="22"/>
          <w:szCs w:val="22"/>
        </w:rPr>
        <w:t xml:space="preserve"> (OpenAI)</w:t>
      </w:r>
      <w:r w:rsidR="00F02B30">
        <w:rPr>
          <w:rFonts w:ascii="Times New Roman" w:hAnsi="Times New Roman" w:cs="Times New Roman"/>
          <w:color w:val="000000" w:themeColor="text1"/>
          <w:sz w:val="22"/>
          <w:szCs w:val="22"/>
        </w:rPr>
        <w:t xml:space="preserve"> was used for the creation and debugging of the statistical code.</w:t>
      </w:r>
      <w:r w:rsidRPr="00511459">
        <w:rPr>
          <w:rFonts w:ascii="Times New Roman" w:hAnsi="Times New Roman" w:cs="Times New Roman"/>
          <w:color w:val="000000" w:themeColor="text1"/>
          <w:sz w:val="22"/>
          <w:szCs w:val="22"/>
        </w:rPr>
        <w:t xml:space="preserve"> After using these tools, the authors reviewed and edited the content as needed and take full responsibility for the content of the article.</w:t>
      </w:r>
    </w:p>
    <w:p w14:paraId="5C21A4DA" w14:textId="77777777" w:rsidR="006856C6" w:rsidRDefault="006856C6" w:rsidP="006856C6">
      <w:pPr>
        <w:spacing w:after="0" w:line="240" w:lineRule="auto"/>
        <w:jc w:val="both"/>
        <w:rPr>
          <w:rFonts w:ascii="Times New Roman" w:eastAsia="Times New Roman" w:hAnsi="Times New Roman" w:cs="Times New Roman"/>
          <w:b/>
          <w:bCs/>
          <w:color w:val="000000"/>
          <w:kern w:val="0"/>
          <w:sz w:val="22"/>
          <w:szCs w:val="22"/>
          <w14:ligatures w14:val="none"/>
        </w:rPr>
      </w:pPr>
    </w:p>
    <w:p w14:paraId="11BE282C" w14:textId="77777777" w:rsidR="006856C6" w:rsidRDefault="006856C6" w:rsidP="006856C6">
      <w:pPr>
        <w:spacing w:after="0" w:line="240" w:lineRule="auto"/>
        <w:jc w:val="both"/>
        <w:rPr>
          <w:rFonts w:ascii="Times New Roman" w:eastAsia="Times New Roman" w:hAnsi="Times New Roman" w:cs="Times New Roman"/>
          <w:b/>
          <w:bCs/>
          <w:color w:val="000000"/>
          <w:kern w:val="0"/>
          <w:sz w:val="22"/>
          <w:szCs w:val="22"/>
          <w14:ligatures w14:val="none"/>
        </w:rPr>
      </w:pPr>
    </w:p>
    <w:p w14:paraId="5A6466F5" w14:textId="77777777" w:rsidR="00D97D6C" w:rsidRPr="00D97D6C" w:rsidRDefault="00D97D6C" w:rsidP="006856C6">
      <w:pPr>
        <w:spacing w:after="0" w:line="240" w:lineRule="auto"/>
        <w:jc w:val="both"/>
        <w:rPr>
          <w:rFonts w:ascii="Times New Roman" w:eastAsia="Times New Roman" w:hAnsi="Times New Roman" w:cs="Times New Roman"/>
          <w:b/>
          <w:bCs/>
          <w:color w:val="000000"/>
          <w:kern w:val="0"/>
          <w:sz w:val="22"/>
          <w:szCs w:val="22"/>
          <w14:ligatures w14:val="none"/>
        </w:rPr>
      </w:pPr>
    </w:p>
    <w:sectPr w:rsidR="00D97D6C" w:rsidRPr="00D97D6C">
      <w:footerReference w:type="even" r:id="rId14"/>
      <w:footerReference w:type="default" r:id="rId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iedman, David S.,MD, , MPH" w:date="2025-12-30T11:46:00Z" w:initials="DF">
    <w:p w14:paraId="65042C5A" w14:textId="77777777" w:rsidR="00D21960" w:rsidRDefault="00D21960" w:rsidP="00D21960">
      <w:r>
        <w:rPr>
          <w:rStyle w:val="CommentReference"/>
        </w:rPr>
        <w:annotationRef/>
      </w:r>
      <w:r>
        <w:rPr>
          <w:sz w:val="20"/>
          <w:szCs w:val="20"/>
          <w:lang w:val="en-US"/>
        </w:rPr>
        <w:t>are these per eye?  You should make that clear if it is.</w:t>
      </w:r>
    </w:p>
  </w:comment>
  <w:comment w:id="1" w:author="Friedman, David S.,MD, , MPH" w:date="2025-12-30T12:15:00Z" w:initials="DF">
    <w:p w14:paraId="5DE42BEE" w14:textId="77777777" w:rsidR="00057B82" w:rsidRDefault="00057B82" w:rsidP="00057B82">
      <w:r>
        <w:rPr>
          <w:rStyle w:val="CommentReference"/>
        </w:rPr>
        <w:annotationRef/>
      </w:r>
      <w:r>
        <w:rPr>
          <w:sz w:val="20"/>
          <w:szCs w:val="20"/>
          <w:lang w:val="en-US"/>
        </w:rPr>
        <w:t xml:space="preserve">What does this mean?  Does it test more points?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42C5A" w15:done="1"/>
  <w15:commentEx w15:paraId="5DE42B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6AE56E" w16cex:dateUtc="2025-12-30T16:46:00Z"/>
  <w16cex:commentExtensible w16cex:durableId="69CD34CE" w16cex:dateUtc="2025-12-30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42C5A" w16cid:durableId="476AE56E"/>
  <w16cid:commentId w16cid:paraId="5DE42BEE" w16cid:durableId="69CD34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FE953" w14:textId="77777777" w:rsidR="00111862" w:rsidRDefault="00111862" w:rsidP="00ED0BD5">
      <w:pPr>
        <w:spacing w:after="0" w:line="240" w:lineRule="auto"/>
      </w:pPr>
      <w:r>
        <w:separator/>
      </w:r>
    </w:p>
  </w:endnote>
  <w:endnote w:type="continuationSeparator" w:id="0">
    <w:p w14:paraId="75B7137D" w14:textId="77777777" w:rsidR="00111862" w:rsidRDefault="00111862" w:rsidP="00ED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352771"/>
      <w:docPartObj>
        <w:docPartGallery w:val="Page Numbers (Bottom of Page)"/>
        <w:docPartUnique/>
      </w:docPartObj>
    </w:sdtPr>
    <w:sdtContent>
      <w:p w14:paraId="3F0EA29E" w14:textId="0F2EED59" w:rsidR="00ED0BD5" w:rsidRDefault="00ED0BD5" w:rsidP="006453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3597D5" w14:textId="77777777" w:rsidR="00ED0BD5" w:rsidRDefault="00ED0BD5" w:rsidP="00ED0B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3962169"/>
      <w:docPartObj>
        <w:docPartGallery w:val="Page Numbers (Bottom of Page)"/>
        <w:docPartUnique/>
      </w:docPartObj>
    </w:sdtPr>
    <w:sdtContent>
      <w:p w14:paraId="46FED924" w14:textId="43072311" w:rsidR="00ED0BD5" w:rsidRDefault="00ED0BD5" w:rsidP="006453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7A543F" w14:textId="77777777" w:rsidR="00ED0BD5" w:rsidRDefault="00ED0BD5" w:rsidP="00ED0B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70A30" w14:textId="77777777" w:rsidR="00111862" w:rsidRDefault="00111862" w:rsidP="00ED0BD5">
      <w:pPr>
        <w:spacing w:after="0" w:line="240" w:lineRule="auto"/>
      </w:pPr>
      <w:r>
        <w:separator/>
      </w:r>
    </w:p>
  </w:footnote>
  <w:footnote w:type="continuationSeparator" w:id="0">
    <w:p w14:paraId="34C8A991" w14:textId="77777777" w:rsidR="00111862" w:rsidRDefault="00111862" w:rsidP="00ED0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6029"/>
    <w:multiLevelType w:val="multilevel"/>
    <w:tmpl w:val="879E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B5CB1"/>
    <w:multiLevelType w:val="hybridMultilevel"/>
    <w:tmpl w:val="8514B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E492A"/>
    <w:multiLevelType w:val="hybridMultilevel"/>
    <w:tmpl w:val="2392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05177"/>
    <w:multiLevelType w:val="hybridMultilevel"/>
    <w:tmpl w:val="1F18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6E5BFA"/>
    <w:multiLevelType w:val="hybridMultilevel"/>
    <w:tmpl w:val="A3B0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7B6E39"/>
    <w:multiLevelType w:val="hybridMultilevel"/>
    <w:tmpl w:val="AA74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10C21"/>
    <w:multiLevelType w:val="hybridMultilevel"/>
    <w:tmpl w:val="24729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41922">
    <w:abstractNumId w:val="1"/>
  </w:num>
  <w:num w:numId="2" w16cid:durableId="1846435698">
    <w:abstractNumId w:val="4"/>
  </w:num>
  <w:num w:numId="3" w16cid:durableId="1601833219">
    <w:abstractNumId w:val="5"/>
  </w:num>
  <w:num w:numId="4" w16cid:durableId="1307856749">
    <w:abstractNumId w:val="3"/>
  </w:num>
  <w:num w:numId="5" w16cid:durableId="315693523">
    <w:abstractNumId w:val="6"/>
  </w:num>
  <w:num w:numId="6" w16cid:durableId="1365710717">
    <w:abstractNumId w:val="2"/>
  </w:num>
  <w:num w:numId="7" w16cid:durableId="95906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iedman, David S.,MD, , MPH">
    <w15:presenceInfo w15:providerId="AD" w15:userId="S::David_Friedman@MEEI.HARVARD.EDU::2bdb4bdc-1fd6-4e9d-902e-58d72eaa39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6C"/>
    <w:rsid w:val="000039CE"/>
    <w:rsid w:val="0001013A"/>
    <w:rsid w:val="00010542"/>
    <w:rsid w:val="00010A51"/>
    <w:rsid w:val="00010AC3"/>
    <w:rsid w:val="00010C71"/>
    <w:rsid w:val="0001127E"/>
    <w:rsid w:val="000141B6"/>
    <w:rsid w:val="000143A9"/>
    <w:rsid w:val="00017EB8"/>
    <w:rsid w:val="000216A7"/>
    <w:rsid w:val="000222DD"/>
    <w:rsid w:val="000222FC"/>
    <w:rsid w:val="00025304"/>
    <w:rsid w:val="000300DC"/>
    <w:rsid w:val="00030A36"/>
    <w:rsid w:val="00030CAF"/>
    <w:rsid w:val="00031BE7"/>
    <w:rsid w:val="000326FD"/>
    <w:rsid w:val="00033B3B"/>
    <w:rsid w:val="00033D32"/>
    <w:rsid w:val="00034908"/>
    <w:rsid w:val="00035A35"/>
    <w:rsid w:val="000372CB"/>
    <w:rsid w:val="00037520"/>
    <w:rsid w:val="00043314"/>
    <w:rsid w:val="0004590F"/>
    <w:rsid w:val="00052AE4"/>
    <w:rsid w:val="00057B82"/>
    <w:rsid w:val="00065CD2"/>
    <w:rsid w:val="00067BE5"/>
    <w:rsid w:val="00071B8C"/>
    <w:rsid w:val="00071D6A"/>
    <w:rsid w:val="00073DF7"/>
    <w:rsid w:val="00074D45"/>
    <w:rsid w:val="0008257C"/>
    <w:rsid w:val="00082AE0"/>
    <w:rsid w:val="00085E78"/>
    <w:rsid w:val="000870E5"/>
    <w:rsid w:val="0009698D"/>
    <w:rsid w:val="000971A4"/>
    <w:rsid w:val="0009742F"/>
    <w:rsid w:val="000A0AA6"/>
    <w:rsid w:val="000A195D"/>
    <w:rsid w:val="000A359F"/>
    <w:rsid w:val="000A35F9"/>
    <w:rsid w:val="000A448F"/>
    <w:rsid w:val="000A624E"/>
    <w:rsid w:val="000A67D6"/>
    <w:rsid w:val="000A79B2"/>
    <w:rsid w:val="000B0A3C"/>
    <w:rsid w:val="000B3DF4"/>
    <w:rsid w:val="000B4065"/>
    <w:rsid w:val="000B46E2"/>
    <w:rsid w:val="000B4C34"/>
    <w:rsid w:val="000B6F85"/>
    <w:rsid w:val="000C2A4B"/>
    <w:rsid w:val="000C6E46"/>
    <w:rsid w:val="000D19D3"/>
    <w:rsid w:val="000D1C6E"/>
    <w:rsid w:val="000D2980"/>
    <w:rsid w:val="000D4427"/>
    <w:rsid w:val="000D5BDA"/>
    <w:rsid w:val="000D700C"/>
    <w:rsid w:val="000D74AB"/>
    <w:rsid w:val="000E2DEE"/>
    <w:rsid w:val="000F0054"/>
    <w:rsid w:val="000F14ED"/>
    <w:rsid w:val="000F25C0"/>
    <w:rsid w:val="000F349D"/>
    <w:rsid w:val="000F5855"/>
    <w:rsid w:val="000F6EF2"/>
    <w:rsid w:val="00100A33"/>
    <w:rsid w:val="0010168C"/>
    <w:rsid w:val="001021E9"/>
    <w:rsid w:val="0010366E"/>
    <w:rsid w:val="00104920"/>
    <w:rsid w:val="00111862"/>
    <w:rsid w:val="0011240C"/>
    <w:rsid w:val="00114C1C"/>
    <w:rsid w:val="00117547"/>
    <w:rsid w:val="00120AAC"/>
    <w:rsid w:val="00123F95"/>
    <w:rsid w:val="00124433"/>
    <w:rsid w:val="0012554D"/>
    <w:rsid w:val="0012596D"/>
    <w:rsid w:val="001270B3"/>
    <w:rsid w:val="00131FF3"/>
    <w:rsid w:val="00134F97"/>
    <w:rsid w:val="0013580A"/>
    <w:rsid w:val="001359EA"/>
    <w:rsid w:val="00137CF0"/>
    <w:rsid w:val="00141356"/>
    <w:rsid w:val="00141B4E"/>
    <w:rsid w:val="00153BE7"/>
    <w:rsid w:val="00154808"/>
    <w:rsid w:val="001573B9"/>
    <w:rsid w:val="00157A70"/>
    <w:rsid w:val="00162BDA"/>
    <w:rsid w:val="00163998"/>
    <w:rsid w:val="00170CFA"/>
    <w:rsid w:val="00170E53"/>
    <w:rsid w:val="0017266E"/>
    <w:rsid w:val="001745BB"/>
    <w:rsid w:val="00180B26"/>
    <w:rsid w:val="00186906"/>
    <w:rsid w:val="0019032B"/>
    <w:rsid w:val="00190BFA"/>
    <w:rsid w:val="00192378"/>
    <w:rsid w:val="00196B80"/>
    <w:rsid w:val="00197B71"/>
    <w:rsid w:val="001A47D0"/>
    <w:rsid w:val="001A7C20"/>
    <w:rsid w:val="001A7C64"/>
    <w:rsid w:val="001A7C73"/>
    <w:rsid w:val="001A7D3F"/>
    <w:rsid w:val="001B1EF6"/>
    <w:rsid w:val="001B2CEC"/>
    <w:rsid w:val="001B36BA"/>
    <w:rsid w:val="001B36FE"/>
    <w:rsid w:val="001B39F1"/>
    <w:rsid w:val="001B6509"/>
    <w:rsid w:val="001B68F8"/>
    <w:rsid w:val="001C0521"/>
    <w:rsid w:val="001C133C"/>
    <w:rsid w:val="001C4861"/>
    <w:rsid w:val="001C4977"/>
    <w:rsid w:val="001C643E"/>
    <w:rsid w:val="001D1E30"/>
    <w:rsid w:val="001D23C0"/>
    <w:rsid w:val="001D347A"/>
    <w:rsid w:val="001D7730"/>
    <w:rsid w:val="001D7891"/>
    <w:rsid w:val="001E046A"/>
    <w:rsid w:val="001E10D2"/>
    <w:rsid w:val="001F5A1C"/>
    <w:rsid w:val="00202655"/>
    <w:rsid w:val="00203D87"/>
    <w:rsid w:val="0020778D"/>
    <w:rsid w:val="00214E0F"/>
    <w:rsid w:val="0022058D"/>
    <w:rsid w:val="00221C8D"/>
    <w:rsid w:val="0022321B"/>
    <w:rsid w:val="00224A3A"/>
    <w:rsid w:val="00227B6F"/>
    <w:rsid w:val="002302C9"/>
    <w:rsid w:val="002326E2"/>
    <w:rsid w:val="0024019B"/>
    <w:rsid w:val="00241549"/>
    <w:rsid w:val="00242BA9"/>
    <w:rsid w:val="00244142"/>
    <w:rsid w:val="0024720F"/>
    <w:rsid w:val="00250E48"/>
    <w:rsid w:val="00250F8D"/>
    <w:rsid w:val="00252FB9"/>
    <w:rsid w:val="00257991"/>
    <w:rsid w:val="002711F0"/>
    <w:rsid w:val="00272A48"/>
    <w:rsid w:val="00272F7F"/>
    <w:rsid w:val="00274CFC"/>
    <w:rsid w:val="00275195"/>
    <w:rsid w:val="00275C7B"/>
    <w:rsid w:val="00276054"/>
    <w:rsid w:val="0028267B"/>
    <w:rsid w:val="002855F9"/>
    <w:rsid w:val="002865A5"/>
    <w:rsid w:val="00295D91"/>
    <w:rsid w:val="00296C6E"/>
    <w:rsid w:val="00297327"/>
    <w:rsid w:val="00297C52"/>
    <w:rsid w:val="002A1710"/>
    <w:rsid w:val="002A1FFE"/>
    <w:rsid w:val="002A29B9"/>
    <w:rsid w:val="002A3622"/>
    <w:rsid w:val="002A38E3"/>
    <w:rsid w:val="002A55F7"/>
    <w:rsid w:val="002A6248"/>
    <w:rsid w:val="002A77D7"/>
    <w:rsid w:val="002B264E"/>
    <w:rsid w:val="002B4492"/>
    <w:rsid w:val="002B6D06"/>
    <w:rsid w:val="002C35AA"/>
    <w:rsid w:val="002C68CA"/>
    <w:rsid w:val="002C7E4F"/>
    <w:rsid w:val="002D0F1D"/>
    <w:rsid w:val="002D1E2A"/>
    <w:rsid w:val="002D57A8"/>
    <w:rsid w:val="002E2EDE"/>
    <w:rsid w:val="002E2FAA"/>
    <w:rsid w:val="002E4E62"/>
    <w:rsid w:val="002F23DF"/>
    <w:rsid w:val="002F573A"/>
    <w:rsid w:val="002F5951"/>
    <w:rsid w:val="002F670F"/>
    <w:rsid w:val="002F6CFB"/>
    <w:rsid w:val="003004B3"/>
    <w:rsid w:val="00300EFF"/>
    <w:rsid w:val="00301C5A"/>
    <w:rsid w:val="003052CF"/>
    <w:rsid w:val="003111FB"/>
    <w:rsid w:val="00311612"/>
    <w:rsid w:val="00312A07"/>
    <w:rsid w:val="0031584E"/>
    <w:rsid w:val="00320EF8"/>
    <w:rsid w:val="00331887"/>
    <w:rsid w:val="00337351"/>
    <w:rsid w:val="00337718"/>
    <w:rsid w:val="003403EC"/>
    <w:rsid w:val="00346224"/>
    <w:rsid w:val="00346F3D"/>
    <w:rsid w:val="0034716F"/>
    <w:rsid w:val="0035032B"/>
    <w:rsid w:val="00351CE7"/>
    <w:rsid w:val="00362FEA"/>
    <w:rsid w:val="00376AB6"/>
    <w:rsid w:val="00380306"/>
    <w:rsid w:val="00382845"/>
    <w:rsid w:val="0038650B"/>
    <w:rsid w:val="00390BC3"/>
    <w:rsid w:val="00392C70"/>
    <w:rsid w:val="003A1922"/>
    <w:rsid w:val="003A7819"/>
    <w:rsid w:val="003A79D0"/>
    <w:rsid w:val="003B2BA3"/>
    <w:rsid w:val="003B4B36"/>
    <w:rsid w:val="003B5515"/>
    <w:rsid w:val="003C10BF"/>
    <w:rsid w:val="003C1CBE"/>
    <w:rsid w:val="003C1DF5"/>
    <w:rsid w:val="003C23F7"/>
    <w:rsid w:val="003C29BF"/>
    <w:rsid w:val="003D4358"/>
    <w:rsid w:val="003D51BC"/>
    <w:rsid w:val="003D5AF9"/>
    <w:rsid w:val="003E057D"/>
    <w:rsid w:val="003E1F1A"/>
    <w:rsid w:val="003F35B3"/>
    <w:rsid w:val="003F569D"/>
    <w:rsid w:val="003F7348"/>
    <w:rsid w:val="004026E3"/>
    <w:rsid w:val="00402E39"/>
    <w:rsid w:val="00404B73"/>
    <w:rsid w:val="00405344"/>
    <w:rsid w:val="004108E9"/>
    <w:rsid w:val="00412FB5"/>
    <w:rsid w:val="00417588"/>
    <w:rsid w:val="004207B2"/>
    <w:rsid w:val="0042188C"/>
    <w:rsid w:val="00422062"/>
    <w:rsid w:val="00426CCC"/>
    <w:rsid w:val="00426F54"/>
    <w:rsid w:val="00430ECD"/>
    <w:rsid w:val="00432E25"/>
    <w:rsid w:val="00433A99"/>
    <w:rsid w:val="0043454B"/>
    <w:rsid w:val="00436243"/>
    <w:rsid w:val="00436761"/>
    <w:rsid w:val="004370F7"/>
    <w:rsid w:val="004474C8"/>
    <w:rsid w:val="004500CB"/>
    <w:rsid w:val="004501DB"/>
    <w:rsid w:val="00451778"/>
    <w:rsid w:val="004521CD"/>
    <w:rsid w:val="0045518D"/>
    <w:rsid w:val="004612CD"/>
    <w:rsid w:val="004644BD"/>
    <w:rsid w:val="004648F2"/>
    <w:rsid w:val="00467BE8"/>
    <w:rsid w:val="00467C08"/>
    <w:rsid w:val="004702CA"/>
    <w:rsid w:val="00470EA3"/>
    <w:rsid w:val="0047123D"/>
    <w:rsid w:val="00473EFA"/>
    <w:rsid w:val="00481BAE"/>
    <w:rsid w:val="00483BD1"/>
    <w:rsid w:val="004846E7"/>
    <w:rsid w:val="00487D20"/>
    <w:rsid w:val="0049091F"/>
    <w:rsid w:val="00491B5E"/>
    <w:rsid w:val="0049235A"/>
    <w:rsid w:val="004940D7"/>
    <w:rsid w:val="00494403"/>
    <w:rsid w:val="004955C8"/>
    <w:rsid w:val="00495C61"/>
    <w:rsid w:val="0049659F"/>
    <w:rsid w:val="004A29E8"/>
    <w:rsid w:val="004A755F"/>
    <w:rsid w:val="004B0C94"/>
    <w:rsid w:val="004B0CB0"/>
    <w:rsid w:val="004B0E2C"/>
    <w:rsid w:val="004B40F9"/>
    <w:rsid w:val="004B745B"/>
    <w:rsid w:val="004C7542"/>
    <w:rsid w:val="004D3275"/>
    <w:rsid w:val="004D3F4D"/>
    <w:rsid w:val="004D42B5"/>
    <w:rsid w:val="004D4F24"/>
    <w:rsid w:val="004D55CA"/>
    <w:rsid w:val="004E22EC"/>
    <w:rsid w:val="004E3253"/>
    <w:rsid w:val="004E3814"/>
    <w:rsid w:val="004E7D30"/>
    <w:rsid w:val="004F07FA"/>
    <w:rsid w:val="004F18F0"/>
    <w:rsid w:val="004F2CC7"/>
    <w:rsid w:val="004F452D"/>
    <w:rsid w:val="004F4FF5"/>
    <w:rsid w:val="004F6CFD"/>
    <w:rsid w:val="004F7650"/>
    <w:rsid w:val="005025F1"/>
    <w:rsid w:val="00503C2D"/>
    <w:rsid w:val="00503E9C"/>
    <w:rsid w:val="005043D6"/>
    <w:rsid w:val="005048FE"/>
    <w:rsid w:val="00511E78"/>
    <w:rsid w:val="0051549A"/>
    <w:rsid w:val="005200C8"/>
    <w:rsid w:val="005221E9"/>
    <w:rsid w:val="00522AA7"/>
    <w:rsid w:val="00527F67"/>
    <w:rsid w:val="00530BB7"/>
    <w:rsid w:val="00531424"/>
    <w:rsid w:val="00531CB1"/>
    <w:rsid w:val="00532563"/>
    <w:rsid w:val="0053360A"/>
    <w:rsid w:val="00534EF3"/>
    <w:rsid w:val="0053565A"/>
    <w:rsid w:val="00536495"/>
    <w:rsid w:val="00537F65"/>
    <w:rsid w:val="00541639"/>
    <w:rsid w:val="00552638"/>
    <w:rsid w:val="00556602"/>
    <w:rsid w:val="00561568"/>
    <w:rsid w:val="00562692"/>
    <w:rsid w:val="005630CC"/>
    <w:rsid w:val="005643E7"/>
    <w:rsid w:val="00566055"/>
    <w:rsid w:val="005671AC"/>
    <w:rsid w:val="005720BB"/>
    <w:rsid w:val="00573A42"/>
    <w:rsid w:val="0057680E"/>
    <w:rsid w:val="005773D5"/>
    <w:rsid w:val="005806C4"/>
    <w:rsid w:val="005832AB"/>
    <w:rsid w:val="005846D7"/>
    <w:rsid w:val="00597892"/>
    <w:rsid w:val="005A146C"/>
    <w:rsid w:val="005A1A18"/>
    <w:rsid w:val="005A2CF7"/>
    <w:rsid w:val="005A5863"/>
    <w:rsid w:val="005B07AA"/>
    <w:rsid w:val="005B0D72"/>
    <w:rsid w:val="005B0F3E"/>
    <w:rsid w:val="005B1CFA"/>
    <w:rsid w:val="005B2855"/>
    <w:rsid w:val="005B4DCA"/>
    <w:rsid w:val="005C05BA"/>
    <w:rsid w:val="005C48DD"/>
    <w:rsid w:val="005C4C43"/>
    <w:rsid w:val="005C7707"/>
    <w:rsid w:val="005C7850"/>
    <w:rsid w:val="005D084E"/>
    <w:rsid w:val="005D2567"/>
    <w:rsid w:val="005D2B2A"/>
    <w:rsid w:val="005D3778"/>
    <w:rsid w:val="005D3F4B"/>
    <w:rsid w:val="005D74A0"/>
    <w:rsid w:val="005D7F75"/>
    <w:rsid w:val="005E0691"/>
    <w:rsid w:val="005E6045"/>
    <w:rsid w:val="005F0F41"/>
    <w:rsid w:val="005F60F9"/>
    <w:rsid w:val="005F722E"/>
    <w:rsid w:val="00601B43"/>
    <w:rsid w:val="00602FE1"/>
    <w:rsid w:val="006104A1"/>
    <w:rsid w:val="00611A70"/>
    <w:rsid w:val="00611C8C"/>
    <w:rsid w:val="00614D65"/>
    <w:rsid w:val="00615CC3"/>
    <w:rsid w:val="006160A2"/>
    <w:rsid w:val="0061623A"/>
    <w:rsid w:val="00621786"/>
    <w:rsid w:val="0062567C"/>
    <w:rsid w:val="006259DF"/>
    <w:rsid w:val="00627271"/>
    <w:rsid w:val="00627719"/>
    <w:rsid w:val="00627857"/>
    <w:rsid w:val="006301D8"/>
    <w:rsid w:val="00632B48"/>
    <w:rsid w:val="006455B0"/>
    <w:rsid w:val="00645F8F"/>
    <w:rsid w:val="006462E8"/>
    <w:rsid w:val="00650385"/>
    <w:rsid w:val="006520B6"/>
    <w:rsid w:val="00652901"/>
    <w:rsid w:val="00653687"/>
    <w:rsid w:val="00662C4A"/>
    <w:rsid w:val="006664BD"/>
    <w:rsid w:val="00666972"/>
    <w:rsid w:val="00667707"/>
    <w:rsid w:val="00672FC8"/>
    <w:rsid w:val="00680DB9"/>
    <w:rsid w:val="00682837"/>
    <w:rsid w:val="006856C6"/>
    <w:rsid w:val="00685871"/>
    <w:rsid w:val="0069089B"/>
    <w:rsid w:val="00690E1E"/>
    <w:rsid w:val="00691F90"/>
    <w:rsid w:val="006948F1"/>
    <w:rsid w:val="006951C2"/>
    <w:rsid w:val="0069669B"/>
    <w:rsid w:val="006978CD"/>
    <w:rsid w:val="006A0A3B"/>
    <w:rsid w:val="006B11EC"/>
    <w:rsid w:val="006C0955"/>
    <w:rsid w:val="006C25B2"/>
    <w:rsid w:val="006C2C6A"/>
    <w:rsid w:val="006C7E54"/>
    <w:rsid w:val="006D0A24"/>
    <w:rsid w:val="006D235E"/>
    <w:rsid w:val="006D3517"/>
    <w:rsid w:val="006D4118"/>
    <w:rsid w:val="006D6762"/>
    <w:rsid w:val="006E1B05"/>
    <w:rsid w:val="006E3DD7"/>
    <w:rsid w:val="006F2210"/>
    <w:rsid w:val="006F22B2"/>
    <w:rsid w:val="006F5525"/>
    <w:rsid w:val="006F5C12"/>
    <w:rsid w:val="006F6228"/>
    <w:rsid w:val="007011BA"/>
    <w:rsid w:val="00702C1F"/>
    <w:rsid w:val="00705292"/>
    <w:rsid w:val="0071398C"/>
    <w:rsid w:val="007158A2"/>
    <w:rsid w:val="0071600C"/>
    <w:rsid w:val="00721DA4"/>
    <w:rsid w:val="00724991"/>
    <w:rsid w:val="00726875"/>
    <w:rsid w:val="007345D3"/>
    <w:rsid w:val="00736DFF"/>
    <w:rsid w:val="00740B49"/>
    <w:rsid w:val="00741EC5"/>
    <w:rsid w:val="007425DC"/>
    <w:rsid w:val="0074461C"/>
    <w:rsid w:val="00747691"/>
    <w:rsid w:val="00747F1E"/>
    <w:rsid w:val="00747F4D"/>
    <w:rsid w:val="00752464"/>
    <w:rsid w:val="00754D3F"/>
    <w:rsid w:val="00755BD4"/>
    <w:rsid w:val="007560C3"/>
    <w:rsid w:val="007579A2"/>
    <w:rsid w:val="007616B9"/>
    <w:rsid w:val="00761A61"/>
    <w:rsid w:val="00763382"/>
    <w:rsid w:val="007640F6"/>
    <w:rsid w:val="0076410A"/>
    <w:rsid w:val="00764378"/>
    <w:rsid w:val="007659BB"/>
    <w:rsid w:val="00766CA6"/>
    <w:rsid w:val="007671B0"/>
    <w:rsid w:val="00767DCF"/>
    <w:rsid w:val="00773718"/>
    <w:rsid w:val="007764EA"/>
    <w:rsid w:val="00777060"/>
    <w:rsid w:val="00777C97"/>
    <w:rsid w:val="00777D4F"/>
    <w:rsid w:val="00780F91"/>
    <w:rsid w:val="00781EF4"/>
    <w:rsid w:val="00783FF6"/>
    <w:rsid w:val="00784113"/>
    <w:rsid w:val="007846D7"/>
    <w:rsid w:val="00785334"/>
    <w:rsid w:val="00785D02"/>
    <w:rsid w:val="00785DEB"/>
    <w:rsid w:val="00790650"/>
    <w:rsid w:val="00791458"/>
    <w:rsid w:val="00792871"/>
    <w:rsid w:val="00793623"/>
    <w:rsid w:val="00795E8E"/>
    <w:rsid w:val="007A042E"/>
    <w:rsid w:val="007A1A61"/>
    <w:rsid w:val="007A5097"/>
    <w:rsid w:val="007A5CFA"/>
    <w:rsid w:val="007B0482"/>
    <w:rsid w:val="007B0AC4"/>
    <w:rsid w:val="007B749D"/>
    <w:rsid w:val="007C026E"/>
    <w:rsid w:val="007C0660"/>
    <w:rsid w:val="007C1CC9"/>
    <w:rsid w:val="007C2525"/>
    <w:rsid w:val="007C3947"/>
    <w:rsid w:val="007C5A64"/>
    <w:rsid w:val="007C65A0"/>
    <w:rsid w:val="007D46D5"/>
    <w:rsid w:val="007D4A1F"/>
    <w:rsid w:val="007D61EF"/>
    <w:rsid w:val="007E060B"/>
    <w:rsid w:val="007E5B94"/>
    <w:rsid w:val="007F0C25"/>
    <w:rsid w:val="007F1802"/>
    <w:rsid w:val="007F2921"/>
    <w:rsid w:val="007F5AAC"/>
    <w:rsid w:val="007F6E03"/>
    <w:rsid w:val="007F7DB3"/>
    <w:rsid w:val="0080094D"/>
    <w:rsid w:val="00804396"/>
    <w:rsid w:val="0080448D"/>
    <w:rsid w:val="00806616"/>
    <w:rsid w:val="00807667"/>
    <w:rsid w:val="008104B5"/>
    <w:rsid w:val="00813D38"/>
    <w:rsid w:val="00816A50"/>
    <w:rsid w:val="00817C1D"/>
    <w:rsid w:val="0082082F"/>
    <w:rsid w:val="00822DB7"/>
    <w:rsid w:val="00823E88"/>
    <w:rsid w:val="00832D8A"/>
    <w:rsid w:val="00840192"/>
    <w:rsid w:val="00840E28"/>
    <w:rsid w:val="00841C65"/>
    <w:rsid w:val="00845DC5"/>
    <w:rsid w:val="00850C57"/>
    <w:rsid w:val="008516E5"/>
    <w:rsid w:val="00853A31"/>
    <w:rsid w:val="00854953"/>
    <w:rsid w:val="0085582C"/>
    <w:rsid w:val="00856335"/>
    <w:rsid w:val="00871321"/>
    <w:rsid w:val="00871F24"/>
    <w:rsid w:val="00872886"/>
    <w:rsid w:val="0087395F"/>
    <w:rsid w:val="00873C46"/>
    <w:rsid w:val="0087553E"/>
    <w:rsid w:val="00876B1E"/>
    <w:rsid w:val="00881D87"/>
    <w:rsid w:val="008878F2"/>
    <w:rsid w:val="0089001E"/>
    <w:rsid w:val="00890177"/>
    <w:rsid w:val="00894290"/>
    <w:rsid w:val="008A14B6"/>
    <w:rsid w:val="008A3A9E"/>
    <w:rsid w:val="008A4ADD"/>
    <w:rsid w:val="008B3C9E"/>
    <w:rsid w:val="008B41B1"/>
    <w:rsid w:val="008B484A"/>
    <w:rsid w:val="008C0209"/>
    <w:rsid w:val="008C7DAF"/>
    <w:rsid w:val="008D06D7"/>
    <w:rsid w:val="008D0EF6"/>
    <w:rsid w:val="008D28CF"/>
    <w:rsid w:val="008D6588"/>
    <w:rsid w:val="008E0833"/>
    <w:rsid w:val="008E148A"/>
    <w:rsid w:val="008E64BE"/>
    <w:rsid w:val="008F1A18"/>
    <w:rsid w:val="008F6699"/>
    <w:rsid w:val="008F6A64"/>
    <w:rsid w:val="0090111B"/>
    <w:rsid w:val="009019E0"/>
    <w:rsid w:val="00901C83"/>
    <w:rsid w:val="00905028"/>
    <w:rsid w:val="0090742B"/>
    <w:rsid w:val="00912F5F"/>
    <w:rsid w:val="00914762"/>
    <w:rsid w:val="00914A2B"/>
    <w:rsid w:val="0091531B"/>
    <w:rsid w:val="00915D3F"/>
    <w:rsid w:val="009165F6"/>
    <w:rsid w:val="009201CB"/>
    <w:rsid w:val="00920DD8"/>
    <w:rsid w:val="009221D1"/>
    <w:rsid w:val="00923176"/>
    <w:rsid w:val="00923EEE"/>
    <w:rsid w:val="00924685"/>
    <w:rsid w:val="00932E3F"/>
    <w:rsid w:val="00933BD0"/>
    <w:rsid w:val="00934A3C"/>
    <w:rsid w:val="00935B0D"/>
    <w:rsid w:val="00937427"/>
    <w:rsid w:val="00940765"/>
    <w:rsid w:val="00942656"/>
    <w:rsid w:val="00956C74"/>
    <w:rsid w:val="00962525"/>
    <w:rsid w:val="00964AB5"/>
    <w:rsid w:val="00965E51"/>
    <w:rsid w:val="00967AE2"/>
    <w:rsid w:val="00967BAC"/>
    <w:rsid w:val="00970D91"/>
    <w:rsid w:val="00972902"/>
    <w:rsid w:val="009766F6"/>
    <w:rsid w:val="00981FC7"/>
    <w:rsid w:val="009832E7"/>
    <w:rsid w:val="00987974"/>
    <w:rsid w:val="009918CA"/>
    <w:rsid w:val="00992E93"/>
    <w:rsid w:val="00995C1B"/>
    <w:rsid w:val="0099775C"/>
    <w:rsid w:val="009A0C92"/>
    <w:rsid w:val="009A2088"/>
    <w:rsid w:val="009A3013"/>
    <w:rsid w:val="009A3584"/>
    <w:rsid w:val="009A4152"/>
    <w:rsid w:val="009A50BB"/>
    <w:rsid w:val="009B5450"/>
    <w:rsid w:val="009B74C0"/>
    <w:rsid w:val="009B77FB"/>
    <w:rsid w:val="009C0052"/>
    <w:rsid w:val="009C219F"/>
    <w:rsid w:val="009C54DC"/>
    <w:rsid w:val="009C67A2"/>
    <w:rsid w:val="009D0F19"/>
    <w:rsid w:val="009D253A"/>
    <w:rsid w:val="009D2A81"/>
    <w:rsid w:val="009D6019"/>
    <w:rsid w:val="009D69B4"/>
    <w:rsid w:val="009E18D6"/>
    <w:rsid w:val="009E3504"/>
    <w:rsid w:val="009E389F"/>
    <w:rsid w:val="009E4675"/>
    <w:rsid w:val="009E6774"/>
    <w:rsid w:val="009E74FC"/>
    <w:rsid w:val="009F5A50"/>
    <w:rsid w:val="009F62B4"/>
    <w:rsid w:val="009F7C99"/>
    <w:rsid w:val="00A01926"/>
    <w:rsid w:val="00A03B48"/>
    <w:rsid w:val="00A05EBA"/>
    <w:rsid w:val="00A06AC0"/>
    <w:rsid w:val="00A107E9"/>
    <w:rsid w:val="00A11EDF"/>
    <w:rsid w:val="00A12F2E"/>
    <w:rsid w:val="00A135DF"/>
    <w:rsid w:val="00A15F7E"/>
    <w:rsid w:val="00A21481"/>
    <w:rsid w:val="00A22A8C"/>
    <w:rsid w:val="00A25334"/>
    <w:rsid w:val="00A337A4"/>
    <w:rsid w:val="00A429CE"/>
    <w:rsid w:val="00A4480A"/>
    <w:rsid w:val="00A4568F"/>
    <w:rsid w:val="00A47552"/>
    <w:rsid w:val="00A5422C"/>
    <w:rsid w:val="00A5435C"/>
    <w:rsid w:val="00A558EA"/>
    <w:rsid w:val="00A60F4B"/>
    <w:rsid w:val="00A60FE7"/>
    <w:rsid w:val="00A611C7"/>
    <w:rsid w:val="00A62A46"/>
    <w:rsid w:val="00A65DC8"/>
    <w:rsid w:val="00A66438"/>
    <w:rsid w:val="00A7042E"/>
    <w:rsid w:val="00A75864"/>
    <w:rsid w:val="00A76A62"/>
    <w:rsid w:val="00A817E4"/>
    <w:rsid w:val="00A83574"/>
    <w:rsid w:val="00A85D05"/>
    <w:rsid w:val="00A85D72"/>
    <w:rsid w:val="00A9692C"/>
    <w:rsid w:val="00A97B35"/>
    <w:rsid w:val="00AA427A"/>
    <w:rsid w:val="00AA57DA"/>
    <w:rsid w:val="00AA61F3"/>
    <w:rsid w:val="00AA6866"/>
    <w:rsid w:val="00AA71BA"/>
    <w:rsid w:val="00AA744D"/>
    <w:rsid w:val="00AB189D"/>
    <w:rsid w:val="00AB2831"/>
    <w:rsid w:val="00AB3149"/>
    <w:rsid w:val="00AB3CCC"/>
    <w:rsid w:val="00AC1A99"/>
    <w:rsid w:val="00AC4547"/>
    <w:rsid w:val="00AC7220"/>
    <w:rsid w:val="00AD2880"/>
    <w:rsid w:val="00AD6A4D"/>
    <w:rsid w:val="00AD6F57"/>
    <w:rsid w:val="00AD72C8"/>
    <w:rsid w:val="00AE0A89"/>
    <w:rsid w:val="00AF0D4A"/>
    <w:rsid w:val="00AF3299"/>
    <w:rsid w:val="00AF3A31"/>
    <w:rsid w:val="00AF3DD1"/>
    <w:rsid w:val="00AF4B7E"/>
    <w:rsid w:val="00AF7CA9"/>
    <w:rsid w:val="00B00B9C"/>
    <w:rsid w:val="00B0183F"/>
    <w:rsid w:val="00B05266"/>
    <w:rsid w:val="00B06CB1"/>
    <w:rsid w:val="00B116E6"/>
    <w:rsid w:val="00B1288C"/>
    <w:rsid w:val="00B12E61"/>
    <w:rsid w:val="00B20E0F"/>
    <w:rsid w:val="00B221C0"/>
    <w:rsid w:val="00B22528"/>
    <w:rsid w:val="00B227C1"/>
    <w:rsid w:val="00B2484D"/>
    <w:rsid w:val="00B270C1"/>
    <w:rsid w:val="00B2727F"/>
    <w:rsid w:val="00B2761A"/>
    <w:rsid w:val="00B309E7"/>
    <w:rsid w:val="00B320C0"/>
    <w:rsid w:val="00B3213A"/>
    <w:rsid w:val="00B3424F"/>
    <w:rsid w:val="00B35581"/>
    <w:rsid w:val="00B358E9"/>
    <w:rsid w:val="00B36AA9"/>
    <w:rsid w:val="00B37C3F"/>
    <w:rsid w:val="00B41241"/>
    <w:rsid w:val="00B46FF3"/>
    <w:rsid w:val="00B56957"/>
    <w:rsid w:val="00B70983"/>
    <w:rsid w:val="00B7350F"/>
    <w:rsid w:val="00B736C3"/>
    <w:rsid w:val="00B737CD"/>
    <w:rsid w:val="00B768B7"/>
    <w:rsid w:val="00B82825"/>
    <w:rsid w:val="00B83E76"/>
    <w:rsid w:val="00B92A6C"/>
    <w:rsid w:val="00B93987"/>
    <w:rsid w:val="00B940F2"/>
    <w:rsid w:val="00B971D2"/>
    <w:rsid w:val="00B979E3"/>
    <w:rsid w:val="00BA6250"/>
    <w:rsid w:val="00BB1F1F"/>
    <w:rsid w:val="00BB2014"/>
    <w:rsid w:val="00BB51B2"/>
    <w:rsid w:val="00BB637E"/>
    <w:rsid w:val="00BB6677"/>
    <w:rsid w:val="00BC0813"/>
    <w:rsid w:val="00BD30B3"/>
    <w:rsid w:val="00BD329B"/>
    <w:rsid w:val="00BD32F0"/>
    <w:rsid w:val="00BE18FB"/>
    <w:rsid w:val="00BE2D3E"/>
    <w:rsid w:val="00BE4647"/>
    <w:rsid w:val="00BE75FD"/>
    <w:rsid w:val="00BF0E0A"/>
    <w:rsid w:val="00BF1B64"/>
    <w:rsid w:val="00BF48E6"/>
    <w:rsid w:val="00BF700C"/>
    <w:rsid w:val="00BF779F"/>
    <w:rsid w:val="00C002BE"/>
    <w:rsid w:val="00C012BD"/>
    <w:rsid w:val="00C01C9A"/>
    <w:rsid w:val="00C02256"/>
    <w:rsid w:val="00C05117"/>
    <w:rsid w:val="00C05FC3"/>
    <w:rsid w:val="00C06EBD"/>
    <w:rsid w:val="00C11E68"/>
    <w:rsid w:val="00C12D4D"/>
    <w:rsid w:val="00C163E9"/>
    <w:rsid w:val="00C218B5"/>
    <w:rsid w:val="00C22429"/>
    <w:rsid w:val="00C23875"/>
    <w:rsid w:val="00C23D05"/>
    <w:rsid w:val="00C241DB"/>
    <w:rsid w:val="00C252DC"/>
    <w:rsid w:val="00C275FD"/>
    <w:rsid w:val="00C32C14"/>
    <w:rsid w:val="00C34119"/>
    <w:rsid w:val="00C368FA"/>
    <w:rsid w:val="00C4346C"/>
    <w:rsid w:val="00C44C86"/>
    <w:rsid w:val="00C44D29"/>
    <w:rsid w:val="00C44F0E"/>
    <w:rsid w:val="00C510DB"/>
    <w:rsid w:val="00C53EB1"/>
    <w:rsid w:val="00C552D1"/>
    <w:rsid w:val="00C55A98"/>
    <w:rsid w:val="00C56D5D"/>
    <w:rsid w:val="00C57055"/>
    <w:rsid w:val="00C57CCA"/>
    <w:rsid w:val="00C65262"/>
    <w:rsid w:val="00C70C21"/>
    <w:rsid w:val="00C73830"/>
    <w:rsid w:val="00C81E35"/>
    <w:rsid w:val="00C86548"/>
    <w:rsid w:val="00C91496"/>
    <w:rsid w:val="00C93CDA"/>
    <w:rsid w:val="00C94D89"/>
    <w:rsid w:val="00C972E7"/>
    <w:rsid w:val="00C9767D"/>
    <w:rsid w:val="00CA5E5C"/>
    <w:rsid w:val="00CA77E4"/>
    <w:rsid w:val="00CB0A63"/>
    <w:rsid w:val="00CB15D6"/>
    <w:rsid w:val="00CB1EA6"/>
    <w:rsid w:val="00CB51D1"/>
    <w:rsid w:val="00CB6EF0"/>
    <w:rsid w:val="00CC66AF"/>
    <w:rsid w:val="00CC689D"/>
    <w:rsid w:val="00CD158E"/>
    <w:rsid w:val="00CD4727"/>
    <w:rsid w:val="00CD507D"/>
    <w:rsid w:val="00CD6663"/>
    <w:rsid w:val="00CE0888"/>
    <w:rsid w:val="00CE2906"/>
    <w:rsid w:val="00CF024D"/>
    <w:rsid w:val="00CF0276"/>
    <w:rsid w:val="00CF0A72"/>
    <w:rsid w:val="00CF2136"/>
    <w:rsid w:val="00CF2B98"/>
    <w:rsid w:val="00CF30A3"/>
    <w:rsid w:val="00CF37C7"/>
    <w:rsid w:val="00CF4E10"/>
    <w:rsid w:val="00CF606F"/>
    <w:rsid w:val="00CF6B71"/>
    <w:rsid w:val="00CF6DF8"/>
    <w:rsid w:val="00D0159E"/>
    <w:rsid w:val="00D02A5F"/>
    <w:rsid w:val="00D0311F"/>
    <w:rsid w:val="00D11DC8"/>
    <w:rsid w:val="00D13282"/>
    <w:rsid w:val="00D21960"/>
    <w:rsid w:val="00D26BDC"/>
    <w:rsid w:val="00D32813"/>
    <w:rsid w:val="00D3325A"/>
    <w:rsid w:val="00D34BBE"/>
    <w:rsid w:val="00D43462"/>
    <w:rsid w:val="00D47EA0"/>
    <w:rsid w:val="00D50683"/>
    <w:rsid w:val="00D51189"/>
    <w:rsid w:val="00D5192D"/>
    <w:rsid w:val="00D535E9"/>
    <w:rsid w:val="00D5365F"/>
    <w:rsid w:val="00D53B4D"/>
    <w:rsid w:val="00D54627"/>
    <w:rsid w:val="00D54649"/>
    <w:rsid w:val="00D55919"/>
    <w:rsid w:val="00D55FA1"/>
    <w:rsid w:val="00D564B3"/>
    <w:rsid w:val="00D56FEC"/>
    <w:rsid w:val="00D5718A"/>
    <w:rsid w:val="00D60CEC"/>
    <w:rsid w:val="00D62D83"/>
    <w:rsid w:val="00D62E04"/>
    <w:rsid w:val="00D62E91"/>
    <w:rsid w:val="00D63B68"/>
    <w:rsid w:val="00D70BEE"/>
    <w:rsid w:val="00D7101E"/>
    <w:rsid w:val="00D73598"/>
    <w:rsid w:val="00D74948"/>
    <w:rsid w:val="00D80E06"/>
    <w:rsid w:val="00D83472"/>
    <w:rsid w:val="00D86421"/>
    <w:rsid w:val="00D959DA"/>
    <w:rsid w:val="00D97D6C"/>
    <w:rsid w:val="00DA04C9"/>
    <w:rsid w:val="00DA1371"/>
    <w:rsid w:val="00DA3561"/>
    <w:rsid w:val="00DA58E5"/>
    <w:rsid w:val="00DA6720"/>
    <w:rsid w:val="00DB2F30"/>
    <w:rsid w:val="00DB465B"/>
    <w:rsid w:val="00DB7E8A"/>
    <w:rsid w:val="00DC1219"/>
    <w:rsid w:val="00DC1FA4"/>
    <w:rsid w:val="00DC2D38"/>
    <w:rsid w:val="00DC46D5"/>
    <w:rsid w:val="00DC6D33"/>
    <w:rsid w:val="00DC7F15"/>
    <w:rsid w:val="00DD1079"/>
    <w:rsid w:val="00DD26EB"/>
    <w:rsid w:val="00DD31AF"/>
    <w:rsid w:val="00DD56BC"/>
    <w:rsid w:val="00DE009B"/>
    <w:rsid w:val="00DE05A1"/>
    <w:rsid w:val="00DE2436"/>
    <w:rsid w:val="00DE609A"/>
    <w:rsid w:val="00DE74BD"/>
    <w:rsid w:val="00DF6E79"/>
    <w:rsid w:val="00DF6F52"/>
    <w:rsid w:val="00DF7A1F"/>
    <w:rsid w:val="00E00210"/>
    <w:rsid w:val="00E003B0"/>
    <w:rsid w:val="00E00BC2"/>
    <w:rsid w:val="00E0315C"/>
    <w:rsid w:val="00E03483"/>
    <w:rsid w:val="00E051ED"/>
    <w:rsid w:val="00E05DBF"/>
    <w:rsid w:val="00E140BF"/>
    <w:rsid w:val="00E16DF0"/>
    <w:rsid w:val="00E173E4"/>
    <w:rsid w:val="00E21246"/>
    <w:rsid w:val="00E219CE"/>
    <w:rsid w:val="00E2364F"/>
    <w:rsid w:val="00E24070"/>
    <w:rsid w:val="00E24406"/>
    <w:rsid w:val="00E25AA5"/>
    <w:rsid w:val="00E27A7B"/>
    <w:rsid w:val="00E30DE4"/>
    <w:rsid w:val="00E32A48"/>
    <w:rsid w:val="00E32EA2"/>
    <w:rsid w:val="00E3310B"/>
    <w:rsid w:val="00E33340"/>
    <w:rsid w:val="00E33E58"/>
    <w:rsid w:val="00E4013B"/>
    <w:rsid w:val="00E42782"/>
    <w:rsid w:val="00E5095E"/>
    <w:rsid w:val="00E5370F"/>
    <w:rsid w:val="00E6094A"/>
    <w:rsid w:val="00E62E6B"/>
    <w:rsid w:val="00E64E63"/>
    <w:rsid w:val="00E66A32"/>
    <w:rsid w:val="00E67D72"/>
    <w:rsid w:val="00E67F20"/>
    <w:rsid w:val="00E72873"/>
    <w:rsid w:val="00E76231"/>
    <w:rsid w:val="00E76F71"/>
    <w:rsid w:val="00E84AFB"/>
    <w:rsid w:val="00E85428"/>
    <w:rsid w:val="00E8665C"/>
    <w:rsid w:val="00E90520"/>
    <w:rsid w:val="00E95FC9"/>
    <w:rsid w:val="00E961F4"/>
    <w:rsid w:val="00E97B17"/>
    <w:rsid w:val="00EA2303"/>
    <w:rsid w:val="00EB01D9"/>
    <w:rsid w:val="00EB1260"/>
    <w:rsid w:val="00EB216B"/>
    <w:rsid w:val="00EB2581"/>
    <w:rsid w:val="00EB3D05"/>
    <w:rsid w:val="00EB62D6"/>
    <w:rsid w:val="00EB6622"/>
    <w:rsid w:val="00EB6DBE"/>
    <w:rsid w:val="00ED038D"/>
    <w:rsid w:val="00ED0569"/>
    <w:rsid w:val="00ED0BD5"/>
    <w:rsid w:val="00ED1080"/>
    <w:rsid w:val="00ED1E7F"/>
    <w:rsid w:val="00ED1FC0"/>
    <w:rsid w:val="00ED57D3"/>
    <w:rsid w:val="00ED7203"/>
    <w:rsid w:val="00ED78BC"/>
    <w:rsid w:val="00EE443E"/>
    <w:rsid w:val="00EE50DD"/>
    <w:rsid w:val="00EE61AA"/>
    <w:rsid w:val="00EE723F"/>
    <w:rsid w:val="00EF1152"/>
    <w:rsid w:val="00F02A23"/>
    <w:rsid w:val="00F02B30"/>
    <w:rsid w:val="00F02E01"/>
    <w:rsid w:val="00F05536"/>
    <w:rsid w:val="00F05E2B"/>
    <w:rsid w:val="00F10297"/>
    <w:rsid w:val="00F11B4B"/>
    <w:rsid w:val="00F17076"/>
    <w:rsid w:val="00F17572"/>
    <w:rsid w:val="00F21114"/>
    <w:rsid w:val="00F23526"/>
    <w:rsid w:val="00F27F68"/>
    <w:rsid w:val="00F30FD3"/>
    <w:rsid w:val="00F31D41"/>
    <w:rsid w:val="00F35E94"/>
    <w:rsid w:val="00F37273"/>
    <w:rsid w:val="00F417CA"/>
    <w:rsid w:val="00F42250"/>
    <w:rsid w:val="00F43ABF"/>
    <w:rsid w:val="00F44AC1"/>
    <w:rsid w:val="00F54F2B"/>
    <w:rsid w:val="00F57AEE"/>
    <w:rsid w:val="00F60BE6"/>
    <w:rsid w:val="00F60C48"/>
    <w:rsid w:val="00F616BA"/>
    <w:rsid w:val="00F62E48"/>
    <w:rsid w:val="00F6360F"/>
    <w:rsid w:val="00F64B7B"/>
    <w:rsid w:val="00F653CE"/>
    <w:rsid w:val="00F67723"/>
    <w:rsid w:val="00F71E16"/>
    <w:rsid w:val="00F7252F"/>
    <w:rsid w:val="00F75114"/>
    <w:rsid w:val="00F8013A"/>
    <w:rsid w:val="00F838E5"/>
    <w:rsid w:val="00F841F0"/>
    <w:rsid w:val="00F84AE4"/>
    <w:rsid w:val="00F84E76"/>
    <w:rsid w:val="00F8774A"/>
    <w:rsid w:val="00F9176E"/>
    <w:rsid w:val="00F91AFC"/>
    <w:rsid w:val="00F93085"/>
    <w:rsid w:val="00F95E69"/>
    <w:rsid w:val="00FA4CF6"/>
    <w:rsid w:val="00FB06D2"/>
    <w:rsid w:val="00FB07CB"/>
    <w:rsid w:val="00FB16C1"/>
    <w:rsid w:val="00FB2D78"/>
    <w:rsid w:val="00FB42BF"/>
    <w:rsid w:val="00FB4BC8"/>
    <w:rsid w:val="00FC2E3F"/>
    <w:rsid w:val="00FC6887"/>
    <w:rsid w:val="00FC7F1C"/>
    <w:rsid w:val="00FD14E5"/>
    <w:rsid w:val="00FD3AB1"/>
    <w:rsid w:val="00FD47D1"/>
    <w:rsid w:val="00FD62CA"/>
    <w:rsid w:val="00FE091E"/>
    <w:rsid w:val="00FE09E6"/>
    <w:rsid w:val="00FE6FAD"/>
    <w:rsid w:val="00FE7348"/>
    <w:rsid w:val="00FF16DF"/>
    <w:rsid w:val="00FF445A"/>
    <w:rsid w:val="00FF456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4E38"/>
  <w15:chartTrackingRefBased/>
  <w15:docId w15:val="{3099E495-33A7-4A40-B2E8-DCDD346B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C1C"/>
  </w:style>
  <w:style w:type="paragraph" w:styleId="Heading1">
    <w:name w:val="heading 1"/>
    <w:basedOn w:val="Normal"/>
    <w:next w:val="Normal"/>
    <w:link w:val="Heading1Char"/>
    <w:uiPriority w:val="9"/>
    <w:qFormat/>
    <w:rsid w:val="00D97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6C"/>
    <w:rPr>
      <w:rFonts w:eastAsiaTheme="majorEastAsia" w:cstheme="majorBidi"/>
      <w:color w:val="272727" w:themeColor="text1" w:themeTint="D8"/>
    </w:rPr>
  </w:style>
  <w:style w:type="paragraph" w:styleId="Title">
    <w:name w:val="Title"/>
    <w:basedOn w:val="Normal"/>
    <w:next w:val="Normal"/>
    <w:link w:val="TitleChar"/>
    <w:uiPriority w:val="10"/>
    <w:qFormat/>
    <w:rsid w:val="00D97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6C"/>
    <w:pPr>
      <w:spacing w:before="160"/>
      <w:jc w:val="center"/>
    </w:pPr>
    <w:rPr>
      <w:i/>
      <w:iCs/>
      <w:color w:val="404040" w:themeColor="text1" w:themeTint="BF"/>
    </w:rPr>
  </w:style>
  <w:style w:type="character" w:customStyle="1" w:styleId="QuoteChar">
    <w:name w:val="Quote Char"/>
    <w:basedOn w:val="DefaultParagraphFont"/>
    <w:link w:val="Quote"/>
    <w:uiPriority w:val="29"/>
    <w:rsid w:val="00D97D6C"/>
    <w:rPr>
      <w:i/>
      <w:iCs/>
      <w:color w:val="404040" w:themeColor="text1" w:themeTint="BF"/>
    </w:rPr>
  </w:style>
  <w:style w:type="paragraph" w:styleId="ListParagraph">
    <w:name w:val="List Paragraph"/>
    <w:basedOn w:val="Normal"/>
    <w:uiPriority w:val="34"/>
    <w:qFormat/>
    <w:rsid w:val="00D97D6C"/>
    <w:pPr>
      <w:ind w:left="720"/>
      <w:contextualSpacing/>
    </w:pPr>
  </w:style>
  <w:style w:type="character" w:styleId="IntenseEmphasis">
    <w:name w:val="Intense Emphasis"/>
    <w:basedOn w:val="DefaultParagraphFont"/>
    <w:uiPriority w:val="21"/>
    <w:qFormat/>
    <w:rsid w:val="00D97D6C"/>
    <w:rPr>
      <w:i/>
      <w:iCs/>
      <w:color w:val="0F4761" w:themeColor="accent1" w:themeShade="BF"/>
    </w:rPr>
  </w:style>
  <w:style w:type="paragraph" w:styleId="IntenseQuote">
    <w:name w:val="Intense Quote"/>
    <w:basedOn w:val="Normal"/>
    <w:next w:val="Normal"/>
    <w:link w:val="IntenseQuoteChar"/>
    <w:uiPriority w:val="30"/>
    <w:qFormat/>
    <w:rsid w:val="00D97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6C"/>
    <w:rPr>
      <w:i/>
      <w:iCs/>
      <w:color w:val="0F4761" w:themeColor="accent1" w:themeShade="BF"/>
    </w:rPr>
  </w:style>
  <w:style w:type="character" w:styleId="IntenseReference">
    <w:name w:val="Intense Reference"/>
    <w:basedOn w:val="DefaultParagraphFont"/>
    <w:uiPriority w:val="32"/>
    <w:qFormat/>
    <w:rsid w:val="00D97D6C"/>
    <w:rPr>
      <w:b/>
      <w:bCs/>
      <w:smallCaps/>
      <w:color w:val="0F4761" w:themeColor="accent1" w:themeShade="BF"/>
      <w:spacing w:val="5"/>
    </w:rPr>
  </w:style>
  <w:style w:type="paragraph" w:styleId="NormalWeb">
    <w:name w:val="Normal (Web)"/>
    <w:basedOn w:val="Normal"/>
    <w:uiPriority w:val="99"/>
    <w:unhideWhenUsed/>
    <w:rsid w:val="00D97D6C"/>
    <w:pPr>
      <w:spacing w:after="0" w:line="240" w:lineRule="auto"/>
    </w:pPr>
    <w:rPr>
      <w:rFonts w:ascii="Times New Roman" w:hAnsi="Times New Roman" w:cs="Times New Roman"/>
      <w:lang w:val="en-US"/>
    </w:rPr>
  </w:style>
  <w:style w:type="character" w:styleId="Hyperlink">
    <w:name w:val="Hyperlink"/>
    <w:basedOn w:val="DefaultParagraphFont"/>
    <w:uiPriority w:val="99"/>
    <w:unhideWhenUsed/>
    <w:rsid w:val="00D97D6C"/>
    <w:rPr>
      <w:color w:val="0000FF"/>
      <w:u w:val="single"/>
    </w:rPr>
  </w:style>
  <w:style w:type="paragraph" w:customStyle="1" w:styleId="p1">
    <w:name w:val="p1"/>
    <w:basedOn w:val="Normal"/>
    <w:rsid w:val="00D97D6C"/>
    <w:pPr>
      <w:spacing w:after="0" w:line="240" w:lineRule="auto"/>
    </w:pPr>
    <w:rPr>
      <w:rFonts w:ascii="Helvetica" w:eastAsia="Times New Roman" w:hAnsi="Helvetica" w:cs="Times New Roman"/>
      <w:color w:val="000000"/>
      <w:kern w:val="0"/>
      <w:sz w:val="16"/>
      <w:szCs w:val="16"/>
      <w14:ligatures w14:val="none"/>
    </w:rPr>
  </w:style>
  <w:style w:type="paragraph" w:customStyle="1" w:styleId="mb-2">
    <w:name w:val="mb-2"/>
    <w:basedOn w:val="Normal"/>
    <w:rsid w:val="00D97D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D97D6C"/>
  </w:style>
  <w:style w:type="character" w:customStyle="1" w:styleId="mord">
    <w:name w:val="mord"/>
    <w:basedOn w:val="DefaultParagraphFont"/>
    <w:rsid w:val="00D97D6C"/>
  </w:style>
  <w:style w:type="character" w:customStyle="1" w:styleId="mrel">
    <w:name w:val="mrel"/>
    <w:basedOn w:val="DefaultParagraphFont"/>
    <w:rsid w:val="00D97D6C"/>
  </w:style>
  <w:style w:type="paragraph" w:styleId="CommentText">
    <w:name w:val="annotation text"/>
    <w:basedOn w:val="Normal"/>
    <w:link w:val="CommentTextChar"/>
    <w:uiPriority w:val="99"/>
    <w:unhideWhenUsed/>
    <w:rsid w:val="00D97D6C"/>
    <w:pPr>
      <w:spacing w:after="0" w:line="240" w:lineRule="auto"/>
    </w:pPr>
    <w:rPr>
      <w:sz w:val="20"/>
      <w:szCs w:val="20"/>
      <w:lang w:val="en-US"/>
    </w:rPr>
  </w:style>
  <w:style w:type="character" w:customStyle="1" w:styleId="CommentTextChar">
    <w:name w:val="Comment Text Char"/>
    <w:basedOn w:val="DefaultParagraphFont"/>
    <w:link w:val="CommentText"/>
    <w:uiPriority w:val="99"/>
    <w:rsid w:val="00D97D6C"/>
    <w:rPr>
      <w:sz w:val="20"/>
      <w:szCs w:val="20"/>
      <w:lang w:val="en-US"/>
    </w:rPr>
  </w:style>
  <w:style w:type="paragraph" w:styleId="Footer">
    <w:name w:val="footer"/>
    <w:basedOn w:val="Normal"/>
    <w:link w:val="FooterChar"/>
    <w:uiPriority w:val="99"/>
    <w:unhideWhenUsed/>
    <w:rsid w:val="00D9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D6C"/>
  </w:style>
  <w:style w:type="character" w:styleId="PageNumber">
    <w:name w:val="page number"/>
    <w:basedOn w:val="DefaultParagraphFont"/>
    <w:uiPriority w:val="99"/>
    <w:semiHidden/>
    <w:unhideWhenUsed/>
    <w:rsid w:val="00D97D6C"/>
  </w:style>
  <w:style w:type="character" w:styleId="Strong">
    <w:name w:val="Strong"/>
    <w:basedOn w:val="DefaultParagraphFont"/>
    <w:uiPriority w:val="22"/>
    <w:qFormat/>
    <w:rsid w:val="00D97D6C"/>
    <w:rPr>
      <w:b/>
      <w:bCs/>
    </w:rPr>
  </w:style>
  <w:style w:type="character" w:customStyle="1" w:styleId="apple-converted-space">
    <w:name w:val="apple-converted-space"/>
    <w:basedOn w:val="DefaultParagraphFont"/>
    <w:rsid w:val="00D97D6C"/>
  </w:style>
  <w:style w:type="character" w:styleId="Emphasis">
    <w:name w:val="Emphasis"/>
    <w:basedOn w:val="DefaultParagraphFont"/>
    <w:uiPriority w:val="20"/>
    <w:qFormat/>
    <w:rsid w:val="00D97D6C"/>
    <w:rPr>
      <w:i/>
      <w:iCs/>
    </w:rPr>
  </w:style>
  <w:style w:type="paragraph" w:styleId="Bibliography">
    <w:name w:val="Bibliography"/>
    <w:basedOn w:val="Normal"/>
    <w:next w:val="Normal"/>
    <w:uiPriority w:val="37"/>
    <w:unhideWhenUsed/>
    <w:rsid w:val="00D97D6C"/>
    <w:pPr>
      <w:tabs>
        <w:tab w:val="left" w:pos="380"/>
      </w:tabs>
      <w:spacing w:after="240" w:line="240" w:lineRule="auto"/>
      <w:ind w:left="384" w:hanging="384"/>
    </w:pPr>
  </w:style>
  <w:style w:type="paragraph" w:styleId="Revision">
    <w:name w:val="Revision"/>
    <w:hidden/>
    <w:uiPriority w:val="99"/>
    <w:semiHidden/>
    <w:rsid w:val="00F37273"/>
    <w:pPr>
      <w:spacing w:after="0" w:line="240" w:lineRule="auto"/>
    </w:pPr>
  </w:style>
  <w:style w:type="character" w:styleId="CommentReference">
    <w:name w:val="annotation reference"/>
    <w:basedOn w:val="DefaultParagraphFont"/>
    <w:uiPriority w:val="99"/>
    <w:semiHidden/>
    <w:unhideWhenUsed/>
    <w:rsid w:val="00362FEA"/>
    <w:rPr>
      <w:sz w:val="16"/>
      <w:szCs w:val="16"/>
    </w:rPr>
  </w:style>
  <w:style w:type="paragraph" w:styleId="CommentSubject">
    <w:name w:val="annotation subject"/>
    <w:basedOn w:val="CommentText"/>
    <w:next w:val="CommentText"/>
    <w:link w:val="CommentSubjectChar"/>
    <w:uiPriority w:val="99"/>
    <w:semiHidden/>
    <w:unhideWhenUsed/>
    <w:rsid w:val="00362FEA"/>
    <w:pPr>
      <w:spacing w:after="160"/>
    </w:pPr>
    <w:rPr>
      <w:b/>
      <w:bCs/>
    </w:rPr>
  </w:style>
  <w:style w:type="character" w:customStyle="1" w:styleId="CommentSubjectChar">
    <w:name w:val="Comment Subject Char"/>
    <w:basedOn w:val="CommentTextChar"/>
    <w:link w:val="CommentSubject"/>
    <w:uiPriority w:val="99"/>
    <w:semiHidden/>
    <w:rsid w:val="00362FEA"/>
    <w:rPr>
      <w:b/>
      <w:bCs/>
      <w:sz w:val="20"/>
      <w:szCs w:val="20"/>
      <w:lang w:val="en-US"/>
    </w:rPr>
  </w:style>
  <w:style w:type="character" w:styleId="UnresolvedMention">
    <w:name w:val="Unresolved Mention"/>
    <w:basedOn w:val="DefaultParagraphFont"/>
    <w:uiPriority w:val="99"/>
    <w:semiHidden/>
    <w:unhideWhenUsed/>
    <w:rsid w:val="003B2BA3"/>
    <w:rPr>
      <w:color w:val="605E5C"/>
      <w:shd w:val="clear" w:color="auto" w:fill="E1DFDD"/>
    </w:rPr>
  </w:style>
  <w:style w:type="character" w:styleId="FollowedHyperlink">
    <w:name w:val="FollowedHyperlink"/>
    <w:basedOn w:val="DefaultParagraphFont"/>
    <w:uiPriority w:val="99"/>
    <w:semiHidden/>
    <w:unhideWhenUsed/>
    <w:rsid w:val="006664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sinzunza/pop_tag" TargetMode="External"/><Relationship Id="rId13" Type="http://schemas.openxmlformats.org/officeDocument/2006/relationships/hyperlink" Target="https://github.com/andresinzunza/pop_ta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vid_friedman@meei.harvard.edu" TargetMode="Externa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46703</Words>
  <Characters>266213</Characters>
  <Application>Microsoft Office Word</Application>
  <DocSecurity>0</DocSecurity>
  <Lines>2218</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Inzunza Martin Del Campo, Andres</dc:creator>
  <cp:keywords/>
  <dc:description/>
  <cp:lastModifiedBy>Inzunza Martin Del Campo, Andres</cp:lastModifiedBy>
  <cp:revision>3</cp:revision>
  <dcterms:created xsi:type="dcterms:W3CDTF">2026-01-14T17:01:00Z</dcterms:created>
  <dcterms:modified xsi:type="dcterms:W3CDTF">2026-01-14T19:52:00Z</dcterms:modified>
</cp:coreProperties>
</file>