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Project Report: Rent-to-Own Market Feasibility Analysis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Prepared by:</w:t>
      </w:r>
      <w:r w:rsidDel="00000000" w:rsidR="00000000" w:rsidRPr="00000000">
        <w:rPr>
          <w:rtl w:val="0"/>
        </w:rPr>
        <w:t xml:space="preserve"> Andre Amorim Siopa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April 22, 2026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To identify high-value, accessible real estate markets for the implementation of a corporate Rent-to-Own incentive program, specifically comparing luxury and entry-level markets.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Executive Summary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This analysis evaluates the financial feasibility of providing tenant credits for homeownership. By comparing market data across various localities, the study concludes that </w:t>
      </w:r>
      <w:r w:rsidDel="00000000" w:rsidR="00000000" w:rsidRPr="00000000">
        <w:rPr>
          <w:b w:val="1"/>
          <w:bCs w:val="1"/>
          <w:rtl w:val="0"/>
        </w:rPr>
        <w:t xml:space="preserve">Waterbury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Bridgeport</w:t>
      </w:r>
      <w:r w:rsidDel="00000000" w:rsidR="00000000" w:rsidRPr="00000000">
        <w:rPr>
          <w:rtl w:val="0"/>
        </w:rPr>
        <w:t xml:space="preserve"> offer the highest social and financial utility for a Rent-to-Own program, as corporate incentives cover a significantly larger portion of the total acquisition cost compared to luxury markets like Greenwich.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Methodology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The project followed a standard data lifecycle consisting of three major phases: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Phase 1: Data Sanitization &amp; Pre-processing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Raw data was cleaned in Google Sheets to ensure statistical integrity. Key actions included: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Categorical Alignment:</w:t>
      </w:r>
      <w:r w:rsidDel="00000000" w:rsidR="00000000" w:rsidRPr="00000000">
        <w:rPr>
          <w:rtl w:val="0"/>
        </w:rPr>
        <w:t xml:space="preserve"> Resolved missing property labels using existing residential descriptors.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Statistical Imputation:</w:t>
      </w:r>
      <w:r w:rsidDel="00000000" w:rsidR="00000000" w:rsidRPr="00000000">
        <w:rPr>
          <w:rtl w:val="0"/>
        </w:rPr>
        <w:t xml:space="preserve"> Filled missing square footage (carpet area) using the median values relative to property types to prevent skewing the "Price per Square Foot" metrics.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Validation:</w:t>
      </w:r>
      <w:r w:rsidDel="00000000" w:rsidR="00000000" w:rsidRPr="00000000">
        <w:rPr>
          <w:rtl w:val="0"/>
        </w:rPr>
        <w:t xml:space="preserve"> Used actual Sale Prices to backfill missing estimated values, ensuring 100% data density for pricing analysis.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Phase 2: Technical Analysis (Python/Pandas)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Data was processed using Python to generate advanced business metrics: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Price_Per_SqFt:</w:t>
      </w:r>
      <w:r w:rsidDel="00000000" w:rsidR="00000000" w:rsidRPr="00000000">
        <w:rPr>
          <w:rtl w:val="0"/>
        </w:rPr>
        <w:t xml:space="preserve"> To measure land value density.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Price_Per_Room:</w:t>
      </w:r>
      <w:r w:rsidDel="00000000" w:rsidR="00000000" w:rsidRPr="00000000">
        <w:rPr>
          <w:rtl w:val="0"/>
        </w:rPr>
        <w:t xml:space="preserve"> To determine the "cost of utility" for families.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Down_Payment_Credit:</w:t>
      </w:r>
      <w:r w:rsidDel="00000000" w:rsidR="00000000" w:rsidRPr="00000000">
        <w:rPr>
          <w:rtl w:val="0"/>
        </w:rPr>
        <w:t xml:space="preserve"> To simulate corporate incentives at 2.5% and 5% levels.</w:t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Key Findings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Metric</w:t>
            </w:r>
          </w:p>
        </w:tc>
        <w:tc>
          <w:tcPr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Greenwich (Luxury)</w:t>
            </w:r>
          </w:p>
        </w:tc>
        <w:tc>
          <w:tcPr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Waterbury (Entry-Level)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Average Sale Price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$2,254,461.95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$107,694.18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Price per Sq. Ft.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$2,239.74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$96.89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5% Tenant Credit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$56,361.55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$5,384.71</w:t>
            </w:r>
          </w:p>
        </w:tc>
      </w:tr>
    </w:tbl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Conclusion &amp; Recommendations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analysis reveals a </w:t>
      </w:r>
      <w:r w:rsidDel="00000000" w:rsidR="00000000" w:rsidRPr="00000000">
        <w:rPr>
          <w:b w:val="1"/>
          <w:bCs w:val="1"/>
          <w:rtl w:val="0"/>
        </w:rPr>
        <w:t xml:space="preserve">23x price-per-square-foot disparity</w:t>
      </w:r>
      <w:r w:rsidDel="00000000" w:rsidR="00000000" w:rsidRPr="00000000">
        <w:rPr>
          <w:rtl w:val="0"/>
        </w:rPr>
        <w:t xml:space="preserve"> between the top and bottom markets. While the absolute dollar value of credits is higher in Greenwich, the </w:t>
      </w:r>
      <w:r w:rsidDel="00000000" w:rsidR="00000000" w:rsidRPr="00000000">
        <w:rPr>
          <w:b w:val="1"/>
          <w:bCs w:val="1"/>
          <w:rtl w:val="0"/>
        </w:rPr>
        <w:t xml:space="preserve">purchasing power</w:t>
      </w:r>
      <w:r w:rsidDel="00000000" w:rsidR="00000000" w:rsidRPr="00000000">
        <w:rPr>
          <w:rtl w:val="0"/>
        </w:rPr>
        <w:t xml:space="preserve"> of the credit in Waterbury is exponentially higher. Recommendation: Focus program resources on Waterbury and Bridgeport to maximize the number of successful homeownership transitions.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