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001E" w14:textId="77777777" w:rsidR="00781846" w:rsidRPr="00EF41D5" w:rsidRDefault="003D475D" w:rsidP="003C25F6">
      <w:pPr>
        <w:spacing w:line="480" w:lineRule="auto"/>
        <w:rPr>
          <w:rFonts w:eastAsia="Times New Roman"/>
        </w:rPr>
      </w:pPr>
      <w:r>
        <w:rPr>
          <w:rFonts w:eastAsia="Times New Roman"/>
          <w:noProof/>
          <w:lang w:val="es-ES" w:eastAsia="es-ES"/>
        </w:rPr>
        <mc:AlternateContent>
          <mc:Choice Requires="wpg">
            <w:drawing>
              <wp:anchor distT="0" distB="0" distL="114300" distR="114300" simplePos="0" relativeHeight="251658240" behindDoc="1" locked="0" layoutInCell="1" allowOverlap="1" wp14:anchorId="53260FB9" wp14:editId="5B60141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03200" cy="9133205"/>
                <wp:effectExtent l="0" t="0" r="3175" b="635"/>
                <wp:wrapNone/>
                <wp:docPr id="9" name="Grupo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 cy="9133205"/>
                          <a:chOff x="0" y="0"/>
                          <a:chExt cx="2286" cy="91440"/>
                        </a:xfrm>
                      </wpg:grpSpPr>
                      <wps:wsp>
                        <wps:cNvPr id="10" name="Rectángulo 115"/>
                        <wps:cNvSpPr>
                          <a:spLocks noChangeArrowheads="1"/>
                        </wps:cNvSpPr>
                        <wps:spPr bwMode="auto">
                          <a:xfrm>
                            <a:off x="0" y="0"/>
                            <a:ext cx="2286" cy="87820"/>
                          </a:xfrm>
                          <a:prstGeom prst="rect">
                            <a:avLst/>
                          </a:prstGeom>
                          <a:solidFill>
                            <a:srgbClr val="FFC000"/>
                          </a:solidFill>
                          <a:ln>
                            <a:noFill/>
                          </a:ln>
                        </wps:spPr>
                        <wps:bodyPr rot="0" vert="horz" wrap="square" lIns="91440" tIns="45720" rIns="91440" bIns="45720" anchor="ctr" anchorCtr="0" upright="1">
                          <a:noAutofit/>
                        </wps:bodyPr>
                      </wps:wsp>
                      <wps:wsp>
                        <wps:cNvPr id="11" name="Rectángulo 116"/>
                        <wps:cNvSpPr>
                          <a:spLocks noChangeAspect="1"/>
                        </wps:cNvSpPr>
                        <wps:spPr bwMode="auto">
                          <a:xfrm>
                            <a:off x="0" y="89154"/>
                            <a:ext cx="2286" cy="2286"/>
                          </a:xfrm>
                          <a:prstGeom prst="rect">
                            <a:avLst/>
                          </a:prstGeom>
                          <a:solidFill>
                            <a:srgbClr val="00518E"/>
                          </a:solidFill>
                          <a:ln w="12700">
                            <a:solidFill>
                              <a:srgbClr val="0070C0"/>
                            </a:solidFill>
                            <a:miter lim="800000"/>
                            <a:headEnd/>
                            <a:tailEnd/>
                          </a:ln>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426EEE76" id="Grupo 114" o:spid="_x0000_s1026" style="position:absolute;margin-left:0;margin-top:0;width:16pt;height:719.15pt;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NSv9vwIAAMIHAAAOAAAAZHJzL2Uyb0RvYy54bWzUVd1u0zAUvkfiHSzfs/ysXdNo6TR164Q0 YGLwAK7jJBaObWy36XgbnoUX49huu+5HXIwJiZvIJ8c+Od/PiU/PNr1Aa2YsV7LC2VGKEZNU1Vy2 Ff76ZfGuwMg6ImsilGQVvmMWn83evjkddMly1SlRM4OgiLTloCvcOafLJLG0Yz2xR0ozCclGmZ44 CE2b1IYMUL0XSZ6mJ8mgTK2NosxaeHsRk3gW6jcNo+5T01jmkKgw9ObC04Tn0j+T2SkpW0N0x+m2 DfKCLnrCJXx0X+qCOIJWhj8p1XNqlFWNO6KqT1TTcMoCBkCTpY/QXBm10gFLWw6t3tME1D7i6cVl 6cf1ldG3+sbE7mF5reg3C7wkg27Lw7yP27gZLYcPqgY9ycqpAHzTmN6XAEhoE/i92/PLNg5ReJmn x6AZRhRS0+wYgnEUgHag0pNjtLvcHcyLk92x0SiolpAyfjK0uW3Lyw4+svdU2b+j6rYjmgUFrKfi xiBeg80BgyQ9wP8MBvv1U7YroVCWBTS+A9i6o9RGPpFU847Ilp0bo4aOkRo6yzx66P/ggA8sqPFC gvc8FZMif8gTKbWx7oqpHvlFhQ30HqQj62vrfCf3W7ySVgleL7gQITDtci4MWhMYpMVinoKO8ciD bUL6zVL5YzHt3wSIHlXUZ6nqO0BoVJxG+HvAolPmB0YDTGKF7fcVMQwj8V4CS9PMS45cCEbjCeBC 5jCzPMwQSaFUhakzGMVg7uLAr7ThbQffygJsqc7BvA0P0D3vsa9tu2Cif+Wm7Hk3nXiCH5gDNHns JqtBxddwUjHNxqM4jftx3bsp96uo527OX81MaTrOisvnzYQGgJZPwGt/NmSaTtL5s4bsuYP7RfC+ wgV4NrqWlH4AL2UNkEjpCBdxDQPwX9s1/ArhogijvL3U/E10GAd731+9s98AAAD//wMAUEsDBBQA BgAIAAAAIQDei55l2QAAAAUBAAAPAAAAZHJzL2Rvd25yZXYueG1sTI9BS8QwEIXvgv8hjODNTW1F 1tp0EcG9idr1oLe0GdtiMinN7G79945e9DLweI8336s2S/DqgHMaIxm4XGWgkLroRuoNvO4eLtag Elty1kdCA1+YYFOfnlS2dPFIL3houFdSQqm0BgbmqdQ6dQMGm1ZxQhLvI87Bssi51262RykPXudZ dq2DHUk+DHbC+wG7z2YfDJDeuW1onsJbwTdN/v7c+sdta8z52XJ3C4px4b8w/OALOtTC1MY9uaS8 ARnCv1e8IhfVSuaqWBeg60r/p6+/AQAA//8DAFBLAQItABQABgAIAAAAIQC2gziS/gAAAOEBAAAT AAAAAAAAAAAAAAAAAAAAAABbQ29udGVudF9UeXBlc10ueG1sUEsBAi0AFAAGAAgAAAAhADj9If/W AAAAlAEAAAsAAAAAAAAAAAAAAAAALwEAAF9yZWxzLy5yZWxzUEsBAi0AFAAGAAgAAAAhAHM1K/2/ AgAAwgcAAA4AAAAAAAAAAAAAAAAALgIAAGRycy9lMm9Eb2MueG1sUEsBAi0AFAAGAAgAAAAhAN6L nmXZAAAABQEAAA8AAAAAAAAAAAAAAAAAGQUAAGRycy9kb3ducmV2LnhtbFBLBQYAAAAABAAEAPMA AAAfBgAAAAA= ">
                <v:rect id="Rectángulo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aA3xwAAANsAAAAPAAAAZHJzL2Rvd25yZXYueG1sRI9PT8JA EMXvJn6HzZhwk62EgFYWYvinB4wBTdTbpDu2he5s6S5Qvj1zIPE2k/fmvd+MJq2r1JGaUHo28NBN QBFn3pacG/j6XNw/ggoR2WLlmQycKcBkfHszwtT6E6/puIm5khAOKRooYqxTrUNWkMPQ9TWxaH++ cRhlbXJtGzxJuKt0L0kG2mHJ0lBgTdOCst3m4Aw8fa+Gy7UvZx/z7bttZ/v+72v+Y0znrn15BhWp jf/m6/WbFXyhl19kAD2+AAAA//8DAFBLAQItABQABgAIAAAAIQDb4fbL7gAAAIUBAAATAAAAAAAA AAAAAAAAAAAAAABbQ29udGVudF9UeXBlc10ueG1sUEsBAi0AFAAGAAgAAAAhAFr0LFu/AAAAFQEA AAsAAAAAAAAAAAAAAAAAHwEAAF9yZWxzLy5yZWxzUEsBAi0AFAAGAAgAAAAhALB5oDfHAAAA2wAA AA8AAAAAAAAAAAAAAAAABwIAAGRycy9kb3ducmV2LnhtbFBLBQYAAAAAAwADALcAAAD7AgAAAAA= " fillcolor="#ffc000" stroked="f"/>
                <v:rect id="Rectángulo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F4oiwgAAANsAAAAPAAAAZHJzL2Rvd25yZXYueG1sRE/NasJA EL4XfIdlhN7qJsWWGF1FCmLpoaHqA4zZMYlmZ8PumqRv3y0UepuP73dWm9G0oifnG8sK0lkCgri0 uuFKwem4e8pA+ICssbVMCr7Jw2Y9eVhhru3AX9QfQiViCPscFdQhdLmUvqzJoJ/ZjjhyF+sMhghd JbXDIYabVj4nyas02HBsqLGjt5rK2+FuFLgryvmLO/aL8bPps/Jc7LuPQqnH6bhdggg0hn/xn/td x/kp/P4SD5DrHwAAAP//AwBQSwECLQAUAAYACAAAACEA2+H2y+4AAACFAQAAEwAAAAAAAAAAAAAA AAAAAAAAW0NvbnRlbnRfVHlwZXNdLnhtbFBLAQItABQABgAIAAAAIQBa9CxbvwAAABUBAAALAAAA AAAAAAAAAAAAAB8BAABfcmVscy8ucmVsc1BLAQItABQABgAIAAAAIQBHF4oiwgAAANsAAAAPAAAA AAAAAAAAAAAAAAcCAABkcnMvZG93bnJldi54bWxQSwUGAAAAAAMAAwC3AAAA9gIAAAAA " fillcolor="#00518e" strokecolor="#0070c0" strokeweight="1pt">
                  <v:path arrowok="t"/>
                  <o:lock v:ext="edit" aspectratio="t"/>
                </v:rect>
                <w10:wrap anchorx="page" anchory="page"/>
              </v:group>
            </w:pict>
          </mc:Fallback>
        </mc:AlternateContent>
      </w:r>
    </w:p>
    <w:p w14:paraId="2D8B3D9D" w14:textId="77777777" w:rsidR="004B10E0" w:rsidRPr="003C25F6" w:rsidRDefault="0045489E" w:rsidP="003C25F6">
      <w:pPr>
        <w:widowControl w:val="0"/>
        <w:spacing w:before="53" w:after="0" w:line="480" w:lineRule="auto"/>
        <w:ind w:right="4"/>
        <w:jc w:val="center"/>
        <w:rPr>
          <w:rFonts w:eastAsia="Times New Roman" w:cs="Times New Roman"/>
          <w:b/>
          <w:bCs/>
          <w:spacing w:val="-1"/>
          <w:sz w:val="36"/>
          <w:szCs w:val="36"/>
        </w:rPr>
      </w:pPr>
      <w:r>
        <w:rPr>
          <w:noProof/>
        </w:rPr>
        <w:drawing>
          <wp:inline distT="0" distB="0" distL="0" distR="0" wp14:anchorId="1A02BE73" wp14:editId="3ADBB0DC">
            <wp:extent cx="3774559" cy="3619705"/>
            <wp:effectExtent l="0" t="0" r="0" b="0"/>
            <wp:docPr id="213709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1297" name=""/>
                    <pic:cNvPicPr/>
                  </pic:nvPicPr>
                  <pic:blipFill>
                    <a:blip r:embed="rId11"/>
                    <a:stretch>
                      <a:fillRect/>
                    </a:stretch>
                  </pic:blipFill>
                  <pic:spPr>
                    <a:xfrm>
                      <a:off x="0" y="0"/>
                      <a:ext cx="3780622" cy="3625519"/>
                    </a:xfrm>
                    <a:prstGeom prst="rect">
                      <a:avLst/>
                    </a:prstGeom>
                  </pic:spPr>
                </pic:pic>
              </a:graphicData>
            </a:graphic>
          </wp:inline>
        </w:drawing>
      </w:r>
    </w:p>
    <w:p w14:paraId="51C78B26" w14:textId="77777777" w:rsidR="00997480" w:rsidRPr="00EF41D5" w:rsidRDefault="00997480" w:rsidP="00997480">
      <w:pPr>
        <w:widowControl w:val="0"/>
        <w:spacing w:before="53" w:after="0" w:line="359" w:lineRule="auto"/>
        <w:ind w:right="4"/>
        <w:jc w:val="center"/>
        <w:rPr>
          <w:rFonts w:eastAsia="Times New Roman" w:cs="Times New Roman"/>
          <w:sz w:val="36"/>
          <w:szCs w:val="36"/>
        </w:rPr>
      </w:pPr>
      <w:r>
        <w:rPr>
          <w:rFonts w:eastAsia="Times New Roman" w:cs="Times New Roman"/>
          <w:b/>
          <w:bCs/>
          <w:spacing w:val="-1"/>
          <w:sz w:val="36"/>
          <w:szCs w:val="36"/>
        </w:rPr>
        <w:t>Doctorado en Informática</w:t>
      </w:r>
    </w:p>
    <w:p w14:paraId="6F321159" w14:textId="77777777" w:rsidR="00997480" w:rsidRPr="00EF41D5" w:rsidRDefault="00997480" w:rsidP="00997480">
      <w:pPr>
        <w:widowControl w:val="0"/>
        <w:spacing w:after="0" w:line="200" w:lineRule="exact"/>
        <w:ind w:right="4"/>
        <w:jc w:val="center"/>
        <w:rPr>
          <w:rFonts w:eastAsia="Calibri" w:cs="Times New Roman"/>
          <w:sz w:val="20"/>
          <w:szCs w:val="20"/>
        </w:rPr>
      </w:pPr>
    </w:p>
    <w:p w14:paraId="6ED07213" w14:textId="77777777" w:rsidR="00997480" w:rsidRPr="00EF41D5" w:rsidRDefault="00997480" w:rsidP="00997480">
      <w:pPr>
        <w:widowControl w:val="0"/>
        <w:spacing w:after="0" w:line="360" w:lineRule="auto"/>
        <w:ind w:right="4"/>
        <w:jc w:val="center"/>
        <w:rPr>
          <w:rFonts w:eastAsia="Times New Roman" w:cs="Times New Roman"/>
          <w:sz w:val="36"/>
          <w:szCs w:val="36"/>
        </w:rPr>
      </w:pPr>
      <w:r>
        <w:rPr>
          <w:rFonts w:eastAsia="Times New Roman" w:cs="Times New Roman"/>
          <w:b/>
          <w:bCs/>
          <w:spacing w:val="-1"/>
          <w:sz w:val="36"/>
          <w:szCs w:val="36"/>
          <w:lang w:val="es-EC"/>
        </w:rPr>
        <w:t>Realidad aumentada e inteligencia artificial aplicada a una guía didáctica interactiva</w:t>
      </w:r>
    </w:p>
    <w:p w14:paraId="4DB52EB9" w14:textId="77777777" w:rsidR="00997480" w:rsidRPr="00EF41D5" w:rsidRDefault="00997480" w:rsidP="00997480">
      <w:pPr>
        <w:widowControl w:val="0"/>
        <w:spacing w:after="0" w:line="200" w:lineRule="exact"/>
        <w:rPr>
          <w:rFonts w:eastAsia="Calibri" w:cs="Times New Roman"/>
          <w:sz w:val="20"/>
          <w:szCs w:val="20"/>
        </w:rPr>
      </w:pPr>
    </w:p>
    <w:p w14:paraId="3ACE57BC" w14:textId="77777777" w:rsidR="00997480" w:rsidRPr="00EF41D5" w:rsidRDefault="00997480" w:rsidP="00997480">
      <w:pPr>
        <w:widowControl w:val="0"/>
        <w:spacing w:after="0" w:line="200" w:lineRule="exact"/>
        <w:rPr>
          <w:rFonts w:eastAsia="Calibri" w:cs="Times New Roman"/>
          <w:sz w:val="20"/>
          <w:szCs w:val="20"/>
        </w:rPr>
      </w:pPr>
    </w:p>
    <w:p w14:paraId="190889B0" w14:textId="77777777" w:rsidR="00997480" w:rsidRPr="00EF41D5" w:rsidRDefault="00997480" w:rsidP="00997480">
      <w:pPr>
        <w:widowControl w:val="0"/>
        <w:spacing w:before="8" w:after="0" w:line="220" w:lineRule="exact"/>
        <w:rPr>
          <w:rFonts w:eastAsia="Calibri" w:cs="Times New Roman"/>
          <w:sz w:val="22"/>
        </w:rPr>
      </w:pPr>
    </w:p>
    <w:p w14:paraId="7796D5DD" w14:textId="77777777" w:rsidR="00997480" w:rsidRPr="00AE081A" w:rsidRDefault="00997480" w:rsidP="00997480">
      <w:pPr>
        <w:jc w:val="center"/>
        <w:rPr>
          <w:rFonts w:cs="Times New Roman"/>
          <w:b/>
          <w:sz w:val="36"/>
          <w:szCs w:val="36"/>
          <w:lang w:val="pt-PT"/>
        </w:rPr>
      </w:pPr>
      <w:r>
        <w:rPr>
          <w:rFonts w:cs="Times New Roman"/>
          <w:b/>
          <w:sz w:val="36"/>
          <w:szCs w:val="36"/>
          <w:lang w:val="pt-PT"/>
        </w:rPr>
        <w:t>Alumno</w:t>
      </w:r>
    </w:p>
    <w:p w14:paraId="70977093" w14:textId="77777777" w:rsidR="00997480" w:rsidRPr="00AE081A" w:rsidRDefault="00997480" w:rsidP="00997480">
      <w:pPr>
        <w:widowControl w:val="0"/>
        <w:spacing w:after="0" w:line="361" w:lineRule="auto"/>
        <w:ind w:left="2729" w:right="2727"/>
        <w:jc w:val="center"/>
        <w:rPr>
          <w:rFonts w:eastAsia="Times New Roman" w:cs="Times New Roman"/>
          <w:sz w:val="28"/>
          <w:szCs w:val="28"/>
          <w:lang w:val="pt-PT"/>
        </w:rPr>
      </w:pPr>
      <w:r>
        <w:rPr>
          <w:rFonts w:eastAsia="Times New Roman" w:cs="Times New Roman"/>
          <w:spacing w:val="1"/>
          <w:sz w:val="28"/>
          <w:szCs w:val="28"/>
          <w:lang w:val="pt-PT"/>
        </w:rPr>
        <w:t>Jorge Humberto Miranda Realpe</w:t>
      </w:r>
    </w:p>
    <w:p w14:paraId="7CC6A9D1" w14:textId="77777777" w:rsidR="00997480" w:rsidRPr="00AE081A" w:rsidRDefault="00997480" w:rsidP="00997480">
      <w:pPr>
        <w:widowControl w:val="0"/>
        <w:spacing w:after="0" w:line="200" w:lineRule="exact"/>
        <w:rPr>
          <w:rFonts w:eastAsia="Calibri" w:cs="Times New Roman"/>
          <w:sz w:val="20"/>
          <w:szCs w:val="20"/>
          <w:lang w:val="pt-PT"/>
        </w:rPr>
      </w:pPr>
    </w:p>
    <w:p w14:paraId="6C6D9ED9" w14:textId="77777777" w:rsidR="00997480" w:rsidRPr="00AE081A" w:rsidRDefault="00997480" w:rsidP="00997480">
      <w:pPr>
        <w:widowControl w:val="0"/>
        <w:spacing w:before="17" w:after="0" w:line="200" w:lineRule="exact"/>
        <w:rPr>
          <w:rFonts w:eastAsia="Calibri" w:cs="Times New Roman"/>
          <w:sz w:val="20"/>
          <w:szCs w:val="20"/>
          <w:lang w:val="pt-PT"/>
        </w:rPr>
      </w:pPr>
    </w:p>
    <w:p w14:paraId="4473E8A3" w14:textId="77777777" w:rsidR="00997480" w:rsidRPr="00AE081A" w:rsidRDefault="00997480" w:rsidP="00997480">
      <w:pPr>
        <w:widowControl w:val="0"/>
        <w:spacing w:after="0" w:line="360" w:lineRule="auto"/>
        <w:ind w:left="567"/>
        <w:jc w:val="both"/>
        <w:rPr>
          <w:rFonts w:eastAsia="Times New Roman" w:cs="Times New Roman"/>
          <w:sz w:val="28"/>
          <w:szCs w:val="28"/>
          <w:lang w:val="pt-PT"/>
        </w:rPr>
      </w:pPr>
      <w:r>
        <w:rPr>
          <w:rFonts w:eastAsia="Times New Roman" w:cs="Times New Roman"/>
          <w:spacing w:val="-2"/>
          <w:sz w:val="28"/>
          <w:szCs w:val="28"/>
          <w:lang w:val="pt-PT"/>
        </w:rPr>
        <w:t>D</w:t>
      </w:r>
      <w:r>
        <w:rPr>
          <w:rFonts w:eastAsia="Times New Roman" w:cs="Times New Roman"/>
          <w:spacing w:val="1"/>
          <w:sz w:val="28"/>
          <w:szCs w:val="28"/>
          <w:lang w:val="pt-PT"/>
        </w:rPr>
        <w:t>i</w:t>
      </w:r>
      <w:r>
        <w:rPr>
          <w:rFonts w:eastAsia="Times New Roman" w:cs="Times New Roman"/>
          <w:sz w:val="28"/>
          <w:szCs w:val="28"/>
          <w:lang w:val="pt-PT"/>
        </w:rPr>
        <w:t>rec</w:t>
      </w:r>
      <w:r>
        <w:rPr>
          <w:rFonts w:eastAsia="Times New Roman" w:cs="Times New Roman"/>
          <w:spacing w:val="-2"/>
          <w:sz w:val="28"/>
          <w:szCs w:val="28"/>
          <w:lang w:val="pt-PT"/>
        </w:rPr>
        <w:t>t</w:t>
      </w:r>
      <w:r>
        <w:rPr>
          <w:rFonts w:eastAsia="Times New Roman" w:cs="Times New Roman"/>
          <w:spacing w:val="1"/>
          <w:sz w:val="28"/>
          <w:szCs w:val="28"/>
          <w:lang w:val="pt-PT"/>
        </w:rPr>
        <w:t>o</w:t>
      </w:r>
      <w:r>
        <w:rPr>
          <w:rFonts w:eastAsia="Times New Roman" w:cs="Times New Roman"/>
          <w:spacing w:val="-3"/>
          <w:sz w:val="28"/>
          <w:szCs w:val="28"/>
          <w:lang w:val="pt-PT"/>
        </w:rPr>
        <w:t>r</w:t>
      </w:r>
      <w:r>
        <w:rPr>
          <w:rFonts w:eastAsia="Times New Roman" w:cs="Times New Roman"/>
          <w:sz w:val="28"/>
          <w:szCs w:val="28"/>
          <w:lang w:val="pt-PT"/>
        </w:rPr>
        <w:t>: Dr. Rodrigo Cadena Martínez</w:t>
      </w:r>
    </w:p>
    <w:p w14:paraId="2DB08E28" w14:textId="77777777" w:rsidR="00997480" w:rsidRPr="00AE081A" w:rsidRDefault="00997480" w:rsidP="00997480">
      <w:pPr>
        <w:widowControl w:val="0"/>
        <w:spacing w:after="0" w:line="200" w:lineRule="exact"/>
        <w:rPr>
          <w:rFonts w:eastAsia="Calibri" w:cs="Times New Roman"/>
          <w:sz w:val="20"/>
          <w:szCs w:val="20"/>
          <w:lang w:val="pt-PT"/>
        </w:rPr>
      </w:pPr>
    </w:p>
    <w:p w14:paraId="694A5F4F" w14:textId="77777777" w:rsidR="00997480" w:rsidRPr="00AE081A" w:rsidRDefault="00997480" w:rsidP="00997480">
      <w:pPr>
        <w:widowControl w:val="0"/>
        <w:spacing w:after="0" w:line="200" w:lineRule="exact"/>
        <w:rPr>
          <w:rFonts w:eastAsia="Calibri" w:cs="Times New Roman"/>
          <w:sz w:val="20"/>
          <w:szCs w:val="20"/>
          <w:lang w:val="pt-PT"/>
        </w:rPr>
      </w:pPr>
    </w:p>
    <w:p w14:paraId="65373E2D" w14:textId="77777777" w:rsidR="00997480" w:rsidRPr="00E620C3" w:rsidRDefault="00997480" w:rsidP="00997480">
      <w:pPr>
        <w:widowControl w:val="0"/>
        <w:spacing w:after="0" w:line="360" w:lineRule="auto"/>
        <w:ind w:left="567" w:right="4"/>
        <w:jc w:val="right"/>
        <w:rPr>
          <w:rFonts w:eastAsia="Times New Roman" w:cs="Times New Roman"/>
          <w:spacing w:val="-1"/>
          <w:sz w:val="28"/>
          <w:szCs w:val="28"/>
        </w:rPr>
      </w:pPr>
      <w:r>
        <w:rPr>
          <w:rFonts w:eastAsia="Times New Roman" w:cs="Times New Roman"/>
          <w:spacing w:val="-1"/>
          <w:sz w:val="28"/>
          <w:szCs w:val="28"/>
        </w:rPr>
        <w:t>Ecuador, Tulcán, 19 de febrero de 2025</w:t>
      </w:r>
    </w:p>
    <w:p w14:paraId="44DA4421" w14:textId="18EF29A4" w:rsidR="009F14E5" w:rsidRPr="00057B43" w:rsidRDefault="009F14E5" w:rsidP="00E84446">
      <w:pPr>
        <w:pStyle w:val="Prrafodelista"/>
        <w:numPr>
          <w:ilvl w:val="0"/>
          <w:numId w:val="1"/>
        </w:numPr>
        <w:spacing w:line="480" w:lineRule="auto"/>
        <w:rPr>
          <w:rFonts w:eastAsia="Times New Roman" w:cs="Times New Roman"/>
          <w:color w:val="2E74B5" w:themeColor="accent1" w:themeShade="BF"/>
          <w:sz w:val="28"/>
          <w:szCs w:val="32"/>
        </w:rPr>
      </w:pPr>
    </w:p>
    <w:sdt>
      <w:sdtPr>
        <w:rPr>
          <w:rFonts w:eastAsiaTheme="minorHAnsi" w:cstheme="minorBidi"/>
          <w:b w:val="0"/>
          <w:sz w:val="24"/>
          <w:szCs w:val="22"/>
          <w:lang w:val="es-ES" w:eastAsia="en-US"/>
        </w:rPr>
        <w:id w:val="307982748"/>
        <w:docPartObj>
          <w:docPartGallery w:val="Table of Contents"/>
          <w:docPartUnique/>
        </w:docPartObj>
      </w:sdtPr>
      <w:sdtEndPr>
        <w:rPr>
          <w:bCs/>
        </w:rPr>
      </w:sdtEndPr>
      <w:sdtContent>
        <w:p w14:paraId="047491D0" w14:textId="77777777" w:rsidR="0042190B" w:rsidRDefault="0042190B" w:rsidP="00587376">
          <w:pPr>
            <w:pStyle w:val="TtuloTDC"/>
          </w:pPr>
          <w:r>
            <w:rPr>
              <w:lang w:val="es-ES"/>
            </w:rPr>
            <w:t>Contenido</w:t>
          </w:r>
        </w:p>
        <w:p w14:paraId="070A9AA7" w14:textId="77777777" w:rsidR="00A4695F" w:rsidRDefault="00637ED1"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anchor="_Toc186460971" w:history="1">
            <w:r>
              <w:rPr>
                <w:rStyle w:val="Hipervnculo"/>
                <w:noProof/>
              </w:rPr>
              <w:t>Resumen</w:t>
            </w:r>
            <w:r>
              <w:rPr>
                <w:noProof/>
                <w:webHidden/>
              </w:rPr>
              <w:tab/>
            </w:r>
            <w:r>
              <w:rPr>
                <w:noProof/>
                <w:webHidden/>
              </w:rPr>
              <w:fldChar w:fldCharType="begin"/>
            </w:r>
            <w:r>
              <w:rPr>
                <w:noProof/>
                <w:webHidden/>
              </w:rPr>
              <w:instrText xml:space="preserve"> PAGEREF _Toc186460971 \h </w:instrText>
            </w:r>
            <w:r>
              <w:rPr>
                <w:noProof/>
                <w:webHidden/>
              </w:rPr>
            </w:r>
            <w:r>
              <w:rPr>
                <w:noProof/>
                <w:webHidden/>
              </w:rPr>
              <w:fldChar w:fldCharType="separate"/>
            </w:r>
            <w:r>
              <w:rPr>
                <w:noProof/>
                <w:webHidden/>
              </w:rPr>
              <w:t>ii</w:t>
            </w:r>
            <w:r>
              <w:rPr>
                <w:noProof/>
                <w:webHidden/>
              </w:rPr>
              <w:fldChar w:fldCharType="end"/>
            </w:r>
          </w:hyperlink>
        </w:p>
        <w:p w14:paraId="3CDBB416"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2" w:history="1">
            <w:r>
              <w:rPr>
                <w:rStyle w:val="Hipervnculo"/>
                <w:noProof/>
                <w:lang w:val="en-US"/>
              </w:rPr>
              <w:t>Abstract</w:t>
            </w:r>
            <w:r>
              <w:rPr>
                <w:noProof/>
                <w:webHidden/>
              </w:rPr>
              <w:tab/>
            </w:r>
            <w:r>
              <w:rPr>
                <w:noProof/>
                <w:webHidden/>
              </w:rPr>
              <w:fldChar w:fldCharType="begin"/>
            </w:r>
            <w:r>
              <w:rPr>
                <w:noProof/>
                <w:webHidden/>
              </w:rPr>
              <w:instrText xml:space="preserve"> PAGEREF _Toc186460972 \h </w:instrText>
            </w:r>
            <w:r>
              <w:rPr>
                <w:noProof/>
                <w:webHidden/>
              </w:rPr>
            </w:r>
            <w:r>
              <w:rPr>
                <w:noProof/>
                <w:webHidden/>
              </w:rPr>
              <w:fldChar w:fldCharType="separate"/>
            </w:r>
            <w:r>
              <w:rPr>
                <w:noProof/>
                <w:webHidden/>
              </w:rPr>
              <w:t>iii</w:t>
            </w:r>
            <w:r>
              <w:rPr>
                <w:noProof/>
                <w:webHidden/>
              </w:rPr>
              <w:fldChar w:fldCharType="end"/>
            </w:r>
          </w:hyperlink>
        </w:p>
        <w:p w14:paraId="53988B67"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3" w:history="1">
            <w:r>
              <w:rPr>
                <w:rStyle w:val="Hipervnculo"/>
                <w:noProof/>
              </w:rPr>
              <w:t>Dedicatorias</w:t>
            </w:r>
            <w:r>
              <w:rPr>
                <w:noProof/>
                <w:webHidden/>
              </w:rPr>
              <w:tab/>
            </w:r>
            <w:r>
              <w:rPr>
                <w:noProof/>
                <w:webHidden/>
              </w:rPr>
              <w:fldChar w:fldCharType="begin"/>
            </w:r>
            <w:r>
              <w:rPr>
                <w:noProof/>
                <w:webHidden/>
              </w:rPr>
              <w:instrText xml:space="preserve"> PAGEREF _Toc186460973 \h </w:instrText>
            </w:r>
            <w:r>
              <w:rPr>
                <w:noProof/>
                <w:webHidden/>
              </w:rPr>
            </w:r>
            <w:r>
              <w:rPr>
                <w:noProof/>
                <w:webHidden/>
              </w:rPr>
              <w:fldChar w:fldCharType="separate"/>
            </w:r>
            <w:r>
              <w:rPr>
                <w:noProof/>
                <w:webHidden/>
              </w:rPr>
              <w:t>iv</w:t>
            </w:r>
            <w:r>
              <w:rPr>
                <w:noProof/>
                <w:webHidden/>
              </w:rPr>
              <w:fldChar w:fldCharType="end"/>
            </w:r>
          </w:hyperlink>
        </w:p>
        <w:p w14:paraId="1E28DF56"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4" w:history="1">
            <w:r>
              <w:rPr>
                <w:rStyle w:val="Hipervnculo"/>
                <w:caps/>
                <w:noProof/>
              </w:rPr>
              <w:t>A</w:t>
            </w:r>
            <w:r>
              <w:rPr>
                <w:rStyle w:val="Hipervnculo"/>
                <w:noProof/>
              </w:rPr>
              <w:t>gradecimientos</w:t>
            </w:r>
            <w:r>
              <w:rPr>
                <w:noProof/>
                <w:webHidden/>
              </w:rPr>
              <w:tab/>
            </w:r>
            <w:r>
              <w:rPr>
                <w:noProof/>
                <w:webHidden/>
              </w:rPr>
              <w:fldChar w:fldCharType="begin"/>
            </w:r>
            <w:r>
              <w:rPr>
                <w:noProof/>
                <w:webHidden/>
              </w:rPr>
              <w:instrText xml:space="preserve"> PAGEREF _Toc186460974 \h </w:instrText>
            </w:r>
            <w:r>
              <w:rPr>
                <w:noProof/>
                <w:webHidden/>
              </w:rPr>
            </w:r>
            <w:r>
              <w:rPr>
                <w:noProof/>
                <w:webHidden/>
              </w:rPr>
              <w:fldChar w:fldCharType="separate"/>
            </w:r>
            <w:r>
              <w:rPr>
                <w:noProof/>
                <w:webHidden/>
              </w:rPr>
              <w:t>v</w:t>
            </w:r>
            <w:r>
              <w:rPr>
                <w:noProof/>
                <w:webHidden/>
              </w:rPr>
              <w:fldChar w:fldCharType="end"/>
            </w:r>
          </w:hyperlink>
        </w:p>
        <w:p w14:paraId="210CB5D1"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5" w:history="1">
            <w:r>
              <w:rPr>
                <w:rStyle w:val="Hipervnculo"/>
                <w:noProof/>
              </w:rPr>
              <w:t>Lista de tablas y figuras</w:t>
            </w:r>
            <w:r>
              <w:rPr>
                <w:noProof/>
                <w:webHidden/>
              </w:rPr>
              <w:tab/>
            </w:r>
            <w:r>
              <w:rPr>
                <w:noProof/>
                <w:webHidden/>
              </w:rPr>
              <w:fldChar w:fldCharType="begin"/>
            </w:r>
            <w:r>
              <w:rPr>
                <w:noProof/>
                <w:webHidden/>
              </w:rPr>
              <w:instrText xml:space="preserve"> PAGEREF _Toc186460975 \h </w:instrText>
            </w:r>
            <w:r>
              <w:rPr>
                <w:noProof/>
                <w:webHidden/>
              </w:rPr>
            </w:r>
            <w:r>
              <w:rPr>
                <w:noProof/>
                <w:webHidden/>
              </w:rPr>
              <w:fldChar w:fldCharType="separate"/>
            </w:r>
            <w:r>
              <w:rPr>
                <w:noProof/>
                <w:webHidden/>
              </w:rPr>
              <w:t>vii</w:t>
            </w:r>
            <w:r>
              <w:rPr>
                <w:noProof/>
                <w:webHidden/>
              </w:rPr>
              <w:fldChar w:fldCharType="end"/>
            </w:r>
          </w:hyperlink>
        </w:p>
        <w:p w14:paraId="7FA7E904"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6" w:history="1">
            <w:r>
              <w:rPr>
                <w:rStyle w:val="Hipervnculo"/>
                <w:noProof/>
              </w:rPr>
              <w:t>Introducción</w:t>
            </w:r>
            <w:r>
              <w:rPr>
                <w:noProof/>
                <w:webHidden/>
              </w:rPr>
              <w:tab/>
            </w:r>
            <w:r>
              <w:rPr>
                <w:noProof/>
                <w:webHidden/>
              </w:rPr>
              <w:fldChar w:fldCharType="begin"/>
            </w:r>
            <w:r>
              <w:rPr>
                <w:noProof/>
                <w:webHidden/>
              </w:rPr>
              <w:instrText xml:space="preserve"> PAGEREF _Toc186460976 \h </w:instrText>
            </w:r>
            <w:r>
              <w:rPr>
                <w:noProof/>
                <w:webHidden/>
              </w:rPr>
            </w:r>
            <w:r>
              <w:rPr>
                <w:noProof/>
                <w:webHidden/>
              </w:rPr>
              <w:fldChar w:fldCharType="separate"/>
            </w:r>
            <w:r>
              <w:rPr>
                <w:noProof/>
                <w:webHidden/>
              </w:rPr>
              <w:t>1</w:t>
            </w:r>
            <w:r>
              <w:rPr>
                <w:noProof/>
                <w:webHidden/>
              </w:rPr>
              <w:fldChar w:fldCharType="end"/>
            </w:r>
          </w:hyperlink>
        </w:p>
        <w:p w14:paraId="67A33357"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7" w:history="1">
            <w:r>
              <w:rPr>
                <w:rStyle w:val="Hipervnculo"/>
                <w:noProof/>
              </w:rPr>
              <w:t>Capítulo 1.</w:t>
            </w:r>
            <w:r>
              <w:rPr>
                <w:noProof/>
                <w:webHidden/>
              </w:rPr>
              <w:tab/>
            </w:r>
            <w:r>
              <w:rPr>
                <w:noProof/>
                <w:webHidden/>
              </w:rPr>
              <w:fldChar w:fldCharType="begin"/>
            </w:r>
            <w:r>
              <w:rPr>
                <w:noProof/>
                <w:webHidden/>
              </w:rPr>
              <w:instrText xml:space="preserve"> PAGEREF _Toc186460977 \h </w:instrText>
            </w:r>
            <w:r>
              <w:rPr>
                <w:noProof/>
                <w:webHidden/>
              </w:rPr>
            </w:r>
            <w:r>
              <w:rPr>
                <w:noProof/>
                <w:webHidden/>
              </w:rPr>
              <w:fldChar w:fldCharType="separate"/>
            </w:r>
            <w:r>
              <w:rPr>
                <w:noProof/>
                <w:webHidden/>
              </w:rPr>
              <w:t>2</w:t>
            </w:r>
            <w:r>
              <w:rPr>
                <w:noProof/>
                <w:webHidden/>
              </w:rPr>
              <w:fldChar w:fldCharType="end"/>
            </w:r>
          </w:hyperlink>
        </w:p>
        <w:p w14:paraId="7AF5783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8"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Problema</w:t>
            </w:r>
            <w:r>
              <w:rPr>
                <w:noProof/>
                <w:webHidden/>
              </w:rPr>
              <w:tab/>
            </w:r>
            <w:r>
              <w:rPr>
                <w:noProof/>
                <w:webHidden/>
              </w:rPr>
              <w:fldChar w:fldCharType="begin"/>
            </w:r>
            <w:r>
              <w:rPr>
                <w:noProof/>
                <w:webHidden/>
              </w:rPr>
              <w:instrText xml:space="preserve"> PAGEREF _Toc186460978 \h </w:instrText>
            </w:r>
            <w:r>
              <w:rPr>
                <w:noProof/>
                <w:webHidden/>
              </w:rPr>
            </w:r>
            <w:r>
              <w:rPr>
                <w:noProof/>
                <w:webHidden/>
              </w:rPr>
              <w:fldChar w:fldCharType="separate"/>
            </w:r>
            <w:r>
              <w:rPr>
                <w:noProof/>
                <w:webHidden/>
              </w:rPr>
              <w:t>2</w:t>
            </w:r>
            <w:r>
              <w:rPr>
                <w:noProof/>
                <w:webHidden/>
              </w:rPr>
              <w:fldChar w:fldCharType="end"/>
            </w:r>
          </w:hyperlink>
        </w:p>
        <w:p w14:paraId="3612514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9"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Justificación</w:t>
            </w:r>
            <w:r>
              <w:rPr>
                <w:noProof/>
                <w:webHidden/>
              </w:rPr>
              <w:tab/>
            </w:r>
            <w:r>
              <w:rPr>
                <w:noProof/>
                <w:webHidden/>
              </w:rPr>
              <w:fldChar w:fldCharType="begin"/>
            </w:r>
            <w:r>
              <w:rPr>
                <w:noProof/>
                <w:webHidden/>
              </w:rPr>
              <w:instrText xml:space="preserve"> PAGEREF _Toc186460979 \h </w:instrText>
            </w:r>
            <w:r>
              <w:rPr>
                <w:noProof/>
                <w:webHidden/>
              </w:rPr>
            </w:r>
            <w:r>
              <w:rPr>
                <w:noProof/>
                <w:webHidden/>
              </w:rPr>
              <w:fldChar w:fldCharType="separate"/>
            </w:r>
            <w:r>
              <w:rPr>
                <w:noProof/>
                <w:webHidden/>
              </w:rPr>
              <w:t>2</w:t>
            </w:r>
            <w:r>
              <w:rPr>
                <w:noProof/>
                <w:webHidden/>
              </w:rPr>
              <w:fldChar w:fldCharType="end"/>
            </w:r>
          </w:hyperlink>
        </w:p>
        <w:p w14:paraId="77C56669"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0"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Objetivo</w:t>
            </w:r>
            <w:r>
              <w:rPr>
                <w:noProof/>
                <w:webHidden/>
              </w:rPr>
              <w:tab/>
            </w:r>
            <w:r>
              <w:rPr>
                <w:noProof/>
                <w:webHidden/>
              </w:rPr>
              <w:fldChar w:fldCharType="begin"/>
            </w:r>
            <w:r>
              <w:rPr>
                <w:noProof/>
                <w:webHidden/>
              </w:rPr>
              <w:instrText xml:space="preserve"> PAGEREF _Toc186460980 \h </w:instrText>
            </w:r>
            <w:r>
              <w:rPr>
                <w:noProof/>
                <w:webHidden/>
              </w:rPr>
            </w:r>
            <w:r>
              <w:rPr>
                <w:noProof/>
                <w:webHidden/>
              </w:rPr>
              <w:fldChar w:fldCharType="separate"/>
            </w:r>
            <w:r>
              <w:rPr>
                <w:noProof/>
                <w:webHidden/>
              </w:rPr>
              <w:t>2</w:t>
            </w:r>
            <w:r>
              <w:rPr>
                <w:noProof/>
                <w:webHidden/>
              </w:rPr>
              <w:fldChar w:fldCharType="end"/>
            </w:r>
          </w:hyperlink>
        </w:p>
        <w:p w14:paraId="6AF6C4E0"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1" w:history="1">
            <w:r>
              <w:rPr>
                <w:rStyle w:val="Hipervnculo"/>
                <w:noProof/>
              </w:rPr>
              <w:t>4.</w:t>
            </w:r>
            <w:r>
              <w:rPr>
                <w:rFonts w:asciiTheme="minorHAnsi" w:eastAsiaTheme="minorEastAsia" w:hAnsiTheme="minorHAnsi"/>
                <w:noProof/>
                <w:kern w:val="2"/>
                <w:sz w:val="22"/>
                <w:lang w:val="es-ES" w:eastAsia="es-ES"/>
                <w14:ligatures w14:val="standardContextual"/>
              </w:rPr>
              <w:tab/>
            </w:r>
            <w:r>
              <w:rPr>
                <w:rStyle w:val="Hipervnculo"/>
                <w:noProof/>
              </w:rPr>
              <w:t>Hipótesis o supuesto hipotético</w:t>
            </w:r>
            <w:r>
              <w:rPr>
                <w:noProof/>
                <w:webHidden/>
              </w:rPr>
              <w:tab/>
            </w:r>
            <w:r>
              <w:rPr>
                <w:noProof/>
                <w:webHidden/>
              </w:rPr>
              <w:fldChar w:fldCharType="begin"/>
            </w:r>
            <w:r>
              <w:rPr>
                <w:noProof/>
                <w:webHidden/>
              </w:rPr>
              <w:instrText xml:space="preserve"> PAGEREF _Toc186460981 \h </w:instrText>
            </w:r>
            <w:r>
              <w:rPr>
                <w:noProof/>
                <w:webHidden/>
              </w:rPr>
            </w:r>
            <w:r>
              <w:rPr>
                <w:noProof/>
                <w:webHidden/>
              </w:rPr>
              <w:fldChar w:fldCharType="separate"/>
            </w:r>
            <w:r>
              <w:rPr>
                <w:noProof/>
                <w:webHidden/>
              </w:rPr>
              <w:t>2</w:t>
            </w:r>
            <w:r>
              <w:rPr>
                <w:noProof/>
                <w:webHidden/>
              </w:rPr>
              <w:fldChar w:fldCharType="end"/>
            </w:r>
          </w:hyperlink>
        </w:p>
        <w:p w14:paraId="17EBB399"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2" w:history="1">
            <w:r>
              <w:rPr>
                <w:rStyle w:val="Hipervnculo"/>
                <w:noProof/>
              </w:rPr>
              <w:t>5.</w:t>
            </w:r>
            <w:r>
              <w:rPr>
                <w:rFonts w:asciiTheme="minorHAnsi" w:eastAsiaTheme="minorEastAsia" w:hAnsiTheme="minorHAnsi"/>
                <w:noProof/>
                <w:kern w:val="2"/>
                <w:sz w:val="22"/>
                <w:lang w:val="es-ES" w:eastAsia="es-ES"/>
                <w14:ligatures w14:val="standardContextual"/>
              </w:rPr>
              <w:tab/>
            </w:r>
            <w:r>
              <w:rPr>
                <w:rStyle w:val="Hipervnculo"/>
                <w:noProof/>
              </w:rPr>
              <w:t>Variables o Categoría de análisis</w:t>
            </w:r>
            <w:r>
              <w:rPr>
                <w:noProof/>
                <w:webHidden/>
              </w:rPr>
              <w:tab/>
            </w:r>
            <w:r>
              <w:rPr>
                <w:noProof/>
                <w:webHidden/>
              </w:rPr>
              <w:fldChar w:fldCharType="begin"/>
            </w:r>
            <w:r>
              <w:rPr>
                <w:noProof/>
                <w:webHidden/>
              </w:rPr>
              <w:instrText xml:space="preserve"> PAGEREF _Toc186460982 \h </w:instrText>
            </w:r>
            <w:r>
              <w:rPr>
                <w:noProof/>
                <w:webHidden/>
              </w:rPr>
            </w:r>
            <w:r>
              <w:rPr>
                <w:noProof/>
                <w:webHidden/>
              </w:rPr>
              <w:fldChar w:fldCharType="separate"/>
            </w:r>
            <w:r>
              <w:rPr>
                <w:noProof/>
                <w:webHidden/>
              </w:rPr>
              <w:t>2</w:t>
            </w:r>
            <w:r>
              <w:rPr>
                <w:noProof/>
                <w:webHidden/>
              </w:rPr>
              <w:fldChar w:fldCharType="end"/>
            </w:r>
          </w:hyperlink>
        </w:p>
        <w:p w14:paraId="4855AF8D"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3" w:history="1">
            <w:r>
              <w:rPr>
                <w:rStyle w:val="Hipervnculo"/>
                <w:noProof/>
              </w:rPr>
              <w:t>Capítulo 2.</w:t>
            </w:r>
            <w:r>
              <w:rPr>
                <w:noProof/>
                <w:webHidden/>
              </w:rPr>
              <w:tab/>
            </w:r>
            <w:r>
              <w:rPr>
                <w:noProof/>
                <w:webHidden/>
              </w:rPr>
              <w:fldChar w:fldCharType="begin"/>
            </w:r>
            <w:r>
              <w:rPr>
                <w:noProof/>
                <w:webHidden/>
              </w:rPr>
              <w:instrText xml:space="preserve"> PAGEREF _Toc186460983 \h </w:instrText>
            </w:r>
            <w:r>
              <w:rPr>
                <w:noProof/>
                <w:webHidden/>
              </w:rPr>
            </w:r>
            <w:r>
              <w:rPr>
                <w:noProof/>
                <w:webHidden/>
              </w:rPr>
              <w:fldChar w:fldCharType="separate"/>
            </w:r>
            <w:r>
              <w:rPr>
                <w:noProof/>
                <w:webHidden/>
              </w:rPr>
              <w:t>3</w:t>
            </w:r>
            <w:r>
              <w:rPr>
                <w:noProof/>
                <w:webHidden/>
              </w:rPr>
              <w:fldChar w:fldCharType="end"/>
            </w:r>
          </w:hyperlink>
        </w:p>
        <w:p w14:paraId="1A3C8C31"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4"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_Toc186460984 \h </w:instrText>
            </w:r>
            <w:r>
              <w:rPr>
                <w:noProof/>
                <w:webHidden/>
              </w:rPr>
            </w:r>
            <w:r>
              <w:rPr>
                <w:noProof/>
                <w:webHidden/>
              </w:rPr>
              <w:fldChar w:fldCharType="separate"/>
            </w:r>
            <w:r>
              <w:rPr>
                <w:noProof/>
                <w:webHidden/>
              </w:rPr>
              <w:t>3</w:t>
            </w:r>
            <w:r>
              <w:rPr>
                <w:noProof/>
                <w:webHidden/>
              </w:rPr>
              <w:fldChar w:fldCharType="end"/>
            </w:r>
          </w:hyperlink>
        </w:p>
        <w:p w14:paraId="1FDAF0B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5"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Marco teórico -conceptual</w:t>
            </w:r>
            <w:r>
              <w:rPr>
                <w:noProof/>
                <w:webHidden/>
              </w:rPr>
              <w:tab/>
            </w:r>
            <w:r>
              <w:rPr>
                <w:noProof/>
                <w:webHidden/>
              </w:rPr>
              <w:fldChar w:fldCharType="begin"/>
            </w:r>
            <w:r>
              <w:rPr>
                <w:noProof/>
                <w:webHidden/>
              </w:rPr>
              <w:instrText xml:space="preserve"> PAGEREF _Toc186460985 \h </w:instrText>
            </w:r>
            <w:r>
              <w:rPr>
                <w:noProof/>
                <w:webHidden/>
              </w:rPr>
            </w:r>
            <w:r>
              <w:rPr>
                <w:noProof/>
                <w:webHidden/>
              </w:rPr>
              <w:fldChar w:fldCharType="separate"/>
            </w:r>
            <w:r>
              <w:rPr>
                <w:noProof/>
                <w:webHidden/>
              </w:rPr>
              <w:t>3</w:t>
            </w:r>
            <w:r>
              <w:rPr>
                <w:noProof/>
                <w:webHidden/>
              </w:rPr>
              <w:fldChar w:fldCharType="end"/>
            </w:r>
          </w:hyperlink>
        </w:p>
        <w:p w14:paraId="2D51902C"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6" w:history="1">
            <w:r>
              <w:rPr>
                <w:rStyle w:val="Hipervnculo"/>
                <w:noProof/>
              </w:rPr>
              <w:t>Capítulo 3.</w:t>
            </w:r>
            <w:r>
              <w:rPr>
                <w:noProof/>
                <w:webHidden/>
              </w:rPr>
              <w:tab/>
            </w:r>
            <w:r>
              <w:rPr>
                <w:noProof/>
                <w:webHidden/>
              </w:rPr>
              <w:fldChar w:fldCharType="begin"/>
            </w:r>
            <w:r>
              <w:rPr>
                <w:noProof/>
                <w:webHidden/>
              </w:rPr>
              <w:instrText xml:space="preserve"> PAGEREF _Toc186460986 \h </w:instrText>
            </w:r>
            <w:r>
              <w:rPr>
                <w:noProof/>
                <w:webHidden/>
              </w:rPr>
            </w:r>
            <w:r>
              <w:rPr>
                <w:noProof/>
                <w:webHidden/>
              </w:rPr>
              <w:fldChar w:fldCharType="separate"/>
            </w:r>
            <w:r>
              <w:rPr>
                <w:noProof/>
                <w:webHidden/>
              </w:rPr>
              <w:t>4</w:t>
            </w:r>
            <w:r>
              <w:rPr>
                <w:noProof/>
                <w:webHidden/>
              </w:rPr>
              <w:fldChar w:fldCharType="end"/>
            </w:r>
          </w:hyperlink>
        </w:p>
        <w:p w14:paraId="2D14ACD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7"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Propuesta metodológica</w:t>
            </w:r>
            <w:r>
              <w:rPr>
                <w:noProof/>
                <w:webHidden/>
              </w:rPr>
              <w:tab/>
            </w:r>
            <w:r>
              <w:rPr>
                <w:noProof/>
                <w:webHidden/>
              </w:rPr>
              <w:fldChar w:fldCharType="begin"/>
            </w:r>
            <w:r>
              <w:rPr>
                <w:noProof/>
                <w:webHidden/>
              </w:rPr>
              <w:instrText xml:space="preserve"> PAGEREF _Toc186460987 \h </w:instrText>
            </w:r>
            <w:r>
              <w:rPr>
                <w:noProof/>
                <w:webHidden/>
              </w:rPr>
            </w:r>
            <w:r>
              <w:rPr>
                <w:noProof/>
                <w:webHidden/>
              </w:rPr>
              <w:fldChar w:fldCharType="separate"/>
            </w:r>
            <w:r>
              <w:rPr>
                <w:noProof/>
                <w:webHidden/>
              </w:rPr>
              <w:t>4</w:t>
            </w:r>
            <w:r>
              <w:rPr>
                <w:noProof/>
                <w:webHidden/>
              </w:rPr>
              <w:fldChar w:fldCharType="end"/>
            </w:r>
          </w:hyperlink>
        </w:p>
        <w:p w14:paraId="0D37B18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8"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Población y muestra</w:t>
            </w:r>
            <w:r>
              <w:rPr>
                <w:noProof/>
                <w:webHidden/>
              </w:rPr>
              <w:tab/>
            </w:r>
            <w:r>
              <w:rPr>
                <w:noProof/>
                <w:webHidden/>
              </w:rPr>
              <w:fldChar w:fldCharType="begin"/>
            </w:r>
            <w:r>
              <w:rPr>
                <w:noProof/>
                <w:webHidden/>
              </w:rPr>
              <w:instrText xml:space="preserve"> PAGEREF _Toc186460988 \h </w:instrText>
            </w:r>
            <w:r>
              <w:rPr>
                <w:noProof/>
                <w:webHidden/>
              </w:rPr>
            </w:r>
            <w:r>
              <w:rPr>
                <w:noProof/>
                <w:webHidden/>
              </w:rPr>
              <w:fldChar w:fldCharType="separate"/>
            </w:r>
            <w:r>
              <w:rPr>
                <w:noProof/>
                <w:webHidden/>
              </w:rPr>
              <w:t>4</w:t>
            </w:r>
            <w:r>
              <w:rPr>
                <w:noProof/>
                <w:webHidden/>
              </w:rPr>
              <w:fldChar w:fldCharType="end"/>
            </w:r>
          </w:hyperlink>
        </w:p>
        <w:p w14:paraId="2CA2B12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9"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Instrumento. Método de validación. Descripción procedimiento de aplicación</w:t>
            </w:r>
            <w:r>
              <w:rPr>
                <w:noProof/>
                <w:webHidden/>
              </w:rPr>
              <w:tab/>
            </w:r>
            <w:r>
              <w:rPr>
                <w:noProof/>
                <w:webHidden/>
              </w:rPr>
              <w:fldChar w:fldCharType="begin"/>
            </w:r>
            <w:r>
              <w:rPr>
                <w:noProof/>
                <w:webHidden/>
              </w:rPr>
              <w:instrText xml:space="preserve"> PAGEREF _Toc186460989 \h </w:instrText>
            </w:r>
            <w:r>
              <w:rPr>
                <w:noProof/>
                <w:webHidden/>
              </w:rPr>
            </w:r>
            <w:r>
              <w:rPr>
                <w:noProof/>
                <w:webHidden/>
              </w:rPr>
              <w:fldChar w:fldCharType="separate"/>
            </w:r>
            <w:r>
              <w:rPr>
                <w:noProof/>
                <w:webHidden/>
              </w:rPr>
              <w:t>4</w:t>
            </w:r>
            <w:r>
              <w:rPr>
                <w:noProof/>
                <w:webHidden/>
              </w:rPr>
              <w:fldChar w:fldCharType="end"/>
            </w:r>
          </w:hyperlink>
        </w:p>
        <w:p w14:paraId="787323F2"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0" w:history="1">
            <w:r>
              <w:rPr>
                <w:rStyle w:val="Hipervnculo"/>
                <w:noProof/>
              </w:rPr>
              <w:t>4.</w:t>
            </w:r>
            <w:r>
              <w:rPr>
                <w:rFonts w:asciiTheme="minorHAnsi" w:eastAsiaTheme="minorEastAsia" w:hAnsiTheme="minorHAnsi"/>
                <w:noProof/>
                <w:kern w:val="2"/>
                <w:sz w:val="22"/>
                <w:lang w:val="es-ES" w:eastAsia="es-ES"/>
                <w14:ligatures w14:val="standardContextual"/>
              </w:rPr>
              <w:tab/>
            </w:r>
            <w:r>
              <w:rPr>
                <w:rStyle w:val="Hipervnculo"/>
                <w:noProof/>
              </w:rPr>
              <w:t>Matriz de Variables</w:t>
            </w:r>
            <w:r>
              <w:rPr>
                <w:noProof/>
                <w:webHidden/>
              </w:rPr>
              <w:tab/>
            </w:r>
            <w:r>
              <w:rPr>
                <w:noProof/>
                <w:webHidden/>
              </w:rPr>
              <w:fldChar w:fldCharType="begin"/>
            </w:r>
            <w:r>
              <w:rPr>
                <w:noProof/>
                <w:webHidden/>
              </w:rPr>
              <w:instrText xml:space="preserve"> PAGEREF _Toc186460990 \h </w:instrText>
            </w:r>
            <w:r>
              <w:rPr>
                <w:noProof/>
                <w:webHidden/>
              </w:rPr>
            </w:r>
            <w:r>
              <w:rPr>
                <w:noProof/>
                <w:webHidden/>
              </w:rPr>
              <w:fldChar w:fldCharType="separate"/>
            </w:r>
            <w:r>
              <w:rPr>
                <w:noProof/>
                <w:webHidden/>
              </w:rPr>
              <w:t>4</w:t>
            </w:r>
            <w:r>
              <w:rPr>
                <w:noProof/>
                <w:webHidden/>
              </w:rPr>
              <w:fldChar w:fldCharType="end"/>
            </w:r>
          </w:hyperlink>
        </w:p>
        <w:p w14:paraId="7436E1A3"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1" w:history="1">
            <w:r>
              <w:rPr>
                <w:rStyle w:val="Hipervnculo"/>
                <w:noProof/>
              </w:rPr>
              <w:t>5.</w:t>
            </w:r>
            <w:r>
              <w:rPr>
                <w:rFonts w:asciiTheme="minorHAnsi" w:eastAsiaTheme="minorEastAsia" w:hAnsiTheme="minorHAnsi"/>
                <w:noProof/>
                <w:kern w:val="2"/>
                <w:sz w:val="22"/>
                <w:lang w:val="es-ES" w:eastAsia="es-ES"/>
                <w14:ligatures w14:val="standardContextual"/>
              </w:rPr>
              <w:tab/>
            </w:r>
            <w:r>
              <w:rPr>
                <w:rStyle w:val="Hipervnculo"/>
                <w:noProof/>
              </w:rPr>
              <w:t>Establecimiento de Metodología por Objetivos</w:t>
            </w:r>
            <w:r>
              <w:rPr>
                <w:noProof/>
                <w:webHidden/>
              </w:rPr>
              <w:tab/>
            </w:r>
            <w:r>
              <w:rPr>
                <w:noProof/>
                <w:webHidden/>
              </w:rPr>
              <w:fldChar w:fldCharType="begin"/>
            </w:r>
            <w:r>
              <w:rPr>
                <w:noProof/>
                <w:webHidden/>
              </w:rPr>
              <w:instrText xml:space="preserve"> PAGEREF _Toc186460991 \h </w:instrText>
            </w:r>
            <w:r>
              <w:rPr>
                <w:noProof/>
                <w:webHidden/>
              </w:rPr>
            </w:r>
            <w:r>
              <w:rPr>
                <w:noProof/>
                <w:webHidden/>
              </w:rPr>
              <w:fldChar w:fldCharType="separate"/>
            </w:r>
            <w:r>
              <w:rPr>
                <w:noProof/>
                <w:webHidden/>
              </w:rPr>
              <w:t>4</w:t>
            </w:r>
            <w:r>
              <w:rPr>
                <w:noProof/>
                <w:webHidden/>
              </w:rPr>
              <w:fldChar w:fldCharType="end"/>
            </w:r>
          </w:hyperlink>
        </w:p>
        <w:p w14:paraId="787B2B9D"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2" w:history="1">
            <w:r>
              <w:rPr>
                <w:rStyle w:val="Hipervnculo"/>
                <w:noProof/>
              </w:rPr>
              <w:t>Capítulo 4.</w:t>
            </w:r>
            <w:r>
              <w:rPr>
                <w:noProof/>
                <w:webHidden/>
              </w:rPr>
              <w:tab/>
            </w:r>
            <w:r>
              <w:rPr>
                <w:noProof/>
                <w:webHidden/>
              </w:rPr>
              <w:fldChar w:fldCharType="begin"/>
            </w:r>
            <w:r>
              <w:rPr>
                <w:noProof/>
                <w:webHidden/>
              </w:rPr>
              <w:instrText xml:space="preserve"> PAGEREF _Toc186460992 \h </w:instrText>
            </w:r>
            <w:r>
              <w:rPr>
                <w:noProof/>
                <w:webHidden/>
              </w:rPr>
            </w:r>
            <w:r>
              <w:rPr>
                <w:noProof/>
                <w:webHidden/>
              </w:rPr>
              <w:fldChar w:fldCharType="separate"/>
            </w:r>
            <w:r>
              <w:rPr>
                <w:noProof/>
                <w:webHidden/>
              </w:rPr>
              <w:t>5</w:t>
            </w:r>
            <w:r>
              <w:rPr>
                <w:noProof/>
                <w:webHidden/>
              </w:rPr>
              <w:fldChar w:fldCharType="end"/>
            </w:r>
          </w:hyperlink>
        </w:p>
        <w:p w14:paraId="28451A8D"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3"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Resultados por Objetivo</w:t>
            </w:r>
            <w:r>
              <w:rPr>
                <w:noProof/>
                <w:webHidden/>
              </w:rPr>
              <w:tab/>
            </w:r>
            <w:r>
              <w:rPr>
                <w:noProof/>
                <w:webHidden/>
              </w:rPr>
              <w:fldChar w:fldCharType="begin"/>
            </w:r>
            <w:r>
              <w:rPr>
                <w:noProof/>
                <w:webHidden/>
              </w:rPr>
              <w:instrText xml:space="preserve"> PAGEREF _Toc186460993 \h </w:instrText>
            </w:r>
            <w:r>
              <w:rPr>
                <w:noProof/>
                <w:webHidden/>
              </w:rPr>
            </w:r>
            <w:r>
              <w:rPr>
                <w:noProof/>
                <w:webHidden/>
              </w:rPr>
              <w:fldChar w:fldCharType="separate"/>
            </w:r>
            <w:r>
              <w:rPr>
                <w:noProof/>
                <w:webHidden/>
              </w:rPr>
              <w:t>5</w:t>
            </w:r>
            <w:r>
              <w:rPr>
                <w:noProof/>
                <w:webHidden/>
              </w:rPr>
              <w:fldChar w:fldCharType="end"/>
            </w:r>
          </w:hyperlink>
        </w:p>
        <w:p w14:paraId="7E185814"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4"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Análisis</w:t>
            </w:r>
            <w:r>
              <w:rPr>
                <w:noProof/>
                <w:webHidden/>
              </w:rPr>
              <w:tab/>
            </w:r>
            <w:r>
              <w:rPr>
                <w:noProof/>
                <w:webHidden/>
              </w:rPr>
              <w:fldChar w:fldCharType="begin"/>
            </w:r>
            <w:r>
              <w:rPr>
                <w:noProof/>
                <w:webHidden/>
              </w:rPr>
              <w:instrText xml:space="preserve"> PAGEREF _Toc186460994 \h </w:instrText>
            </w:r>
            <w:r>
              <w:rPr>
                <w:noProof/>
                <w:webHidden/>
              </w:rPr>
            </w:r>
            <w:r>
              <w:rPr>
                <w:noProof/>
                <w:webHidden/>
              </w:rPr>
              <w:fldChar w:fldCharType="separate"/>
            </w:r>
            <w:r>
              <w:rPr>
                <w:noProof/>
                <w:webHidden/>
              </w:rPr>
              <w:t>5</w:t>
            </w:r>
            <w:r>
              <w:rPr>
                <w:noProof/>
                <w:webHidden/>
              </w:rPr>
              <w:fldChar w:fldCharType="end"/>
            </w:r>
          </w:hyperlink>
        </w:p>
        <w:p w14:paraId="06F7F4B3"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5"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Discusión</w:t>
            </w:r>
            <w:r>
              <w:rPr>
                <w:noProof/>
                <w:webHidden/>
              </w:rPr>
              <w:tab/>
            </w:r>
            <w:r>
              <w:rPr>
                <w:noProof/>
                <w:webHidden/>
              </w:rPr>
              <w:fldChar w:fldCharType="begin"/>
            </w:r>
            <w:r>
              <w:rPr>
                <w:noProof/>
                <w:webHidden/>
              </w:rPr>
              <w:instrText xml:space="preserve"> PAGEREF _Toc186460995 \h </w:instrText>
            </w:r>
            <w:r>
              <w:rPr>
                <w:noProof/>
                <w:webHidden/>
              </w:rPr>
            </w:r>
            <w:r>
              <w:rPr>
                <w:noProof/>
                <w:webHidden/>
              </w:rPr>
              <w:fldChar w:fldCharType="separate"/>
            </w:r>
            <w:r>
              <w:rPr>
                <w:noProof/>
                <w:webHidden/>
              </w:rPr>
              <w:t>5</w:t>
            </w:r>
            <w:r>
              <w:rPr>
                <w:noProof/>
                <w:webHidden/>
              </w:rPr>
              <w:fldChar w:fldCharType="end"/>
            </w:r>
          </w:hyperlink>
        </w:p>
        <w:p w14:paraId="71732D33"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6" w:history="1">
            <w:r>
              <w:rPr>
                <w:rStyle w:val="Hipervnculo"/>
                <w:noProof/>
              </w:rPr>
              <w:t>Capítulo 5.</w:t>
            </w:r>
            <w:r>
              <w:rPr>
                <w:noProof/>
                <w:webHidden/>
              </w:rPr>
              <w:tab/>
            </w:r>
            <w:r>
              <w:rPr>
                <w:noProof/>
                <w:webHidden/>
              </w:rPr>
              <w:fldChar w:fldCharType="begin"/>
            </w:r>
            <w:r>
              <w:rPr>
                <w:noProof/>
                <w:webHidden/>
              </w:rPr>
              <w:instrText xml:space="preserve"> PAGEREF _Toc186460996 \h </w:instrText>
            </w:r>
            <w:r>
              <w:rPr>
                <w:noProof/>
                <w:webHidden/>
              </w:rPr>
            </w:r>
            <w:r>
              <w:rPr>
                <w:noProof/>
                <w:webHidden/>
              </w:rPr>
              <w:fldChar w:fldCharType="separate"/>
            </w:r>
            <w:r>
              <w:rPr>
                <w:noProof/>
                <w:webHidden/>
              </w:rPr>
              <w:t>6</w:t>
            </w:r>
            <w:r>
              <w:rPr>
                <w:noProof/>
                <w:webHidden/>
              </w:rPr>
              <w:fldChar w:fldCharType="end"/>
            </w:r>
          </w:hyperlink>
        </w:p>
        <w:p w14:paraId="6A99E3E1"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7"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Conclusiones y recomendaciones</w:t>
            </w:r>
            <w:r>
              <w:rPr>
                <w:noProof/>
                <w:webHidden/>
              </w:rPr>
              <w:tab/>
            </w:r>
            <w:r>
              <w:rPr>
                <w:noProof/>
                <w:webHidden/>
              </w:rPr>
              <w:fldChar w:fldCharType="begin"/>
            </w:r>
            <w:r>
              <w:rPr>
                <w:noProof/>
                <w:webHidden/>
              </w:rPr>
              <w:instrText xml:space="preserve"> PAGEREF _Toc186460997 \h </w:instrText>
            </w:r>
            <w:r>
              <w:rPr>
                <w:noProof/>
                <w:webHidden/>
              </w:rPr>
            </w:r>
            <w:r>
              <w:rPr>
                <w:noProof/>
                <w:webHidden/>
              </w:rPr>
              <w:fldChar w:fldCharType="separate"/>
            </w:r>
            <w:r>
              <w:rPr>
                <w:noProof/>
                <w:webHidden/>
              </w:rPr>
              <w:t>6</w:t>
            </w:r>
            <w:r>
              <w:rPr>
                <w:noProof/>
                <w:webHidden/>
              </w:rPr>
              <w:fldChar w:fldCharType="end"/>
            </w:r>
          </w:hyperlink>
        </w:p>
        <w:p w14:paraId="2CC80D60"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8"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Limitantes y desafíos</w:t>
            </w:r>
            <w:r>
              <w:rPr>
                <w:noProof/>
                <w:webHidden/>
              </w:rPr>
              <w:tab/>
            </w:r>
            <w:r>
              <w:rPr>
                <w:noProof/>
                <w:webHidden/>
              </w:rPr>
              <w:fldChar w:fldCharType="begin"/>
            </w:r>
            <w:r>
              <w:rPr>
                <w:noProof/>
                <w:webHidden/>
              </w:rPr>
              <w:instrText xml:space="preserve"> PAGEREF _Toc186460998 \h </w:instrText>
            </w:r>
            <w:r>
              <w:rPr>
                <w:noProof/>
                <w:webHidden/>
              </w:rPr>
            </w:r>
            <w:r>
              <w:rPr>
                <w:noProof/>
                <w:webHidden/>
              </w:rPr>
              <w:fldChar w:fldCharType="separate"/>
            </w:r>
            <w:r>
              <w:rPr>
                <w:noProof/>
                <w:webHidden/>
              </w:rPr>
              <w:t>6</w:t>
            </w:r>
            <w:r>
              <w:rPr>
                <w:noProof/>
                <w:webHidden/>
              </w:rPr>
              <w:fldChar w:fldCharType="end"/>
            </w:r>
          </w:hyperlink>
        </w:p>
        <w:p w14:paraId="11B5DF2A"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9" w:history="1">
            <w:r>
              <w:rPr>
                <w:rStyle w:val="Hipervnculo"/>
                <w:noProof/>
              </w:rPr>
              <w:t>REFERENCIAS BIBLIOGRÁFICAS</w:t>
            </w:r>
            <w:r>
              <w:rPr>
                <w:noProof/>
                <w:webHidden/>
              </w:rPr>
              <w:tab/>
            </w:r>
            <w:r>
              <w:rPr>
                <w:noProof/>
                <w:webHidden/>
              </w:rPr>
              <w:fldChar w:fldCharType="begin"/>
            </w:r>
            <w:r>
              <w:rPr>
                <w:noProof/>
                <w:webHidden/>
              </w:rPr>
              <w:instrText xml:space="preserve"> PAGEREF _Toc186460999 \h </w:instrText>
            </w:r>
            <w:r>
              <w:rPr>
                <w:noProof/>
                <w:webHidden/>
              </w:rPr>
            </w:r>
            <w:r>
              <w:rPr>
                <w:noProof/>
                <w:webHidden/>
              </w:rPr>
              <w:fldChar w:fldCharType="separate"/>
            </w:r>
            <w:r>
              <w:rPr>
                <w:noProof/>
                <w:webHidden/>
              </w:rPr>
              <w:t>7</w:t>
            </w:r>
            <w:r>
              <w:rPr>
                <w:noProof/>
                <w:webHidden/>
              </w:rPr>
              <w:fldChar w:fldCharType="end"/>
            </w:r>
          </w:hyperlink>
        </w:p>
        <w:p w14:paraId="093F0615"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1000" w:history="1">
            <w:r>
              <w:rPr>
                <w:rStyle w:val="Hipervnculo"/>
                <w:noProof/>
              </w:rPr>
              <w:t>APÉNDICE</w:t>
            </w:r>
            <w:r>
              <w:rPr>
                <w:noProof/>
                <w:webHidden/>
              </w:rPr>
              <w:tab/>
            </w:r>
            <w:r>
              <w:rPr>
                <w:noProof/>
                <w:webHidden/>
              </w:rPr>
              <w:fldChar w:fldCharType="begin"/>
            </w:r>
            <w:r>
              <w:rPr>
                <w:noProof/>
                <w:webHidden/>
              </w:rPr>
              <w:instrText xml:space="preserve"> PAGEREF _Toc186461000 \h </w:instrText>
            </w:r>
            <w:r>
              <w:rPr>
                <w:noProof/>
                <w:webHidden/>
              </w:rPr>
            </w:r>
            <w:r>
              <w:rPr>
                <w:noProof/>
                <w:webHidden/>
              </w:rPr>
              <w:fldChar w:fldCharType="separate"/>
            </w:r>
            <w:r>
              <w:rPr>
                <w:noProof/>
                <w:webHidden/>
              </w:rPr>
              <w:t>8</w:t>
            </w:r>
            <w:r>
              <w:rPr>
                <w:noProof/>
                <w:webHidden/>
              </w:rPr>
              <w:fldChar w:fldCharType="end"/>
            </w:r>
          </w:hyperlink>
        </w:p>
        <w:p w14:paraId="51D91378" w14:textId="77777777" w:rsidR="0042190B" w:rsidRDefault="00637ED1" w:rsidP="00A66BB8">
          <w:pPr>
            <w:pStyle w:val="TDC1"/>
            <w:tabs>
              <w:tab w:val="right" w:leader="dot" w:pos="9350"/>
            </w:tabs>
            <w:spacing w:after="0"/>
            <w:contextualSpacing/>
          </w:pPr>
          <w:r>
            <w:rPr>
              <w:b/>
              <w:bCs/>
              <w:lang w:val="es-ES"/>
            </w:rPr>
            <w:fldChar w:fldCharType="end"/>
          </w:r>
        </w:p>
      </w:sdtContent>
    </w:sdt>
    <w:p w14:paraId="0FCCB325" w14:textId="77777777" w:rsidR="005A16CB" w:rsidRPr="00EF41D5" w:rsidRDefault="005A16CB" w:rsidP="00587376">
      <w:pPr>
        <w:pStyle w:val="Ttulo1"/>
      </w:pPr>
      <w:bookmarkStart w:id="0" w:name="_Toc419891357"/>
      <w:bookmarkStart w:id="1" w:name="_Toc186460975"/>
      <w:r>
        <w:t>Lista de tablas y figuras</w:t>
      </w:r>
      <w:bookmarkEnd w:id="0"/>
      <w:bookmarkEnd w:id="1"/>
    </w:p>
    <w:p w14:paraId="3B015008" w14:textId="77777777" w:rsidR="00DE2C89" w:rsidRPr="00A4695F" w:rsidRDefault="003550AE" w:rsidP="00A4695F">
      <w:pPr>
        <w:rPr>
          <w:b/>
          <w:bCs/>
        </w:rPr>
      </w:pPr>
      <w:r>
        <w:rPr>
          <w:b/>
          <w:bCs/>
        </w:rPr>
        <w:t>Tablas</w:t>
      </w:r>
    </w:p>
    <w:p w14:paraId="3C682896" w14:textId="77777777" w:rsidR="00302EDB" w:rsidRDefault="00637ED1">
      <w:pPr>
        <w:pStyle w:val="Tabladeilustraciones"/>
        <w:tabs>
          <w:tab w:val="right" w:leader="dot" w:pos="9350"/>
        </w:tabs>
        <w:rPr>
          <w:rFonts w:asciiTheme="minorHAnsi" w:eastAsiaTheme="minorEastAsia" w:hAnsiTheme="minorHAnsi"/>
          <w:noProof/>
          <w:sz w:val="22"/>
          <w:lang w:val="es-ES" w:eastAsia="es-ES"/>
        </w:rPr>
      </w:pPr>
      <w:r>
        <w:rPr>
          <w:b/>
          <w:lang w:val="es-CO"/>
        </w:rPr>
        <w:fldChar w:fldCharType="begin"/>
      </w:r>
      <w:r>
        <w:rPr>
          <w:b/>
          <w:lang w:val="es-CO"/>
        </w:rPr>
        <w:instrText xml:space="preserve"> TOC \h \z \c "Tabla" </w:instrText>
      </w:r>
      <w:r>
        <w:rPr>
          <w:b/>
          <w:lang w:val="es-CO"/>
        </w:rPr>
        <w:fldChar w:fldCharType="separate"/>
      </w:r>
      <w:hyperlink w:anchor="_Toc54882864" w:history="1">
        <w:r>
          <w:rPr>
            <w:rStyle w:val="Hipervnculo"/>
            <w:b/>
            <w:bCs/>
            <w:noProof/>
          </w:rPr>
          <w:t xml:space="preserve">Tabla 1  </w:t>
        </w:r>
        <w:r>
          <w:rPr>
            <w:rStyle w:val="Hipervnculo"/>
            <w:noProof/>
          </w:rPr>
          <w:t>El título debe ser breve y descriptivo.</w:t>
        </w:r>
        <w:r>
          <w:rPr>
            <w:noProof/>
            <w:webHidden/>
          </w:rPr>
          <w:tab/>
        </w:r>
        <w:r>
          <w:rPr>
            <w:noProof/>
            <w:webHidden/>
          </w:rPr>
          <w:fldChar w:fldCharType="begin"/>
        </w:r>
        <w:r>
          <w:rPr>
            <w:noProof/>
            <w:webHidden/>
          </w:rPr>
          <w:instrText xml:space="preserve"> PAGEREF _Toc54882864 \h </w:instrText>
        </w:r>
        <w:r>
          <w:rPr>
            <w:noProof/>
            <w:webHidden/>
          </w:rPr>
        </w:r>
        <w:r>
          <w:rPr>
            <w:noProof/>
            <w:webHidden/>
          </w:rPr>
          <w:fldChar w:fldCharType="separate"/>
        </w:r>
        <w:r>
          <w:rPr>
            <w:noProof/>
            <w:webHidden/>
          </w:rPr>
          <w:t>17</w:t>
        </w:r>
        <w:r>
          <w:rPr>
            <w:noProof/>
            <w:webHidden/>
          </w:rPr>
          <w:fldChar w:fldCharType="end"/>
        </w:r>
      </w:hyperlink>
    </w:p>
    <w:p w14:paraId="02E9C8A1" w14:textId="77777777" w:rsidR="00DB575F" w:rsidRDefault="00637ED1" w:rsidP="00A4695F">
      <w:r>
        <w:rPr>
          <w:lang w:val="es-CO"/>
        </w:rPr>
        <w:fldChar w:fldCharType="end"/>
      </w:r>
    </w:p>
    <w:p w14:paraId="5DC27C90" w14:textId="77777777" w:rsidR="005A16CB" w:rsidRPr="00A4695F" w:rsidRDefault="005A16CB" w:rsidP="00A4695F">
      <w:pPr>
        <w:rPr>
          <w:b/>
          <w:bCs/>
        </w:rPr>
      </w:pPr>
      <w:r>
        <w:rPr>
          <w:b/>
          <w:bCs/>
        </w:rPr>
        <w:t>Figuras</w:t>
      </w:r>
    </w:p>
    <w:p w14:paraId="09318360" w14:textId="77777777" w:rsidR="00302EDB" w:rsidRDefault="00637ED1" w:rsidP="00302EDB">
      <w:pPr>
        <w:pStyle w:val="Tabladeilustraciones"/>
        <w:tabs>
          <w:tab w:val="right" w:leader="dot" w:pos="9350"/>
        </w:tabs>
        <w:rPr>
          <w:rFonts w:asciiTheme="minorHAnsi" w:eastAsiaTheme="minorEastAsia" w:hAnsiTheme="minorHAnsi"/>
          <w:noProof/>
          <w:sz w:val="22"/>
          <w:lang w:val="es-ES" w:eastAsia="es-ES"/>
        </w:rPr>
      </w:pPr>
      <w:r>
        <w:rPr>
          <w:lang w:val="es-CO"/>
        </w:rPr>
        <w:fldChar w:fldCharType="begin"/>
      </w:r>
      <w:r>
        <w:rPr>
          <w:lang w:val="es-CO"/>
        </w:rPr>
        <w:instrText xml:space="preserve"> TOC \h \z \c "Figura" </w:instrText>
      </w:r>
      <w:r>
        <w:rPr>
          <w:lang w:val="es-CO"/>
        </w:rPr>
        <w:fldChar w:fldCharType="separate"/>
      </w:r>
      <w:hyperlink w:anchor="_Toc54882999" w:history="1">
        <w:r>
          <w:rPr>
            <w:rStyle w:val="Hipervnculo"/>
            <w:b/>
            <w:bCs/>
            <w:noProof/>
          </w:rPr>
          <w:t xml:space="preserve">Figura 2  </w:t>
        </w:r>
        <w:r>
          <w:rPr>
            <w:rStyle w:val="Hipervnculo"/>
            <w:noProof/>
          </w:rPr>
          <w:t>Formas y descripción de las formas.</w:t>
        </w:r>
        <w:r>
          <w:rPr>
            <w:noProof/>
            <w:webHidden/>
          </w:rPr>
          <w:tab/>
        </w:r>
        <w:r>
          <w:rPr>
            <w:noProof/>
            <w:webHidden/>
          </w:rPr>
          <w:fldChar w:fldCharType="begin"/>
        </w:r>
        <w:r>
          <w:rPr>
            <w:noProof/>
            <w:webHidden/>
          </w:rPr>
          <w:instrText xml:space="preserve"> PAGEREF _Toc54882999 \h </w:instrText>
        </w:r>
        <w:r>
          <w:rPr>
            <w:noProof/>
            <w:webHidden/>
          </w:rPr>
        </w:r>
        <w:r>
          <w:rPr>
            <w:noProof/>
            <w:webHidden/>
          </w:rPr>
          <w:fldChar w:fldCharType="separate"/>
        </w:r>
        <w:r>
          <w:rPr>
            <w:noProof/>
            <w:webHidden/>
          </w:rPr>
          <w:t>19</w:t>
        </w:r>
        <w:r>
          <w:rPr>
            <w:noProof/>
            <w:webHidden/>
          </w:rPr>
          <w:fldChar w:fldCharType="end"/>
        </w:r>
      </w:hyperlink>
    </w:p>
    <w:p w14:paraId="4A32F3F3" w14:textId="57FCD11D" w:rsidR="00A4695F" w:rsidRDefault="00637ED1" w:rsidP="00DF59D4">
      <w:pPr>
        <w:spacing w:line="480" w:lineRule="auto"/>
        <w:rPr>
          <w:rFonts w:eastAsia="Times New Roman" w:cs="Times New Roman"/>
          <w:b/>
          <w:sz w:val="28"/>
          <w:szCs w:val="24"/>
        </w:rPr>
      </w:pPr>
      <w:r>
        <w:rPr>
          <w:lang w:val="es-CO"/>
        </w:rPr>
        <w:fldChar w:fldCharType="end"/>
      </w:r>
      <w:bookmarkStart w:id="2" w:name="_Toc419891361"/>
      <w:r w:rsidR="00A4695F">
        <w:br w:type="page"/>
      </w:r>
    </w:p>
    <w:p w14:paraId="11151DFA" w14:textId="77777777" w:rsidR="00A4695F" w:rsidRPr="00A4695F" w:rsidRDefault="00A4695F" w:rsidP="00A4695F">
      <w:pPr>
        <w:pStyle w:val="Ttulo1"/>
      </w:pPr>
      <w:bookmarkStart w:id="3" w:name="_Toc186460983"/>
      <w:bookmarkEnd w:id="2"/>
      <w:r>
        <w:lastRenderedPageBreak/>
        <w:t>Capítulo 2.</w:t>
      </w:r>
      <w:bookmarkEnd w:id="3"/>
      <w:r>
        <w:t xml:space="preserve"> </w:t>
      </w:r>
    </w:p>
    <w:p w14:paraId="722BBD42" w14:textId="77777777" w:rsidR="00A4695F" w:rsidRDefault="00A4695F" w:rsidP="001F2573">
      <w:pPr>
        <w:pStyle w:val="Ttulo2"/>
        <w:numPr>
          <w:ilvl w:val="0"/>
          <w:numId w:val="3"/>
        </w:numPr>
        <w:spacing w:before="0" w:line="360" w:lineRule="auto"/>
        <w:jc w:val="both"/>
      </w:pPr>
      <w:bookmarkStart w:id="4" w:name="_Toc186460984"/>
      <w:r>
        <w:t>Estado del Arte</w:t>
      </w:r>
      <w:bookmarkEnd w:id="4"/>
    </w:p>
    <w:p w14:paraId="1EF6F524" w14:textId="1BFEAA81" w:rsidR="001F2573" w:rsidRDefault="001F2573" w:rsidP="001F2573">
      <w:pPr>
        <w:pStyle w:val="NormalWeb"/>
        <w:spacing w:before="0" w:beforeAutospacing="0" w:after="0" w:afterAutospacing="0" w:line="360" w:lineRule="auto"/>
        <w:ind w:left="360" w:firstLine="320"/>
        <w:jc w:val="both"/>
      </w:pPr>
      <w:bookmarkStart w:id="5" w:name="_Toc186460985"/>
      <w:r>
        <w:t>E</w:t>
      </w:r>
      <w:r w:rsidR="008A2A68">
        <w:t xml:space="preserve">n este apartado se </w:t>
      </w:r>
      <w:r>
        <w:t xml:space="preserve">expone una revisión sistemática de los avances tecnológicos </w:t>
      </w:r>
      <w:r w:rsidR="0035373D">
        <w:t>y</w:t>
      </w:r>
      <w:r>
        <w:t xml:space="preserve"> pedagógicos relacionados con la integración de realidad aumentada (RA) e inteligencia artificial (IA) en contextos educativos. Se analizan investigaciones recientes, proyectos desarrollados y tendencias emergentes que fundamentan la pertinencia y viabilidad del sistema propuesto para la enseñanza de Ciencias Naturales. La revisión abarca las principales bases de datos científicas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PubMed y Google Scholar—, con especial énfasis en publicaciones de los últimos cinco años (2020-2025), complementadas con referencias de mayor antigüedad cuando su relevancia conceptual lo justifica.</w:t>
      </w:r>
    </w:p>
    <w:p w14:paraId="6AD0813A" w14:textId="77777777" w:rsidR="00592026" w:rsidRDefault="00592026" w:rsidP="001F2573">
      <w:pPr>
        <w:pStyle w:val="NormalWeb"/>
        <w:spacing w:before="0" w:beforeAutospacing="0" w:after="0" w:afterAutospacing="0" w:line="360" w:lineRule="auto"/>
        <w:ind w:left="360" w:firstLine="320"/>
        <w:jc w:val="both"/>
      </w:pPr>
    </w:p>
    <w:p w14:paraId="03273954" w14:textId="77777777" w:rsidR="001F2573" w:rsidRDefault="001F2573" w:rsidP="001F2573">
      <w:pPr>
        <w:pStyle w:val="NormalWeb"/>
        <w:spacing w:before="0" w:beforeAutospacing="0" w:after="0" w:afterAutospacing="0" w:line="360" w:lineRule="auto"/>
        <w:ind w:left="360"/>
        <w:jc w:val="both"/>
      </w:pPr>
      <w:r>
        <w:t xml:space="preserve">La búsqueda bibliográfica se estructuró en torno a cuatro ejes temáticos fundamentales: (a) tecnologías inmersivas en educación, con énfasis en realidad aumentada; (b) inteligencia artificial aplicada a la enseñanza, incluyendo </w:t>
      </w:r>
      <w:proofErr w:type="spellStart"/>
      <w:r>
        <w:t>chatbots</w:t>
      </w:r>
      <w:proofErr w:type="spellEnd"/>
      <w:r>
        <w:t xml:space="preserve">, modelos de lenguaje grande y generación automática de evaluaciones; (c) desarrollo de aplicaciones móviles educativas con </w:t>
      </w:r>
      <w:proofErr w:type="spellStart"/>
      <w:r>
        <w:t>Flutter</w:t>
      </w:r>
      <w:proofErr w:type="spellEnd"/>
      <w:r>
        <w:t xml:space="preserve"> y tecnologías asociadas; y (d) teorías y estrategias pedagógicas para la enseñanza de ciencias naturales mediante tecnología. Esta estructura permite trazar un mapa comprehensivo del estado actual del conocimiento en cada dimensión del sistema desarrollado, evidenciando la brecha investigativa que justifica la presente propuesta.</w:t>
      </w:r>
    </w:p>
    <w:p w14:paraId="347ED8A1" w14:textId="77777777" w:rsidR="00592026" w:rsidRDefault="00592026" w:rsidP="001F2573">
      <w:pPr>
        <w:pStyle w:val="NormalWeb"/>
        <w:spacing w:before="0" w:beforeAutospacing="0" w:after="0" w:afterAutospacing="0" w:line="360" w:lineRule="auto"/>
        <w:ind w:left="360"/>
        <w:jc w:val="both"/>
      </w:pPr>
    </w:p>
    <w:p w14:paraId="49CC7314" w14:textId="2F61E92C" w:rsidR="00E26EE3" w:rsidRDefault="008A2A68" w:rsidP="0035373D">
      <w:pPr>
        <w:pStyle w:val="NormalWeb"/>
        <w:spacing w:before="0" w:beforeAutospacing="0" w:after="0" w:afterAutospacing="0" w:line="360" w:lineRule="auto"/>
        <w:ind w:left="360"/>
        <w:jc w:val="both"/>
        <w:rPr>
          <w:lang w:val="es-MX"/>
        </w:rPr>
      </w:pPr>
      <w:r w:rsidRPr="008A2A68">
        <w:rPr>
          <w:lang w:val="es-MX"/>
        </w:rPr>
        <w:t xml:space="preserve">El análisis de la literatura revela que, si bien existen numerosas investigaciones sobre el uso aislado de la Realidad Aumentada (RA) o de la Inteligencia Artificial (IA) en el ámbito educativo, son notablemente escasas las propuestas que logran integrar de manera sinérgica ambas tecnologías. La falta de plataformas unificadas que articulen simultáneamente el reconocimiento de imágenes, la generación dinámica de evaluaciones adaptativas, el reconocimiento de voz, las mecánicas de gamificación y recursos lexicográficos digitales en una sola interfaz móvil orientada a las Ciencias Naturales constituye una brecha metodológica crítica. Tal como </w:t>
      </w:r>
      <w:r>
        <w:rPr>
          <w:lang w:val="es-MX"/>
        </w:rPr>
        <w:t>indica en</w:t>
      </w:r>
      <w:r w:rsidRPr="008A2A68">
        <w:rPr>
          <w:lang w:val="es-MX"/>
        </w:rPr>
        <w:t xml:space="preserve"> Garzón et al. (2024) y </w:t>
      </w:r>
      <w:proofErr w:type="spellStart"/>
      <w:r w:rsidRPr="008A2A68">
        <w:rPr>
          <w:lang w:val="es-MX"/>
        </w:rPr>
        <w:t>Kasneci</w:t>
      </w:r>
      <w:proofErr w:type="spellEnd"/>
      <w:r w:rsidRPr="008A2A68">
        <w:rPr>
          <w:lang w:val="es-MX"/>
        </w:rPr>
        <w:t xml:space="preserve"> et al. (2023</w:t>
      </w:r>
      <w:r w:rsidRPr="008A2A68">
        <w:rPr>
          <w:b/>
          <w:bCs/>
          <w:lang w:val="es-MX"/>
        </w:rPr>
        <w:t>)</w:t>
      </w:r>
      <w:r w:rsidRPr="008A2A68">
        <w:rPr>
          <w:lang w:val="es-MX"/>
        </w:rPr>
        <w:t xml:space="preserve">, es precisamente esta </w:t>
      </w:r>
      <w:r w:rsidRPr="008A2A68">
        <w:rPr>
          <w:lang w:val="es-MX"/>
        </w:rPr>
        <w:lastRenderedPageBreak/>
        <w:t>convergencia tecnológica y arquitectónica la que define la originalidad, el posicionamiento teórico y el aporte diferenciador del sistema propuesto en la presente investigación.</w:t>
      </w:r>
    </w:p>
    <w:p w14:paraId="2347239C" w14:textId="77777777" w:rsidR="008A2A68" w:rsidRDefault="008A2A68" w:rsidP="008A2A68">
      <w:pPr>
        <w:pStyle w:val="NormalWeb"/>
        <w:spacing w:before="0" w:beforeAutospacing="0" w:after="0" w:afterAutospacing="0" w:line="360" w:lineRule="auto"/>
        <w:ind w:left="360" w:firstLine="320"/>
        <w:jc w:val="both"/>
      </w:pPr>
    </w:p>
    <w:p w14:paraId="4367A6EC" w14:textId="77777777" w:rsidR="0060417E" w:rsidRDefault="0060417E" w:rsidP="000A673B">
      <w:pPr>
        <w:pStyle w:val="NormalWeb"/>
        <w:spacing w:before="0" w:beforeAutospacing="0" w:after="0" w:afterAutospacing="0" w:line="360" w:lineRule="auto"/>
        <w:ind w:firstLine="360"/>
        <w:jc w:val="both"/>
        <w:rPr>
          <w:b/>
          <w:bCs/>
        </w:rPr>
      </w:pPr>
      <w:r>
        <w:rPr>
          <w:b/>
          <w:bCs/>
        </w:rPr>
        <w:t>Realidad Aumentada en Educación</w:t>
      </w:r>
    </w:p>
    <w:p w14:paraId="012A5250" w14:textId="26A1C032" w:rsidR="009D0B51" w:rsidRPr="00665A14" w:rsidRDefault="001E4AEF" w:rsidP="00F217AC">
      <w:pPr>
        <w:pStyle w:val="NormalWeb"/>
        <w:spacing w:before="0" w:beforeAutospacing="0" w:after="0" w:afterAutospacing="0" w:line="360" w:lineRule="auto"/>
        <w:ind w:firstLine="720"/>
        <w:jc w:val="both"/>
        <w:rPr>
          <w:b/>
          <w:bCs/>
        </w:rPr>
      </w:pPr>
      <w:r>
        <w:rPr>
          <w:b/>
          <w:bCs/>
        </w:rPr>
        <w:t>Evolución y Tendencias Actuales</w:t>
      </w:r>
    </w:p>
    <w:p w14:paraId="7D108AE1" w14:textId="7966959E" w:rsidR="000F7794" w:rsidRDefault="000F7794" w:rsidP="005C5C93">
      <w:pPr>
        <w:pStyle w:val="NormalWeb"/>
        <w:spacing w:before="0" w:beforeAutospacing="0" w:after="0" w:afterAutospacing="0" w:line="360" w:lineRule="auto"/>
        <w:ind w:left="426"/>
        <w:jc w:val="both"/>
        <w:rPr>
          <w:lang w:val="es-MX"/>
        </w:rPr>
      </w:pPr>
      <w:r>
        <w:tab/>
      </w:r>
      <w:r w:rsidR="001617A6">
        <w:t xml:space="preserve">La Realidad Aumentada ha consolidado su posición como tecnología transformadora en el ámbito educativo durante los últimos años. </w:t>
      </w:r>
      <w:proofErr w:type="gramStart"/>
      <w:r w:rsidR="001617A6">
        <w:t>Garzón  y</w:t>
      </w:r>
      <w:proofErr w:type="gramEnd"/>
      <w:r w:rsidR="001617A6">
        <w:t xml:space="preserve"> Acevedo (2019), mediante un meta-análisis actualizado en donde incluyó 64 estudios experimentales, cuantificaron un tamaño de efecto medio-alto de la RA sobre el aprendizaje, confirmando su efectividad pedagógica. Posteriormente, Garzón et al. (2020) profundizaron este análisis identificando que las intervenciones con RA en el área de ciencias naturales mostraban efectos particularmente significativos cuando incorporaban interactividad táctil y visualización tridimensional de estructuras microscópicas.</w:t>
      </w:r>
      <w:r w:rsidR="005C5C93">
        <w:t xml:space="preserve"> </w:t>
      </w:r>
      <w:r w:rsidRPr="000F7794">
        <w:rPr>
          <w:lang w:val="es-MX"/>
        </w:rPr>
        <w:t>De acuerdo con los indicadores de mercado recopilados por Kamińska et al. (2023), el mercado global de la RA fue valorado en USD 38.56 mil millones en 2022, con proyecciones financieras que estiman alcanzar los USD 597.54 mil millones para el año 2030. En consonancia con esta expansión, reportes de la industria tecnológica global anticipan que aproximadamente el 75% de la población mundial con acceso a teléfonos inteligentes adoptará de forma activa tecnologías basadas en RA (Snap Inc., 2022). Este escenario configura un ecosistema tecnológico maduro y democratizado, donde el costo decreciente de los dispositivos móviles de gama media viabiliza el despliegue e implementación masiva de soluciones didácticas basadas en RA, incluso en sistemas educativos de regiones emergentes.</w:t>
      </w:r>
    </w:p>
    <w:p w14:paraId="4B0DBFE3" w14:textId="77777777" w:rsidR="001617A6" w:rsidRDefault="001617A6" w:rsidP="000F7794">
      <w:pPr>
        <w:pStyle w:val="NormalWeb"/>
        <w:spacing w:before="0" w:beforeAutospacing="0" w:after="0" w:afterAutospacing="0" w:line="360" w:lineRule="auto"/>
        <w:ind w:left="426"/>
        <w:jc w:val="both"/>
      </w:pPr>
    </w:p>
    <w:p w14:paraId="7191D51F" w14:textId="77777777" w:rsidR="0060417E" w:rsidRPr="00665A14" w:rsidRDefault="0060417E" w:rsidP="00757217">
      <w:pPr>
        <w:pStyle w:val="NormalWeb"/>
        <w:spacing w:before="0" w:beforeAutospacing="0" w:after="0" w:afterAutospacing="0" w:line="360" w:lineRule="auto"/>
        <w:ind w:left="426"/>
        <w:jc w:val="both"/>
      </w:pPr>
      <w:r>
        <w:t>Buchner et al. (2022) realizaron una revisión sistemática de 45 estudios empíricos publicados entre 2020 y 2022, encontrando que la RA mejora significativamente tanto los resultados cognitivos como las actitudes hacia el aprendizaje científico. Los autores identificaron como factores críticos de éxito el diseño pedagógico subyacente, la calidad de los modelos tridimensionales y la integración curricular de las actividades con RA.</w:t>
      </w:r>
    </w:p>
    <w:p w14:paraId="02A9F695" w14:textId="77777777" w:rsidR="0060417E" w:rsidRPr="00665A14" w:rsidRDefault="0060417E" w:rsidP="0092141C">
      <w:pPr>
        <w:pStyle w:val="NormalWeb"/>
        <w:spacing w:before="0" w:beforeAutospacing="0" w:after="0" w:afterAutospacing="0" w:line="360" w:lineRule="auto"/>
        <w:ind w:left="426"/>
        <w:jc w:val="both"/>
      </w:pPr>
      <w:r>
        <w:lastRenderedPageBreak/>
        <w:t xml:space="preserve">Pellas et al. (2020) investigaron específicamente la aplicación de RA en la enseñanza de ciencias en educación primaria y secundaria, analizando 26 estudios experimentales. Sus hallazgos evidenciaron mejoras significativas en comprensión </w:t>
      </w:r>
      <w:proofErr w:type="gramStart"/>
      <w:r>
        <w:t>conceptual,  motivación</w:t>
      </w:r>
      <w:proofErr w:type="gramEnd"/>
      <w:r>
        <w:t xml:space="preserve"> y retención de conocimientos. El estudio enfatizó la particular efectividad de la RA para visualizar fenómenos y estructuras que escapan a la percepción directa, como células, moléculas y procesos biológicos.</w:t>
      </w:r>
    </w:p>
    <w:p w14:paraId="4D657065" w14:textId="77777777" w:rsidR="0060417E" w:rsidRPr="00665A14" w:rsidRDefault="0060417E" w:rsidP="0092141C">
      <w:pPr>
        <w:pStyle w:val="NormalWeb"/>
        <w:spacing w:before="0" w:beforeAutospacing="0" w:after="0" w:afterAutospacing="0" w:line="360" w:lineRule="auto"/>
        <w:ind w:left="360" w:firstLine="66"/>
        <w:jc w:val="both"/>
      </w:pPr>
      <w:r>
        <w:t xml:space="preserve">Arici et al. (2021) condujeron un meta-análisis comprehensivo sobre </w:t>
      </w:r>
      <w:proofErr w:type="gramStart"/>
      <w:r>
        <w:t>RA  en</w:t>
      </w:r>
      <w:proofErr w:type="gramEnd"/>
      <w:r>
        <w:t xml:space="preserve"> educación STEM, incluyendo 55 estudios con 5.734 participantes. Los resultados confirmaron efectos positivos estadísticamente significativos sobre el rendimiento académico (ES = 0.82) y la motivación (ES = 0.63). Los autores recomendaron intervenciones de duración moderada (4-8 semanas) y el uso de marcadores basados en imágenes por su mayor precisión de detección.</w:t>
      </w:r>
    </w:p>
    <w:p w14:paraId="4795AA5C" w14:textId="3CD270F0" w:rsidR="0060417E" w:rsidRDefault="0060417E" w:rsidP="00D9756D">
      <w:pPr>
        <w:pStyle w:val="NormalWeb"/>
        <w:spacing w:before="0" w:beforeAutospacing="0" w:after="0" w:afterAutospacing="0" w:line="360" w:lineRule="auto"/>
        <w:ind w:left="357"/>
        <w:jc w:val="both"/>
      </w:pPr>
      <w:r>
        <w:t>Sáez-López et al. (2020) evaluaron el impacto de la RA en la enseñanza de biología con estudiantes de secundaria en España, encontrando que la visualización tridimensional de organelos celulares mejoró significativamente la comprensión espacial y la capacidad de   identificar relaciones estructura-función, en comparación con representaciones bidimensionales tradicionales.</w:t>
      </w:r>
    </w:p>
    <w:p w14:paraId="53B569D5" w14:textId="77777777" w:rsidR="00E26EE3" w:rsidRDefault="00E26EE3" w:rsidP="00D9756D">
      <w:pPr>
        <w:pStyle w:val="NormalWeb"/>
        <w:spacing w:before="0" w:beforeAutospacing="0" w:after="0" w:afterAutospacing="0" w:line="360" w:lineRule="auto"/>
        <w:ind w:left="357"/>
        <w:jc w:val="both"/>
      </w:pPr>
    </w:p>
    <w:p w14:paraId="428F3857" w14:textId="77777777" w:rsidR="00D9756D" w:rsidRPr="00D9756D" w:rsidRDefault="00D9756D" w:rsidP="00D9756D">
      <w:pPr>
        <w:pStyle w:val="NormalWeb"/>
        <w:spacing w:before="0" w:beforeAutospacing="0" w:after="0" w:afterAutospacing="0" w:line="360" w:lineRule="auto"/>
        <w:ind w:left="357" w:firstLine="363"/>
        <w:rPr>
          <w:b/>
          <w:bCs/>
        </w:rPr>
      </w:pPr>
      <w:r w:rsidRPr="00D9756D">
        <w:rPr>
          <w:b/>
          <w:bCs/>
        </w:rPr>
        <w:t>Aplicaciones Móviles de RA en Educación</w:t>
      </w:r>
    </w:p>
    <w:p w14:paraId="28137602" w14:textId="414C26C6" w:rsidR="00D9756D" w:rsidRDefault="004A523E" w:rsidP="004A523E">
      <w:pPr>
        <w:pStyle w:val="NormalWeb"/>
        <w:spacing w:before="0" w:beforeAutospacing="0" w:after="0" w:afterAutospacing="0" w:line="360" w:lineRule="auto"/>
        <w:ind w:left="357" w:firstLine="363"/>
        <w:jc w:val="both"/>
        <w:rPr>
          <w:lang w:val="es-MX"/>
        </w:rPr>
      </w:pPr>
      <w:r w:rsidRPr="004A523E">
        <w:rPr>
          <w:lang w:val="es-MX"/>
        </w:rPr>
        <w:t>La tendencia contemporánea en el desarrollo de aplicaciones de Realidad Aumentada (RA) de corte educativo se orienta decididamente hacia los dispositivos móviles (</w:t>
      </w:r>
      <w:proofErr w:type="spellStart"/>
      <w:r w:rsidRPr="004A523E">
        <w:rPr>
          <w:i/>
          <w:iCs/>
          <w:lang w:val="es-MX"/>
        </w:rPr>
        <w:t>mobile</w:t>
      </w:r>
      <w:proofErr w:type="spellEnd"/>
      <w:r w:rsidRPr="004A523E">
        <w:rPr>
          <w:i/>
          <w:iCs/>
          <w:lang w:val="es-MX"/>
        </w:rPr>
        <w:t xml:space="preserve"> </w:t>
      </w:r>
      <w:proofErr w:type="spellStart"/>
      <w:r w:rsidRPr="004A523E">
        <w:rPr>
          <w:i/>
          <w:iCs/>
          <w:lang w:val="es-MX"/>
        </w:rPr>
        <w:t>learning</w:t>
      </w:r>
      <w:proofErr w:type="spellEnd"/>
      <w:r w:rsidRPr="004A523E">
        <w:rPr>
          <w:lang w:val="es-MX"/>
        </w:rPr>
        <w:t xml:space="preserve">). Al evaluar la infraestructura de software predominante, Arici et al. (2021) señalan que casi la mitad de los estudios empíricos desarrollan aplicaciones dirigidas específicamente al sistema operativo Android. </w:t>
      </w:r>
      <w:proofErr w:type="spellStart"/>
      <w:r w:rsidRPr="004A523E">
        <w:rPr>
          <w:lang w:val="es-MX"/>
        </w:rPr>
        <w:t>Esta</w:t>
      </w:r>
      <w:proofErr w:type="spellEnd"/>
      <w:r w:rsidRPr="004A523E">
        <w:rPr>
          <w:lang w:val="es-MX"/>
        </w:rPr>
        <w:t xml:space="preserve"> marcada preferencia se atribuye a su amplia adopción y dominancia en el mercado global, particularmente entre estudiantes de educación básica y docentes de regiones en desarrollo que tienden a poseer teléfonos inteligentes (</w:t>
      </w:r>
      <w:r w:rsidRPr="004A523E">
        <w:rPr>
          <w:i/>
          <w:iCs/>
          <w:lang w:val="es-MX"/>
        </w:rPr>
        <w:t>smartphones</w:t>
      </w:r>
      <w:r w:rsidRPr="004A523E">
        <w:rPr>
          <w:lang w:val="es-MX"/>
        </w:rPr>
        <w:t xml:space="preserve">) Android de bajo costo. Por su parte, la combinación de estos dispositivos móviles con sistemas de RA basada en marcadores impresos se ha popularizado transversalmente tanto en la educación infantil como en la educación superior. Como explicaron previamente Akçayır y Akçayır (2017), este fenómeno pone de manifiesto la versatilidad pedagógica y la alta aceptación tecnológica de la </w:t>
      </w:r>
      <w:r w:rsidRPr="004A523E">
        <w:rPr>
          <w:lang w:val="es-MX"/>
        </w:rPr>
        <w:lastRenderedPageBreak/>
        <w:t>RA, demostrando que su capacidad para facilitar la visualización tridimensional y la interactividad en tiempo real beneficia los logros de aprendizaje de forma independiente al nivel educativo.</w:t>
      </w:r>
    </w:p>
    <w:p w14:paraId="0D16F1E7" w14:textId="77777777" w:rsidR="004A523E" w:rsidRDefault="004A523E" w:rsidP="004A523E">
      <w:pPr>
        <w:pStyle w:val="NormalWeb"/>
        <w:spacing w:before="0" w:beforeAutospacing="0" w:after="0" w:afterAutospacing="0" w:line="360" w:lineRule="auto"/>
        <w:ind w:left="357" w:firstLine="363"/>
        <w:jc w:val="both"/>
      </w:pPr>
    </w:p>
    <w:p w14:paraId="3EDC83EA" w14:textId="6E5BD4FB" w:rsidR="00D9756D" w:rsidRPr="00C745A0" w:rsidRDefault="00C745A0" w:rsidP="00C745A0">
      <w:pPr>
        <w:pStyle w:val="NormalWeb"/>
        <w:spacing w:before="0" w:beforeAutospacing="0" w:after="0" w:afterAutospacing="0" w:line="360" w:lineRule="auto"/>
        <w:ind w:left="357"/>
        <w:jc w:val="both"/>
        <w:rPr>
          <w:lang w:val="es-MX"/>
        </w:rPr>
      </w:pPr>
      <w:r w:rsidRPr="00C745A0">
        <w:rPr>
          <w:lang w:val="es-MX"/>
        </w:rPr>
        <w:t xml:space="preserve">Un estudio publicado en </w:t>
      </w:r>
      <w:proofErr w:type="spellStart"/>
      <w:r w:rsidRPr="00C745A0">
        <w:rPr>
          <w:i/>
          <w:iCs/>
          <w:lang w:val="es-MX"/>
        </w:rPr>
        <w:t>Frontiers</w:t>
      </w:r>
      <w:proofErr w:type="spellEnd"/>
      <w:r w:rsidRPr="00C745A0">
        <w:rPr>
          <w:i/>
          <w:iCs/>
          <w:lang w:val="es-MX"/>
        </w:rPr>
        <w:t xml:space="preserve"> in </w:t>
      </w:r>
      <w:proofErr w:type="spellStart"/>
      <w:r w:rsidRPr="00C745A0">
        <w:rPr>
          <w:i/>
          <w:iCs/>
          <w:lang w:val="es-MX"/>
        </w:rPr>
        <w:t>Education</w:t>
      </w:r>
      <w:proofErr w:type="spellEnd"/>
      <w:r w:rsidRPr="00C745A0">
        <w:rPr>
          <w:lang w:val="es-MX"/>
        </w:rPr>
        <w:t xml:space="preserve"> por López-Belmonte et al. (2024) explora el potencial de la Realidad Aumentada (RA) para fortalecer la alfabetización digital en la educación primaria, examinando el uso apropiado de aplicaciones móviles integradas con RA en el contexto escolar. Los hallazgos de esta investigación-acción demuestran que los estudiantes de nivel básico que interactúan con herramientas multimedia inmersivas registran altos niveles de compromiso (</w:t>
      </w:r>
      <w:proofErr w:type="spellStart"/>
      <w:r w:rsidRPr="00C745A0">
        <w:rPr>
          <w:i/>
          <w:iCs/>
          <w:lang w:val="es-MX"/>
        </w:rPr>
        <w:t>engagement</w:t>
      </w:r>
      <w:proofErr w:type="spellEnd"/>
      <w:r w:rsidRPr="00C745A0">
        <w:rPr>
          <w:lang w:val="es-MX"/>
        </w:rPr>
        <w:t>), motivación intrínseca y comunicación colaborativa en comparación con los entornos didácticos tradicionales. El estudio concluye que la RA actúa como un catalizador pedagógico clave, facilitando que los niños se transformen en agentes activos de su propio aprendizaje autónomo en la era digital.</w:t>
      </w:r>
    </w:p>
    <w:p w14:paraId="107C85E8" w14:textId="77777777" w:rsidR="00C745A0" w:rsidRPr="00C745A0" w:rsidRDefault="00C745A0" w:rsidP="00C745A0">
      <w:pPr>
        <w:pStyle w:val="NormalWeb"/>
        <w:spacing w:before="0" w:beforeAutospacing="0" w:after="0" w:afterAutospacing="0" w:line="360" w:lineRule="auto"/>
        <w:ind w:left="357"/>
        <w:jc w:val="both"/>
      </w:pPr>
    </w:p>
    <w:p w14:paraId="7A7672AB" w14:textId="6714D7CC" w:rsidR="00D9756D" w:rsidRDefault="00764C22" w:rsidP="00764C22">
      <w:pPr>
        <w:pStyle w:val="NormalWeb"/>
        <w:spacing w:before="0" w:beforeAutospacing="0" w:after="0" w:afterAutospacing="0" w:line="360" w:lineRule="auto"/>
        <w:ind w:left="357"/>
        <w:jc w:val="both"/>
        <w:rPr>
          <w:lang w:val="es-MX"/>
        </w:rPr>
      </w:pPr>
      <w:r w:rsidRPr="00764C22">
        <w:rPr>
          <w:lang w:val="es-MX"/>
        </w:rPr>
        <w:t xml:space="preserve">En el campo específico de la Biología —área temática del sistema propuesto—, la RA ha demostrado resultados especialmente prometedores debido a su capacidad para externalizar estructuras microscópicas. </w:t>
      </w:r>
      <w:proofErr w:type="spellStart"/>
      <w:r w:rsidRPr="00764C22">
        <w:rPr>
          <w:lang w:val="es-MX"/>
        </w:rPr>
        <w:t>Safitri</w:t>
      </w:r>
      <w:proofErr w:type="spellEnd"/>
      <w:r w:rsidRPr="00764C22">
        <w:rPr>
          <w:lang w:val="es-MX"/>
        </w:rPr>
        <w:t xml:space="preserve"> et al. (2024) evaluaron el impacto de una aplicación de RA diseñada para visualizar estructuras celulares en tres dimensiones, reportando una mejora del 28% en la comprensión de conceptos asociados a los organelos celulares en estudiantes de educación secundaria. Los autores emplearon un diseño </w:t>
      </w:r>
      <w:proofErr w:type="spellStart"/>
      <w:r w:rsidRPr="00764C22">
        <w:rPr>
          <w:lang w:val="es-MX"/>
        </w:rPr>
        <w:t>cuasi-experimental</w:t>
      </w:r>
      <w:proofErr w:type="spellEnd"/>
      <w:r w:rsidRPr="00764C22">
        <w:rPr>
          <w:lang w:val="es-MX"/>
        </w:rPr>
        <w:t xml:space="preserve"> con grupo de control y confirmaron mediante una prueba </w:t>
      </w:r>
      <w:r w:rsidRPr="00764C22">
        <w:rPr>
          <w:i/>
          <w:iCs/>
          <w:lang w:val="es-MX"/>
        </w:rPr>
        <w:t>t</w:t>
      </w:r>
      <w:r w:rsidRPr="00764C22">
        <w:rPr>
          <w:lang w:val="es-MX"/>
        </w:rPr>
        <w:t xml:space="preserve"> de Student que las diferencias de rendimiento eran estadísticamente significativas (</w:t>
      </w:r>
      <w:r w:rsidRPr="00764C22">
        <w:rPr>
          <w:i/>
          <w:iCs/>
          <w:lang w:val="es-MX"/>
        </w:rPr>
        <w:t>t</w:t>
      </w:r>
      <w:r w:rsidRPr="00764C22">
        <w:rPr>
          <w:lang w:val="es-MX"/>
        </w:rPr>
        <w:t xml:space="preserve"> = 5.43, </w:t>
      </w:r>
      <w:r w:rsidRPr="00764C22">
        <w:rPr>
          <w:i/>
          <w:iCs/>
          <w:lang w:val="es-MX"/>
        </w:rPr>
        <w:t>p</w:t>
      </w:r>
      <w:r w:rsidRPr="00764C22">
        <w:rPr>
          <w:lang w:val="es-MX"/>
        </w:rPr>
        <w:t xml:space="preserve"> &lt; 0.001), arrojando un tamaño del efecto notablemente grande (</w:t>
      </w:r>
      <w:r w:rsidRPr="00764C22">
        <w:rPr>
          <w:i/>
          <w:iCs/>
          <w:lang w:val="es-MX"/>
        </w:rPr>
        <w:t>d</w:t>
      </w:r>
      <w:r w:rsidRPr="00764C22">
        <w:rPr>
          <w:lang w:val="es-MX"/>
        </w:rPr>
        <w:t xml:space="preserve"> de Cohen = 1.21). Estos hallazgos de alto impacto empírico sustentan directamente la pertinencia, viabilidad y el valor pedagógico del módulo de RA implementado en el sistema propuesto para la visualización interactiva de la célula animal, la célula vegetal y sus respectivos organelos.</w:t>
      </w:r>
    </w:p>
    <w:p w14:paraId="5A8E2B05" w14:textId="77777777" w:rsidR="00764C22" w:rsidRDefault="00764C22" w:rsidP="00764C22">
      <w:pPr>
        <w:pStyle w:val="NormalWeb"/>
        <w:spacing w:before="0" w:beforeAutospacing="0" w:after="0" w:afterAutospacing="0" w:line="360" w:lineRule="auto"/>
        <w:ind w:left="357"/>
        <w:jc w:val="both"/>
      </w:pPr>
    </w:p>
    <w:p w14:paraId="5A55CBF8" w14:textId="0F55ECB6" w:rsidR="00D9756D" w:rsidRDefault="005F7EBF" w:rsidP="005F7EBF">
      <w:pPr>
        <w:pStyle w:val="NormalWeb"/>
        <w:spacing w:before="0" w:beforeAutospacing="0" w:after="0" w:afterAutospacing="0" w:line="360" w:lineRule="auto"/>
        <w:ind w:left="357"/>
        <w:jc w:val="both"/>
        <w:rPr>
          <w:lang w:val="es-MX"/>
        </w:rPr>
      </w:pPr>
      <w:r w:rsidRPr="005F7EBF">
        <w:rPr>
          <w:lang w:val="es-MX"/>
        </w:rPr>
        <w:t xml:space="preserve">Investigaciones específicas sobre el uso de la Realidad Aumentada (RA) para la enseñanza de la Biología en contextos hispanohablantes revelan que la barrera idiomática de las plataformas </w:t>
      </w:r>
      <w:r w:rsidRPr="005F7EBF">
        <w:rPr>
          <w:lang w:val="es-MX"/>
        </w:rPr>
        <w:lastRenderedPageBreak/>
        <w:t>digitales vigentes constituye una limitación pedagógica significativa. Tal como explican Martínez-Sánchez et al. (2023), la gran mayoría de las aplicaciones de RA orientadas a las ciencias de la naturaleza disponibles en los mercados comerciales han sido desarrolladas en inglés. Esta hegemonía lingüística reduce drásticamente su efectividad didáctica en contextos latinoamericanos, debido a que el esfuerzo por traducir la interfaz interfiere negativamente con el procesamiento cognitivo y la asimilación del contenido científico complejo. Por consiguiente, esta brecha cultural e idiomática constituye una justificación metodológica adicional para el desarrollo de soluciones didácticas nativas en español que democraticen el acceso a la tecnología inmersiva.</w:t>
      </w:r>
    </w:p>
    <w:p w14:paraId="5A98B42F" w14:textId="77777777" w:rsidR="005F7EBF" w:rsidRDefault="005F7EBF" w:rsidP="005F7EBF">
      <w:pPr>
        <w:pStyle w:val="NormalWeb"/>
        <w:spacing w:before="0" w:beforeAutospacing="0" w:after="0" w:afterAutospacing="0" w:line="360" w:lineRule="auto"/>
        <w:ind w:left="357"/>
      </w:pPr>
    </w:p>
    <w:p w14:paraId="26618A73" w14:textId="0B206801" w:rsidR="00D9756D" w:rsidRDefault="00647FD6" w:rsidP="00647FD6">
      <w:pPr>
        <w:pStyle w:val="NormalWeb"/>
        <w:spacing w:before="0" w:beforeAutospacing="0" w:after="0" w:afterAutospacing="0" w:line="360" w:lineRule="auto"/>
        <w:ind w:left="357"/>
        <w:jc w:val="both"/>
        <w:rPr>
          <w:lang w:val="es-MX"/>
        </w:rPr>
      </w:pPr>
      <w:r w:rsidRPr="00647FD6">
        <w:rPr>
          <w:lang w:val="es-MX"/>
        </w:rPr>
        <w:t>Respecto a las modalidades de Realidad Aumentada (RA) móvil, Dunleavy y Dede (2014) identifican dos enfoques instruccionales predominantes con características pedagógicas diferenciadas según sus dinámicas de interacción espacial. Por un lado, la RA basada en marcadores ofrece entornos de aprendizaje altamente estructurados, predecibles y controlados, ideales para proporcionar andamiaje cognitivo (</w:t>
      </w:r>
      <w:proofErr w:type="spellStart"/>
      <w:r w:rsidRPr="00647FD6">
        <w:rPr>
          <w:i/>
          <w:iCs/>
          <w:lang w:val="es-MX"/>
        </w:rPr>
        <w:t>scaffolding</w:t>
      </w:r>
      <w:proofErr w:type="spellEnd"/>
      <w:r w:rsidRPr="00647FD6">
        <w:rPr>
          <w:lang w:val="es-MX"/>
        </w:rPr>
        <w:t>) en contenidos curriculares densos. Por otro lado, la RA sin marcadores (</w:t>
      </w:r>
      <w:proofErr w:type="spellStart"/>
      <w:r w:rsidRPr="00647FD6">
        <w:rPr>
          <w:i/>
          <w:iCs/>
          <w:lang w:val="es-MX"/>
        </w:rPr>
        <w:t>markerless</w:t>
      </w:r>
      <w:proofErr w:type="spellEnd"/>
      <w:r w:rsidRPr="00647FD6">
        <w:rPr>
          <w:lang w:val="es-MX"/>
        </w:rPr>
        <w:t>), fuertemente vinculada a los principios de la teoría del aprendizaje situado, favorece la exploración autónoma y la asimilación conceptual directamente en el entorno físico e informal del estudiante. Al integrar ambos enfoques en módulos computacionales separados, el sistema propuesto dota al docente de una valiosa flexibilidad didáctica, permitiéndole seleccionar de manera adaptativa la modalidad técnica más apropiada según las necesidades específicas del contexto de enseñanza, minimizando de este modo las barreras de adopción en el aula e incrementando la resiliencia del diseño instruccional frente a entornos con recursos variables</w:t>
      </w:r>
    </w:p>
    <w:p w14:paraId="05EB718B" w14:textId="77777777" w:rsidR="00647FD6" w:rsidRPr="00647FD6" w:rsidRDefault="00647FD6" w:rsidP="00647FD6">
      <w:pPr>
        <w:pStyle w:val="NormalWeb"/>
        <w:spacing w:before="0" w:beforeAutospacing="0" w:after="0" w:afterAutospacing="0" w:line="360" w:lineRule="auto"/>
        <w:ind w:left="357"/>
        <w:jc w:val="both"/>
      </w:pPr>
    </w:p>
    <w:p w14:paraId="07092137" w14:textId="722F70CB" w:rsidR="00D9756D" w:rsidRDefault="00D9756D" w:rsidP="004801BE">
      <w:pPr>
        <w:pStyle w:val="NormalWeb"/>
        <w:spacing w:before="0" w:beforeAutospacing="0" w:after="0" w:afterAutospacing="0" w:line="360" w:lineRule="auto"/>
        <w:ind w:left="357" w:firstLine="363"/>
      </w:pPr>
      <w:r w:rsidRPr="004801BE">
        <w:rPr>
          <w:b/>
          <w:bCs/>
        </w:rPr>
        <w:t>Realidad Aumentada en la Visualización de Estructuras Biológicas</w:t>
      </w:r>
    </w:p>
    <w:p w14:paraId="07DAB979" w14:textId="33285028" w:rsidR="00887DB2" w:rsidRPr="00887DB2" w:rsidRDefault="00887DB2" w:rsidP="00887DB2">
      <w:pPr>
        <w:pStyle w:val="NormalWeb"/>
        <w:spacing w:line="360" w:lineRule="auto"/>
        <w:ind w:left="357"/>
        <w:jc w:val="both"/>
      </w:pPr>
      <w:r w:rsidRPr="00887DB2">
        <w:t xml:space="preserve">Pérez-Muñoz et al. (2024), en su reciente mapeo sobre la integración curricular de tecnologías emergentes, identificaron que las aplicaciones orientadas a las ciencias biológicas registran impactos pedagógicos sobresalientes. Al cuantificar de manera estadística estas tendencias, el meta-análisis global de Garzón et al. (2024) confirmó que los desarrollos de Realidad </w:t>
      </w:r>
      <w:r w:rsidRPr="00887DB2">
        <w:lastRenderedPageBreak/>
        <w:t>Aumentada (RA) para la enseñanza de la biología celular reportan los mayores tamaños de efecto en términos de ganancia de aprendizaje en comparación con otras disciplinas científicas de la línea STEM.</w:t>
      </w:r>
      <w:r>
        <w:t xml:space="preserve"> </w:t>
      </w:r>
      <w:r w:rsidRPr="00887DB2">
        <w:t>Los autores atribuyen este comportamiento a que la biología celular demanda el mayor grado de abstracción visual y espacial: mientras que ciertos fenómenos físicos o químicos pueden reproducirse mediante experimentos analógicos en el laboratorio escolar, la observación directa de organelos celulares dinámicos requiere microscopía avanzada de alta resolución, un equipamiento sofisticado ausente en la gran mayoría de las instituciones educativas de la región. De este modo, la convergencia tecnológica y la RA actúan como un ecualizador social y educativo, cerrando efectivamente la brecha de acceso al instrumental especializado al virtualizar laboratorios microscópicos interactivos directamente en las pantallas de dispositivos móviles de bajo costo.</w:t>
      </w:r>
    </w:p>
    <w:p w14:paraId="2D3375DF" w14:textId="77777777" w:rsidR="00887DB2" w:rsidRPr="00887DB2" w:rsidRDefault="00887DB2" w:rsidP="00887DB2">
      <w:pPr>
        <w:pStyle w:val="NormalWeb"/>
        <w:spacing w:line="360" w:lineRule="auto"/>
        <w:ind w:left="357"/>
        <w:jc w:val="both"/>
      </w:pPr>
      <w:r w:rsidRPr="00887DB2">
        <w:t xml:space="preserve">Adicionalmente, investigaciones inscritas en el campo de la neurociencia educativa sugieren que el procesamiento de estímulos tridimensionales y volumétricos genera una coactivación síncrona en regiones del córtex </w:t>
      </w:r>
      <w:proofErr w:type="spellStart"/>
      <w:r w:rsidRPr="00887DB2">
        <w:t>occipitotemporal</w:t>
      </w:r>
      <w:proofErr w:type="spellEnd"/>
      <w:r w:rsidRPr="00887DB2">
        <w:t xml:space="preserve"> (visual) y del hipocampo, estructuras críticas asociadas a la codificación espacial y la consolidación de la memoria declarativa a largo plazo (Bari et al., 2024). A diferencia de las representaciones bidimensionales planas y estáticas, que saturan rápidamente la memoria de trabajo debido a la demanda de transmutación mental, los entornos inmersivos interactivos aprovechan los canales de codificación dual y espacial del cerebro de forma más eficiente (Soto-Carrión et al., 2025). Este fundamento neurocognitivo explica por qué los estudiantes que asimilan la biología celular mediante el soporte de la Realidad Aumentada (RA) registran tasas de retención significativamente más prolongadas y demuestran una mayor capacidad de transferencia conceptual para aplicar el conocimiento biológico en escenarios didácticos nuevos.</w:t>
      </w:r>
    </w:p>
    <w:p w14:paraId="6792DC64" w14:textId="49C54F93" w:rsidR="00D9756D" w:rsidRPr="00887DB2" w:rsidRDefault="00D9756D" w:rsidP="00614E8C">
      <w:pPr>
        <w:pStyle w:val="NormalWeb"/>
        <w:spacing w:before="0" w:beforeAutospacing="0" w:after="0" w:afterAutospacing="0" w:line="360" w:lineRule="auto"/>
        <w:ind w:left="357" w:firstLine="363"/>
        <w:rPr>
          <w:b/>
          <w:bCs/>
        </w:rPr>
      </w:pPr>
      <w:r w:rsidRPr="00887DB2">
        <w:rPr>
          <w:b/>
          <w:bCs/>
        </w:rPr>
        <w:t>Desafíos y Limitaciones</w:t>
      </w:r>
    </w:p>
    <w:p w14:paraId="56D7C7BD" w14:textId="7121ED01" w:rsidR="00614E8C" w:rsidRPr="00614E8C" w:rsidRDefault="00614E8C" w:rsidP="00614E8C">
      <w:pPr>
        <w:pStyle w:val="NormalWeb"/>
        <w:spacing w:before="0" w:beforeAutospacing="0" w:after="0" w:afterAutospacing="0" w:line="360" w:lineRule="auto"/>
        <w:ind w:left="357" w:firstLine="363"/>
        <w:jc w:val="both"/>
      </w:pPr>
      <w:r w:rsidRPr="00614E8C">
        <w:t xml:space="preserve">A pesar de los beneficios pedagógicos documentados, la adopción sistémica de las tecnologías inmersivas enfrenta desafíos críticos en términos de infraestructura tecnológica, compatibilidad de plataformas y asimetrías en el rendimiento del hardware. Aslan et al. (2025) identifican limitaciones persistentes asociadas a la velocidad de procesamiento, la latencia en </w:t>
      </w:r>
      <w:r w:rsidRPr="00614E8C">
        <w:lastRenderedPageBreak/>
        <w:t>las conexiones a internet, la portabilidad de los equipos y las restricciones en las capacidades gráficas de los dispositivos de gama media, variables que condicionan la estabilidad de la experiencia del usuario en el aula.</w:t>
      </w:r>
      <w:r w:rsidRPr="00614E8C">
        <w:t xml:space="preserve"> </w:t>
      </w:r>
      <w:r w:rsidRPr="00614E8C">
        <w:t xml:space="preserve">Adicionalmente, el campo de la investigación empírica en tecnología educativa presenta notables vacíos metodológicos. Tal como advierten Sánchez-Rivas et al. (2026), una parte considerable de la literatura actual evalúa la efectividad didáctica mediante enfoques descriptivos o instrumentos personalizados diseñados </w:t>
      </w:r>
      <w:r w:rsidRPr="00614E8C">
        <w:rPr>
          <w:i/>
          <w:iCs/>
        </w:rPr>
        <w:t>ad-hoc</w:t>
      </w:r>
      <w:r w:rsidRPr="00614E8C">
        <w:t>. La escasez de métricas estandarizadas que cuenten con propiedades psicométricas validadas y confiables de constructo debilita el rigor empírico de las intervenciones, limitando la comparabilidad intertextual de los resultados y la generalización de los hallazgos entre distintos contextos escolares.</w:t>
      </w:r>
    </w:p>
    <w:p w14:paraId="5DDAECAC" w14:textId="77777777" w:rsidR="00D9756D" w:rsidRDefault="00D9756D" w:rsidP="008776AC">
      <w:pPr>
        <w:pStyle w:val="NormalWeb"/>
        <w:spacing w:before="0" w:beforeAutospacing="0" w:after="0" w:afterAutospacing="0" w:line="360" w:lineRule="auto"/>
        <w:ind w:firstLine="720"/>
        <w:jc w:val="both"/>
        <w:rPr>
          <w:b/>
          <w:bCs/>
        </w:rPr>
      </w:pPr>
    </w:p>
    <w:p w14:paraId="71A9E51F" w14:textId="12F1B5DF" w:rsidR="0060417E" w:rsidRDefault="0060417E" w:rsidP="00BB662E">
      <w:pPr>
        <w:pStyle w:val="NormalWeb"/>
        <w:spacing w:before="0" w:beforeAutospacing="0" w:after="0" w:afterAutospacing="0" w:line="360" w:lineRule="auto"/>
        <w:ind w:firstLine="357"/>
        <w:jc w:val="both"/>
        <w:rPr>
          <w:b/>
          <w:bCs/>
        </w:rPr>
      </w:pPr>
      <w:r>
        <w:rPr>
          <w:b/>
          <w:bCs/>
        </w:rPr>
        <w:t xml:space="preserve">Inteligencia Artificial y </w:t>
      </w:r>
      <w:proofErr w:type="spellStart"/>
      <w:r>
        <w:rPr>
          <w:b/>
          <w:bCs/>
        </w:rPr>
        <w:t>Chatbots</w:t>
      </w:r>
      <w:proofErr w:type="spellEnd"/>
      <w:r>
        <w:rPr>
          <w:b/>
          <w:bCs/>
        </w:rPr>
        <w:t xml:space="preserve"> en Educación</w:t>
      </w:r>
    </w:p>
    <w:p w14:paraId="06AF188E" w14:textId="24586E67" w:rsidR="00BB662E" w:rsidRPr="0092141C" w:rsidRDefault="00BB662E" w:rsidP="00BB662E">
      <w:pPr>
        <w:pStyle w:val="NormalWeb"/>
        <w:spacing w:before="0" w:beforeAutospacing="0" w:after="0" w:afterAutospacing="0" w:line="360" w:lineRule="auto"/>
        <w:ind w:firstLine="720"/>
        <w:jc w:val="both"/>
        <w:rPr>
          <w:b/>
          <w:bCs/>
        </w:rPr>
      </w:pPr>
      <w:r w:rsidRPr="00BB662E">
        <w:rPr>
          <w:b/>
          <w:bCs/>
        </w:rPr>
        <w:t>Transformación de la Educación mediante IA</w:t>
      </w:r>
    </w:p>
    <w:p w14:paraId="1DC7C0D0" w14:textId="77777777" w:rsidR="0060417E" w:rsidRDefault="0060417E" w:rsidP="008776AC">
      <w:pPr>
        <w:pStyle w:val="NormalWeb"/>
        <w:spacing w:before="0" w:beforeAutospacing="0" w:after="0" w:afterAutospacing="0" w:line="360" w:lineRule="auto"/>
        <w:ind w:left="426" w:firstLine="294"/>
        <w:jc w:val="both"/>
      </w:pPr>
      <w:r>
        <w:t>La irrupción de los modelos de lenguaje de gran escala (LLM) ha revolucionado el campo de la IA educativa desde 2020. Chen et al. (2020) presentaron una revisión comprehensiva sobre IA en educación, identificando como áreas de mayor desarrollo los sistemas de tutoría inteligente, la evaluación automatizada, los asistentes virtuales conversacionales y la analítica del aprendizaje predictiva.</w:t>
      </w:r>
    </w:p>
    <w:p w14:paraId="1DD25E2E" w14:textId="77777777" w:rsidR="006C1672" w:rsidRDefault="006C1672" w:rsidP="008776AC">
      <w:pPr>
        <w:pStyle w:val="NormalWeb"/>
        <w:spacing w:before="0" w:beforeAutospacing="0" w:after="0" w:afterAutospacing="0" w:line="360" w:lineRule="auto"/>
        <w:ind w:left="426" w:firstLine="294"/>
        <w:jc w:val="both"/>
      </w:pPr>
    </w:p>
    <w:p w14:paraId="133CAA6E" w14:textId="77777777" w:rsidR="0060417E" w:rsidRDefault="0060417E" w:rsidP="00D956D7">
      <w:pPr>
        <w:pStyle w:val="NormalWeb"/>
        <w:spacing w:before="0" w:beforeAutospacing="0" w:after="0" w:afterAutospacing="0" w:line="360" w:lineRule="auto"/>
        <w:ind w:left="360" w:firstLine="66"/>
        <w:jc w:val="both"/>
      </w:pPr>
      <w:proofErr w:type="spellStart"/>
      <w:r>
        <w:t>Kasneci</w:t>
      </w:r>
      <w:proofErr w:type="spellEnd"/>
      <w:r>
        <w:t xml:space="preserve"> et al. (2023) analizaron las oportunidades y desafíos de </w:t>
      </w:r>
      <w:proofErr w:type="spellStart"/>
      <w:r>
        <w:t>ChatGPT</w:t>
      </w:r>
      <w:proofErr w:type="spellEnd"/>
      <w:r>
        <w:t xml:space="preserve"> y los LLM en educación, argumentando que estos sistemas representan un cambio paradigmático en la personalización del aprendizaje. Los autores identificaron beneficios como la disponibilidad 24/7, la capacidad de respuesta a preguntas abiertas, la adaptación al nivel del estudiante y la generación de retroalimentación inmediata. Simultáneamente, señalaron riesgos relacionados con la generación de información incorrecta, la dependencia tecnológica y las implicaciones para la integridad académica.</w:t>
      </w:r>
    </w:p>
    <w:p w14:paraId="34A790DF" w14:textId="77777777" w:rsidR="006C1672" w:rsidRPr="00665A14" w:rsidRDefault="006C1672" w:rsidP="00D956D7">
      <w:pPr>
        <w:pStyle w:val="NormalWeb"/>
        <w:spacing w:before="0" w:beforeAutospacing="0" w:after="0" w:afterAutospacing="0" w:line="360" w:lineRule="auto"/>
        <w:ind w:left="360" w:firstLine="66"/>
        <w:jc w:val="both"/>
      </w:pPr>
    </w:p>
    <w:p w14:paraId="196300A6" w14:textId="77777777" w:rsidR="0060417E" w:rsidRDefault="0060417E" w:rsidP="0017756E">
      <w:pPr>
        <w:pStyle w:val="NormalWeb"/>
        <w:spacing w:before="0" w:beforeAutospacing="0" w:after="0" w:afterAutospacing="0" w:line="360" w:lineRule="auto"/>
        <w:ind w:left="360"/>
        <w:jc w:val="both"/>
      </w:pPr>
      <w:proofErr w:type="spellStart"/>
      <w:r>
        <w:t>Kuhail</w:t>
      </w:r>
      <w:proofErr w:type="spellEnd"/>
      <w:r>
        <w:t xml:space="preserve"> et al. (2023) realizaron una revisión sistemática sobre </w:t>
      </w:r>
      <w:proofErr w:type="spellStart"/>
      <w:r>
        <w:t>chatbots</w:t>
      </w:r>
      <w:proofErr w:type="spellEnd"/>
      <w:r>
        <w:t xml:space="preserve"> educativos, analizando 53 estudios publicados entre 2018 y 2022. Los hallazgos evidenciaron que los </w:t>
      </w:r>
      <w:proofErr w:type="spellStart"/>
      <w:r>
        <w:t>chatbots</w:t>
      </w:r>
      <w:proofErr w:type="spellEnd"/>
      <w:r>
        <w:t xml:space="preserve"> mejoran   </w:t>
      </w:r>
      <w:r>
        <w:lastRenderedPageBreak/>
        <w:t xml:space="preserve">significativamente la interacción activa estudiantil (78% de estudios reportaron efectos positivos), la resolución de dudas en tiempo real (reducción del 40-50% en consultas básicas a docentes) y la personalización del aprendizaje. Los autores enfatizaron que </w:t>
      </w:r>
      <w:proofErr w:type="gramStart"/>
      <w:r>
        <w:t xml:space="preserve">los  </w:t>
      </w:r>
      <w:proofErr w:type="spellStart"/>
      <w:r>
        <w:t>chatbots</w:t>
      </w:r>
      <w:proofErr w:type="spellEnd"/>
      <w:proofErr w:type="gramEnd"/>
      <w:r>
        <w:t xml:space="preserve"> basados en LLM superan significativamente a los sistemas basados en reglas en naturalidad conversacional y capacidad de contextualización.</w:t>
      </w:r>
    </w:p>
    <w:p w14:paraId="52B2A65F" w14:textId="77777777" w:rsidR="006C1672" w:rsidRPr="00665A14" w:rsidRDefault="006C1672" w:rsidP="0017756E">
      <w:pPr>
        <w:pStyle w:val="NormalWeb"/>
        <w:spacing w:before="0" w:beforeAutospacing="0" w:after="0" w:afterAutospacing="0" w:line="360" w:lineRule="auto"/>
        <w:ind w:left="360"/>
        <w:jc w:val="both"/>
      </w:pPr>
    </w:p>
    <w:p w14:paraId="061CAD1C" w14:textId="4658FE7A" w:rsidR="0060417E" w:rsidRDefault="0060417E" w:rsidP="0017756E">
      <w:pPr>
        <w:pStyle w:val="NormalWeb"/>
        <w:spacing w:before="0" w:beforeAutospacing="0" w:after="0" w:afterAutospacing="0" w:line="360" w:lineRule="auto"/>
        <w:ind w:left="360"/>
        <w:jc w:val="both"/>
      </w:pPr>
      <w:r>
        <w:t xml:space="preserve">Lo (2023) investigó específicamente el impacto de </w:t>
      </w:r>
      <w:proofErr w:type="spellStart"/>
      <w:r>
        <w:t>ChatGPT</w:t>
      </w:r>
      <w:proofErr w:type="spellEnd"/>
      <w:r>
        <w:t xml:space="preserve"> en educación superior, donde se </w:t>
      </w:r>
      <w:r w:rsidR="005976F1">
        <w:t>encontró</w:t>
      </w:r>
      <w:r>
        <w:t xml:space="preserve"> percepciones mayoritariamente positivas entre estudiantes respecto a su utilidad para aclarar conceptos, generar ejemplos y proporcionar explicaciones alternativas. El estudio   recomendó la integración supervisada de estas herramientas en estrategias pedagógicas formales.</w:t>
      </w:r>
    </w:p>
    <w:p w14:paraId="26D6990F" w14:textId="77777777" w:rsidR="006C1672" w:rsidRDefault="006C1672" w:rsidP="0017756E">
      <w:pPr>
        <w:pStyle w:val="NormalWeb"/>
        <w:spacing w:before="0" w:beforeAutospacing="0" w:after="0" w:afterAutospacing="0" w:line="360" w:lineRule="auto"/>
        <w:ind w:left="360"/>
        <w:jc w:val="both"/>
      </w:pPr>
    </w:p>
    <w:p w14:paraId="1529C59E" w14:textId="77777777" w:rsidR="0060417E" w:rsidRDefault="0060417E" w:rsidP="0017756E">
      <w:pPr>
        <w:pStyle w:val="NormalWeb"/>
        <w:spacing w:before="0" w:beforeAutospacing="0" w:after="0" w:afterAutospacing="0" w:line="360" w:lineRule="auto"/>
        <w:ind w:left="360"/>
        <w:jc w:val="both"/>
      </w:pPr>
      <w:r>
        <w:t xml:space="preserve">Okonkwo y </w:t>
      </w:r>
      <w:proofErr w:type="spellStart"/>
      <w:r>
        <w:t>Ade-Ibijola</w:t>
      </w:r>
      <w:proofErr w:type="spellEnd"/>
      <w:r>
        <w:t xml:space="preserve"> (2023) evaluaron la efectividad de </w:t>
      </w:r>
      <w:proofErr w:type="spellStart"/>
      <w:r>
        <w:t>chatbots</w:t>
      </w:r>
      <w:proofErr w:type="spellEnd"/>
      <w:r>
        <w:t xml:space="preserve"> educativos para el soporte académico, encontrando una reducción del 43% en consultas básicas a docentes y mejoras significativas en la satisfacción estudiantil. El estudio enfatizó la importancia de contextualizar los </w:t>
      </w:r>
      <w:proofErr w:type="spellStart"/>
      <w:r>
        <w:t>chatbots</w:t>
      </w:r>
      <w:proofErr w:type="spellEnd"/>
      <w:r>
        <w:t xml:space="preserve"> con contenido curricular específico y entrenarlos con materiales pedagógicamente validados. Hwang et al. (2020) propusieron un marco para la integración de IA en ecosistemas educativos, argumentando que los sistemas más efectivos combinan múltiples capacidades: procesamiento de lenguaje natural, análisis de comportamiento del estudiante, recomendación adaptativa de contenidos y retroalimentación personalizada.</w:t>
      </w:r>
    </w:p>
    <w:p w14:paraId="149086E1" w14:textId="77777777" w:rsidR="001C145E" w:rsidRDefault="001C145E" w:rsidP="006C1672">
      <w:pPr>
        <w:pStyle w:val="NormalWeb"/>
        <w:spacing w:before="0" w:beforeAutospacing="0" w:after="0" w:afterAutospacing="0" w:line="360" w:lineRule="auto"/>
        <w:ind w:left="357"/>
        <w:jc w:val="both"/>
      </w:pPr>
    </w:p>
    <w:p w14:paraId="2841D3FF" w14:textId="77777777" w:rsidR="001C145E" w:rsidRPr="001C145E" w:rsidRDefault="001C145E" w:rsidP="006C1672">
      <w:pPr>
        <w:pStyle w:val="NormalWeb"/>
        <w:spacing w:before="0" w:beforeAutospacing="0" w:after="0" w:afterAutospacing="0" w:line="360" w:lineRule="auto"/>
        <w:ind w:left="357" w:firstLine="363"/>
        <w:jc w:val="both"/>
        <w:rPr>
          <w:b/>
          <w:bCs/>
        </w:rPr>
      </w:pPr>
      <w:proofErr w:type="spellStart"/>
      <w:r w:rsidRPr="001C145E">
        <w:rPr>
          <w:b/>
          <w:bCs/>
        </w:rPr>
        <w:t>Chatbots</w:t>
      </w:r>
      <w:proofErr w:type="spellEnd"/>
      <w:r w:rsidRPr="001C145E">
        <w:rPr>
          <w:b/>
          <w:bCs/>
        </w:rPr>
        <w:t xml:space="preserve"> en la Enseñanza de Ciencias</w:t>
      </w:r>
    </w:p>
    <w:p w14:paraId="2DDB2259" w14:textId="77777777" w:rsidR="006C1672" w:rsidRPr="006C1672" w:rsidRDefault="006C1672" w:rsidP="006C1672">
      <w:pPr>
        <w:pStyle w:val="NormalWeb"/>
        <w:spacing w:before="0" w:beforeAutospacing="0" w:after="0" w:afterAutospacing="0" w:line="360" w:lineRule="auto"/>
        <w:ind w:left="357" w:firstLine="363"/>
        <w:jc w:val="both"/>
      </w:pPr>
      <w:r w:rsidRPr="006C1672">
        <w:t xml:space="preserve">En el contexto específico de la educación científica, los asistentes conversacionales o </w:t>
      </w:r>
      <w:proofErr w:type="spellStart"/>
      <w:r w:rsidRPr="006C1672">
        <w:rPr>
          <w:i/>
          <w:iCs/>
        </w:rPr>
        <w:t>chatbots</w:t>
      </w:r>
      <w:proofErr w:type="spellEnd"/>
      <w:r w:rsidRPr="006C1672">
        <w:t xml:space="preserve"> desempeñan roles pedagógicos especializados de andamiaje y soporte continuo. De acuerdo con la taxonomía dimensional formulada por Wollny et al. (2021), estas herramientas operan a través de tres funciones críticas interconectadas: el soporte directo en actividades formativas (</w:t>
      </w:r>
      <w:proofErr w:type="spellStart"/>
      <w:r w:rsidRPr="006C1672">
        <w:rPr>
          <w:i/>
          <w:iCs/>
        </w:rPr>
        <w:t>Learning</w:t>
      </w:r>
      <w:proofErr w:type="spellEnd"/>
      <w:r w:rsidRPr="006C1672">
        <w:t>), la simplificación de tareas del entorno (</w:t>
      </w:r>
      <w:proofErr w:type="spellStart"/>
      <w:r w:rsidRPr="006C1672">
        <w:rPr>
          <w:i/>
          <w:iCs/>
        </w:rPr>
        <w:t>Assisting</w:t>
      </w:r>
      <w:proofErr w:type="spellEnd"/>
      <w:r w:rsidRPr="006C1672">
        <w:t>) y la facilitación de procesos de autorregulación (</w:t>
      </w:r>
      <w:proofErr w:type="spellStart"/>
      <w:r w:rsidRPr="006C1672">
        <w:rPr>
          <w:i/>
          <w:iCs/>
        </w:rPr>
        <w:t>Mentoring</w:t>
      </w:r>
      <w:proofErr w:type="spellEnd"/>
      <w:r w:rsidRPr="006C1672">
        <w:t>).</w:t>
      </w:r>
    </w:p>
    <w:p w14:paraId="4AC16B3A" w14:textId="77777777" w:rsidR="006C1672" w:rsidRPr="006C1672" w:rsidRDefault="006C1672" w:rsidP="006C1672">
      <w:pPr>
        <w:pStyle w:val="NormalWeb"/>
        <w:spacing w:line="360" w:lineRule="auto"/>
        <w:ind w:left="357"/>
        <w:jc w:val="both"/>
      </w:pPr>
      <w:r w:rsidRPr="006C1672">
        <w:lastRenderedPageBreak/>
        <w:t xml:space="preserve">En virtud de esta versatilidad funcional, investigaciones recientes orientadas al aprendizaje de las ciencias demuestran que los asistentes basados en Inteligencia Artificial (IA) actúan eficazmente como </w:t>
      </w:r>
      <w:proofErr w:type="spellStart"/>
      <w:r w:rsidRPr="006C1672">
        <w:t>co-tutores</w:t>
      </w:r>
      <w:proofErr w:type="spellEnd"/>
      <w:r w:rsidRPr="006C1672">
        <w:t xml:space="preserve"> y guías interactivos en laboratorios virtuales y simulaciones didácticas (Cheng et al., 2024). Bajo esta arquitectura, el </w:t>
      </w:r>
      <w:proofErr w:type="spellStart"/>
      <w:r w:rsidRPr="006C1672">
        <w:t>chatbot</w:t>
      </w:r>
      <w:proofErr w:type="spellEnd"/>
      <w:r w:rsidRPr="006C1672">
        <w:t xml:space="preserve"> interactúa dinámicamente con el estudiante guiándolo paso a paso en la ejecución de procedimientos experimentales, resolviendo consultas conceptuales en tiempo real y gestionando la carga cognitiva sin demandar la intervención o presencia física constante del docente en cada estación de trabajo, lo que flexibiliza la instrucción y promueve el aprendizaje autónomo de las ciencias naturales (Hwang &amp; Chang, 2026).</w:t>
      </w:r>
    </w:p>
    <w:p w14:paraId="0C800D9F" w14:textId="508DF077" w:rsidR="006C1672" w:rsidRPr="006C1672" w:rsidRDefault="006C1672" w:rsidP="006C1672">
      <w:pPr>
        <w:pStyle w:val="NormalWeb"/>
        <w:spacing w:line="360" w:lineRule="auto"/>
        <w:ind w:left="357"/>
        <w:jc w:val="both"/>
      </w:pPr>
      <w:r w:rsidRPr="006C1672">
        <w:t>Una investigación de particular relevancia para respaldar las dimensiones de inmediatez del sistema propuesto es el estudio de García-Peñalvo et al. (2024), el cual evaluó la eficiencia operativa y el impacto instruccional de un asistente virtual conversacional inteligente aplicado a las ciencias naturales en la educación secundaria. Los autores reportaron que el 87% de los estudiantes logró resolver de manera autónoma sus interrogantes conceptuales mediante la interacción con el sistema automatizado, superando los índices de consulta de los libros de texto tradicionales.</w:t>
      </w:r>
      <w:r>
        <w:t xml:space="preserve"> </w:t>
      </w:r>
      <w:r w:rsidRPr="006C1672">
        <w:t>Asimismo, el análisis de rendimiento de la interfaz demostró que el tiempo promedio de espera para la resolución de dudas se redujo drásticamente de un promedio de 48 horas —asociado a la comunicación asincrónica por correo electrónico con el docente— a una latencia de respuesta de apenas 3.2 segundos por parte del asistente virtual. Esta optimización temporal impactó positivamente en la persistencia académica y garantizó la continuidad del procesamiento cognitivo, una métrica de diseño que fundamenta directamente la necesidad de implementar el asistente conversacional interactivo planteado en este proyecto.</w:t>
      </w:r>
    </w:p>
    <w:p w14:paraId="110A98E2" w14:textId="1BFFE02B" w:rsidR="00963E3B" w:rsidRDefault="00963E3B" w:rsidP="00963E3B">
      <w:pPr>
        <w:pStyle w:val="NormalWeb"/>
        <w:spacing w:before="0" w:beforeAutospacing="0" w:after="0" w:afterAutospacing="0" w:line="360" w:lineRule="auto"/>
        <w:ind w:left="357" w:firstLine="363"/>
        <w:jc w:val="both"/>
      </w:pPr>
      <w:r w:rsidRPr="00963E3B">
        <w:rPr>
          <w:b/>
          <w:bCs/>
        </w:rPr>
        <w:t>IA Generativa y Modelos de Lenguaje Grande</w:t>
      </w:r>
    </w:p>
    <w:p w14:paraId="3B7F9A5D" w14:textId="0C8A597F" w:rsidR="00963E3B" w:rsidRPr="00963E3B" w:rsidRDefault="00963E3B" w:rsidP="00963E3B">
      <w:pPr>
        <w:pStyle w:val="NormalWeb"/>
        <w:spacing w:line="360" w:lineRule="auto"/>
        <w:ind w:left="357"/>
        <w:jc w:val="both"/>
      </w:pPr>
      <w:r w:rsidRPr="00963E3B">
        <w:t xml:space="preserve">La consolidación de la Inteligencia Artificial Generativa (GenAI) y los Modelos de Lenguaje Grande (LLM) —tales como GPT, Llama y Mistral— ha redefinido disruptivamente el alcance psicopedagógico de los asistentes conversacionales en el ámbito educativo. Como explican </w:t>
      </w:r>
      <w:proofErr w:type="spellStart"/>
      <w:r w:rsidRPr="00963E3B">
        <w:t>Kasneci</w:t>
      </w:r>
      <w:proofErr w:type="spellEnd"/>
      <w:r w:rsidRPr="00963E3B">
        <w:t xml:space="preserve"> et al. (2025), estas arquitecturas han permitido transitar de los sistemas rígidos de </w:t>
      </w:r>
      <w:r w:rsidRPr="00963E3B">
        <w:lastRenderedPageBreak/>
        <w:t>recuperación de información basados en reglas algorítmicas lineales, hacia interfaces multimodales dotadas de capacidades de procesamiento semántico avanzado.</w:t>
      </w:r>
      <w:r>
        <w:t xml:space="preserve"> </w:t>
      </w:r>
      <w:r w:rsidRPr="00963E3B">
        <w:t>En consecuencia, estos asistentes avanzados demuestran una alta competencia para generar respuestas dinámicas, sintácticamente fluidas, cohesionadas y adaptadas contextualmente a las necesidades del interlocutor. De acuerdo con Hwang y Chang (2026), esta evolución algorítmica no solo viabiliza interacciones conversacionales más naturales, intuitivas y personalizadas, sino que además incrementa de manera significativa el compromiso cognitivo (</w:t>
      </w:r>
      <w:r w:rsidRPr="00963E3B">
        <w:rPr>
          <w:i/>
          <w:iCs/>
        </w:rPr>
        <w:t xml:space="preserve">cognitive </w:t>
      </w:r>
      <w:proofErr w:type="spellStart"/>
      <w:r w:rsidRPr="00963E3B">
        <w:rPr>
          <w:i/>
          <w:iCs/>
        </w:rPr>
        <w:t>engagement</w:t>
      </w:r>
      <w:proofErr w:type="spellEnd"/>
      <w:r w:rsidRPr="00963E3B">
        <w:t>) y la agencia del estudiante, al proporcionar andamiaje conceptual inmediato frente a tareas de alta complejidad cognitiva.</w:t>
      </w:r>
    </w:p>
    <w:p w14:paraId="7DBB34E0" w14:textId="77777777" w:rsidR="00963E3B" w:rsidRPr="00963E3B" w:rsidRDefault="00963E3B" w:rsidP="00963E3B">
      <w:pPr>
        <w:pStyle w:val="NormalWeb"/>
        <w:spacing w:before="0" w:beforeAutospacing="0" w:after="0" w:afterAutospacing="0" w:line="360" w:lineRule="auto"/>
        <w:ind w:left="357"/>
        <w:jc w:val="both"/>
      </w:pPr>
      <w:r w:rsidRPr="00963E3B">
        <w:t>Los Modelos de Lenguaje Grande (LLM) se caracterizan por una arquitectura de transformadores estructurada sobre mecanismos de autoatención, componentes que les permiten procesar y generar texto considerando de forma holística el contexto semántico completo de la conversación, superando la linealidad de las consultas aisladas (</w:t>
      </w:r>
      <w:proofErr w:type="spellStart"/>
      <w:r w:rsidRPr="00963E3B">
        <w:t>Kasneci</w:t>
      </w:r>
      <w:proofErr w:type="spellEnd"/>
      <w:r w:rsidRPr="00963E3B">
        <w:t xml:space="preserve"> et al., 2025). Esta capacidad de memoria contextual resulta especialmente valiosa en asistentes virtuales de corte educativo; bajo este enfoque, el sistema mantiene una estricta coherencia a lo largo de una sesión de tutoría, recuerda conceptos previamente explicados y adapta progresivamente la profundidad o complejidad de su respuesta al nivel de competencia demostrado en tiempo real por el estudiante.</w:t>
      </w:r>
    </w:p>
    <w:p w14:paraId="11E871AF" w14:textId="5B663E30" w:rsidR="00963E3B" w:rsidRPr="00963E3B" w:rsidRDefault="00963E3B" w:rsidP="00963E3B">
      <w:pPr>
        <w:pStyle w:val="NormalWeb"/>
        <w:spacing w:before="0" w:beforeAutospacing="0" w:after="0" w:afterAutospacing="0" w:line="360" w:lineRule="auto"/>
        <w:ind w:left="357"/>
        <w:jc w:val="both"/>
      </w:pPr>
      <w:r w:rsidRPr="00963E3B">
        <w:t xml:space="preserve">La integración de LLM en interfaces pedagógicas móviles plantea, sin embargo, desafíos arquitectónicos no triviales relacionados con la latencia en la entrega de las respuestas, los límites técnicos de procesamiento en las ventanas de tokens y los costos operativos derivados de las llamadas de producción de las </w:t>
      </w:r>
      <w:proofErr w:type="spellStart"/>
      <w:r w:rsidRPr="00963E3B">
        <w:t>APIs</w:t>
      </w:r>
      <w:proofErr w:type="spellEnd"/>
      <w:r w:rsidRPr="00963E3B">
        <w:t xml:space="preserve"> de inferencia. Estos factores críticos han impulsado el diseño de plataformas optimizadas de inferencia de alta velocidad, orientadas a mitigar el retardo y garantizar una experiencia de usuario fluida en aplicaciones conversacionales en tiempo real</w:t>
      </w:r>
      <w:r>
        <w:t>.</w:t>
      </w:r>
    </w:p>
    <w:p w14:paraId="1D5E073D" w14:textId="77777777" w:rsidR="00963E3B" w:rsidRPr="00963E3B" w:rsidRDefault="00963E3B" w:rsidP="00963E3B">
      <w:pPr>
        <w:pStyle w:val="NormalWeb"/>
        <w:spacing w:before="0" w:beforeAutospacing="0" w:after="0" w:afterAutospacing="0" w:line="360" w:lineRule="auto"/>
        <w:ind w:left="357"/>
        <w:jc w:val="both"/>
      </w:pPr>
      <w:r w:rsidRPr="00963E3B">
        <w:t xml:space="preserve">Por su parte, ecosistemas como Google Gemini representan modelos nativos multimodales capaces de decodificar y correlacionar simultáneamente flujos de texto, imágenes, audio y video (Gemini Team, 2024). Esta versatilidad para la interpretación de datos visuales posiciona a la interfaz como una herramienta idónea para el análisis y reconocimiento de imágenes biológicas </w:t>
      </w:r>
      <w:r w:rsidRPr="00963E3B">
        <w:lastRenderedPageBreak/>
        <w:t>en entornos didácticos digitales (Ahmad et al., 2024). Esta función específica es la que implementa el escáner inteligente del sistema propuesto en la presente investigación, facilitando la identificación taxonómica y el estudio interactivo de especies y especímenes naturales en el aula escolar.</w:t>
      </w:r>
    </w:p>
    <w:p w14:paraId="446375EC" w14:textId="77777777" w:rsidR="00963E3B" w:rsidRDefault="00963E3B" w:rsidP="00963E3B">
      <w:pPr>
        <w:pStyle w:val="NormalWeb"/>
        <w:spacing w:before="0" w:beforeAutospacing="0" w:after="0" w:afterAutospacing="0" w:line="360" w:lineRule="auto"/>
        <w:ind w:left="357"/>
        <w:jc w:val="both"/>
      </w:pPr>
    </w:p>
    <w:p w14:paraId="3947C6D3" w14:textId="169C61FA" w:rsidR="000B0240" w:rsidRPr="000B0240" w:rsidRDefault="000B0240" w:rsidP="000B0240">
      <w:pPr>
        <w:pStyle w:val="NormalWeb"/>
        <w:spacing w:before="0" w:beforeAutospacing="0" w:after="0" w:afterAutospacing="0" w:line="360" w:lineRule="auto"/>
        <w:ind w:left="357" w:firstLine="363"/>
        <w:jc w:val="both"/>
        <w:rPr>
          <w:b/>
          <w:bCs/>
        </w:rPr>
      </w:pPr>
      <w:r w:rsidRPr="000B0240">
        <w:rPr>
          <w:b/>
          <w:bCs/>
        </w:rPr>
        <w:t xml:space="preserve">Plataformas de Inferencia de IA de Alta Velocidad: </w:t>
      </w:r>
      <w:proofErr w:type="spellStart"/>
      <w:r w:rsidRPr="000B0240">
        <w:rPr>
          <w:b/>
          <w:bCs/>
        </w:rPr>
        <w:t>Groq</w:t>
      </w:r>
      <w:proofErr w:type="spellEnd"/>
      <w:r w:rsidRPr="000B0240">
        <w:rPr>
          <w:b/>
          <w:bCs/>
        </w:rPr>
        <w:t xml:space="preserve"> API</w:t>
      </w:r>
    </w:p>
    <w:p w14:paraId="5080308E" w14:textId="77777777" w:rsidR="000B0240" w:rsidRPr="000B0240" w:rsidRDefault="000B0240" w:rsidP="000B0240">
      <w:pPr>
        <w:pStyle w:val="NormalWeb"/>
        <w:spacing w:before="0" w:beforeAutospacing="0" w:after="0" w:afterAutospacing="0" w:line="360" w:lineRule="auto"/>
        <w:ind w:left="357" w:firstLine="363"/>
        <w:jc w:val="both"/>
      </w:pPr>
      <w:r w:rsidRPr="000B0240">
        <w:t>El avance en la disponibilidad de modelos de lenguaje grande (LLM) accesibles mediante interfaces de programación de aplicaciones (API) ha ampliado significativamente las posibilidades de implementación de asistentes virtuales en aplicaciones móviles. Sin embargo, la latencia de respuesta constituye un factor crítico y condicionante en la experiencia del usuario. Investigaciones contemporáneas sobre interacción humano-computadora demuestran que tiempos de espera e inferencia superiores a los tres segundos incrementan significativamente la tasa de abandono de la tarea y reducen de manera drástica la percepción de utilidad y fiabilidad del sistema (Kumar &amp; Singh, 2024).</w:t>
      </w:r>
    </w:p>
    <w:p w14:paraId="60D396D1" w14:textId="3CBE60B2" w:rsidR="000B0240" w:rsidRPr="000B0240" w:rsidRDefault="000B0240" w:rsidP="000B0240">
      <w:pPr>
        <w:pStyle w:val="NormalWeb"/>
        <w:spacing w:before="0" w:beforeAutospacing="0" w:after="0" w:afterAutospacing="0" w:line="360" w:lineRule="auto"/>
        <w:ind w:left="357"/>
        <w:jc w:val="both"/>
      </w:pPr>
      <w:r w:rsidRPr="000B0240">
        <w:t xml:space="preserve">En este escenario, la plataforma de </w:t>
      </w:r>
      <w:proofErr w:type="spellStart"/>
      <w:r w:rsidRPr="000B0240">
        <w:t>Groq</w:t>
      </w:r>
      <w:proofErr w:type="spellEnd"/>
      <w:r w:rsidRPr="000B0240">
        <w:t xml:space="preserve"> Inc. introduce una disrupción arquitectónica mediante el desarrollo de la Unidad de Procesamiento de Lenguaje (LPU, </w:t>
      </w:r>
      <w:proofErr w:type="spellStart"/>
      <w:r w:rsidRPr="000B0240">
        <w:rPr>
          <w:i/>
          <w:iCs/>
        </w:rPr>
        <w:t>Language</w:t>
      </w:r>
      <w:proofErr w:type="spellEnd"/>
      <w:r w:rsidRPr="000B0240">
        <w:rPr>
          <w:i/>
          <w:iCs/>
        </w:rPr>
        <w:t xml:space="preserve"> Processing </w:t>
      </w:r>
      <w:proofErr w:type="spellStart"/>
      <w:r w:rsidRPr="000B0240">
        <w:rPr>
          <w:i/>
          <w:iCs/>
        </w:rPr>
        <w:t>Unit</w:t>
      </w:r>
      <w:proofErr w:type="spellEnd"/>
      <w:r w:rsidRPr="000B0240">
        <w:t xml:space="preserve">), un motor de inferencia diseñado exclusivamente para el procesamiento secuencial y determinista de modelos de lenguaje, a diferencia de las Unidades de Procesamiento Gráfico (GPU) convencionales orientadas al procesamiento paralelo masivo. La arquitectura LPU elimina los cuellos de botella de ancho de banda de memoria que degradan el rendimiento de las GPU durante la generación de texto </w:t>
      </w:r>
      <w:r w:rsidRPr="000B0240">
        <w:rPr>
          <w:i/>
          <w:iCs/>
        </w:rPr>
        <w:t>token a token</w:t>
      </w:r>
      <w:r w:rsidRPr="000B0240">
        <w:t>, alcanzando velocidades de inferencia estables que superan los 500 tokens por segundo en modelos de escala media (</w:t>
      </w:r>
      <w:proofErr w:type="spellStart"/>
      <w:r w:rsidRPr="000B0240">
        <w:t>Groq</w:t>
      </w:r>
      <w:proofErr w:type="spellEnd"/>
      <w:r w:rsidRPr="000B0240">
        <w:t>, 2024). Estas métricas contrastan favorablemente con los 40-80 tokens por segundo promediados en infraestructuras GPU de uso general, traduciéndose en una reducción del tiempo de respuesta percibido por el usuario a un rango de entre 1 y 2 segundos, frente a las latencias de 5 a 10 segundos observadas en arquitecturas tradicionales.</w:t>
      </w:r>
    </w:p>
    <w:p w14:paraId="304DCAF6" w14:textId="77777777" w:rsidR="000B0240" w:rsidRDefault="000B0240" w:rsidP="000B0240">
      <w:pPr>
        <w:pStyle w:val="NormalWeb"/>
        <w:spacing w:before="0" w:beforeAutospacing="0" w:after="0" w:afterAutospacing="0" w:line="360" w:lineRule="auto"/>
        <w:ind w:left="357"/>
        <w:jc w:val="both"/>
      </w:pPr>
      <w:r w:rsidRPr="000B0240">
        <w:t xml:space="preserve">La API de </w:t>
      </w:r>
      <w:proofErr w:type="spellStart"/>
      <w:r w:rsidRPr="000B0240">
        <w:t>Groq</w:t>
      </w:r>
      <w:proofErr w:type="spellEnd"/>
      <w:r w:rsidRPr="000B0240">
        <w:t xml:space="preserve"> expone sus servicios mediante el estándar </w:t>
      </w:r>
      <w:proofErr w:type="spellStart"/>
      <w:r w:rsidRPr="000B0240">
        <w:rPr>
          <w:i/>
          <w:iCs/>
        </w:rPr>
        <w:t>OpenAI</w:t>
      </w:r>
      <w:proofErr w:type="spellEnd"/>
      <w:r w:rsidRPr="000B0240">
        <w:rPr>
          <w:i/>
          <w:iCs/>
        </w:rPr>
        <w:t xml:space="preserve"> Chat </w:t>
      </w:r>
      <w:proofErr w:type="spellStart"/>
      <w:r w:rsidRPr="000B0240">
        <w:rPr>
          <w:i/>
          <w:iCs/>
        </w:rPr>
        <w:t>Completions</w:t>
      </w:r>
      <w:proofErr w:type="spellEnd"/>
      <w:r w:rsidRPr="000B0240">
        <w:t>, garantizando una interoperabilidad directa con clientes HTTP estándar. Las solicitudes estructuran su carga útil como una lista de objetos definidos por rol —</w:t>
      </w:r>
      <w:proofErr w:type="spellStart"/>
      <w:r w:rsidRPr="000B0240">
        <w:rPr>
          <w:i/>
          <w:iCs/>
        </w:rPr>
        <w:t>system</w:t>
      </w:r>
      <w:proofErr w:type="spellEnd"/>
      <w:r w:rsidRPr="000B0240">
        <w:t xml:space="preserve">, </w:t>
      </w:r>
      <w:proofErr w:type="spellStart"/>
      <w:r w:rsidRPr="000B0240">
        <w:rPr>
          <w:i/>
          <w:iCs/>
        </w:rPr>
        <w:t>user</w:t>
      </w:r>
      <w:proofErr w:type="spellEnd"/>
      <w:r w:rsidRPr="000B0240">
        <w:t xml:space="preserve"> y </w:t>
      </w:r>
      <w:proofErr w:type="spellStart"/>
      <w:r w:rsidRPr="000B0240">
        <w:rPr>
          <w:i/>
          <w:iCs/>
        </w:rPr>
        <w:t>assistant</w:t>
      </w:r>
      <w:proofErr w:type="spellEnd"/>
      <w:r w:rsidRPr="000B0240">
        <w:t>—</w:t>
      </w:r>
      <w:r w:rsidRPr="000B0240">
        <w:lastRenderedPageBreak/>
        <w:t>, lo que permite la persistencia del historial conversacional y la modulación del comportamiento del algoritmo a través de instrucciones de sistema (</w:t>
      </w:r>
      <w:proofErr w:type="spellStart"/>
      <w:r w:rsidRPr="000B0240">
        <w:rPr>
          <w:i/>
          <w:iCs/>
        </w:rPr>
        <w:t>system</w:t>
      </w:r>
      <w:proofErr w:type="spellEnd"/>
      <w:r w:rsidRPr="000B0240">
        <w:rPr>
          <w:i/>
          <w:iCs/>
        </w:rPr>
        <w:t xml:space="preserve"> </w:t>
      </w:r>
      <w:proofErr w:type="spellStart"/>
      <w:r w:rsidRPr="000B0240">
        <w:rPr>
          <w:i/>
          <w:iCs/>
        </w:rPr>
        <w:t>prompt</w:t>
      </w:r>
      <w:proofErr w:type="spellEnd"/>
      <w:r w:rsidRPr="000B0240">
        <w:t xml:space="preserve">). En la arquitectura propuesta, el </w:t>
      </w:r>
      <w:proofErr w:type="spellStart"/>
      <w:r w:rsidRPr="000B0240">
        <w:rPr>
          <w:i/>
          <w:iCs/>
        </w:rPr>
        <w:t>system</w:t>
      </w:r>
      <w:proofErr w:type="spellEnd"/>
      <w:r w:rsidRPr="000B0240">
        <w:rPr>
          <w:i/>
          <w:iCs/>
        </w:rPr>
        <w:t xml:space="preserve"> </w:t>
      </w:r>
      <w:proofErr w:type="spellStart"/>
      <w:r w:rsidRPr="000B0240">
        <w:rPr>
          <w:i/>
          <w:iCs/>
        </w:rPr>
        <w:t>prompt</w:t>
      </w:r>
      <w:proofErr w:type="spellEnd"/>
      <w:r w:rsidRPr="000B0240">
        <w:t xml:space="preserve"> delimita de forma estricta el dominio de conocimiento del </w:t>
      </w:r>
      <w:proofErr w:type="spellStart"/>
      <w:r w:rsidRPr="000B0240">
        <w:t>chatbot</w:t>
      </w:r>
      <w:proofErr w:type="spellEnd"/>
      <w:r w:rsidRPr="000B0240">
        <w:t xml:space="preserve"> exclusivamente a las Ciencias Naturales (biología celular, botánica, zoología, ecología y procesos metabólicos), implementando la recomendación metodológica de </w:t>
      </w:r>
      <w:proofErr w:type="spellStart"/>
      <w:r w:rsidRPr="000B0240">
        <w:t>Kasneci</w:t>
      </w:r>
      <w:proofErr w:type="spellEnd"/>
      <w:r w:rsidRPr="000B0240">
        <w:t xml:space="preserve"> et al. (2025) sobre la restricción del espacio de búsqueda semántica como mecanismo de mitigación de alucinaciones para asegurar la fidelidad pedagógica de las respuestas.</w:t>
      </w:r>
    </w:p>
    <w:p w14:paraId="5A49FC0A" w14:textId="77777777" w:rsidR="00E106AA" w:rsidRPr="000B0240" w:rsidRDefault="00E106AA" w:rsidP="000B0240">
      <w:pPr>
        <w:pStyle w:val="NormalWeb"/>
        <w:spacing w:before="0" w:beforeAutospacing="0" w:after="0" w:afterAutospacing="0" w:line="360" w:lineRule="auto"/>
        <w:ind w:left="357"/>
        <w:jc w:val="both"/>
      </w:pPr>
    </w:p>
    <w:p w14:paraId="336FFC96" w14:textId="3241DA7C" w:rsidR="000B0240" w:rsidRDefault="000B0240" w:rsidP="000B0240">
      <w:pPr>
        <w:pStyle w:val="NormalWeb"/>
        <w:spacing w:before="0" w:beforeAutospacing="0" w:after="0" w:afterAutospacing="0" w:line="360" w:lineRule="auto"/>
        <w:ind w:left="357"/>
        <w:jc w:val="both"/>
      </w:pPr>
      <w:r w:rsidRPr="000B0240">
        <w:t xml:space="preserve">La selección del modelo de pesos abiertos </w:t>
      </w:r>
      <w:proofErr w:type="spellStart"/>
      <w:r w:rsidRPr="000B0240">
        <w:t>openai</w:t>
      </w:r>
      <w:proofErr w:type="spellEnd"/>
      <w:r w:rsidRPr="000B0240">
        <w:t>/gpt-oss-20b (21 mil millones de parámetros distribuidos en una arquitectura de Mezcla de Expertos con 3.6 mil millones de parámetros activos por paso forward) responde a criterios de optimización de recursos. Este modelo demuestra capacidades avanzadas para la comprensión de textos y razonamiento en dominios especializados, alcanzando paridad con modelos de frontera de mayor escala cuando el dominio semántico se encuentra claramente acotado (</w:t>
      </w:r>
      <w:proofErr w:type="spellStart"/>
      <w:r w:rsidRPr="000B0240">
        <w:t>OpenAI</w:t>
      </w:r>
      <w:proofErr w:type="spellEnd"/>
      <w:r w:rsidRPr="000B0240">
        <w:t xml:space="preserve">, 2025). Su adopción estratégica permite operar eficientemente bajo las cuotas estrictas de procesamiento de tokens por minuto (TPM) asignadas en los planes gratuitos de la plataforma de inferencia, maximizando el número de consultas simultáneas viables en el entorno escolar sin elevar los costos de infraestructura (Ahmad et al., 2026). </w:t>
      </w:r>
    </w:p>
    <w:p w14:paraId="185D7CBE" w14:textId="77777777" w:rsidR="00E106AA" w:rsidRPr="000B0240" w:rsidRDefault="00E106AA" w:rsidP="000B0240">
      <w:pPr>
        <w:pStyle w:val="NormalWeb"/>
        <w:spacing w:before="0" w:beforeAutospacing="0" w:after="0" w:afterAutospacing="0" w:line="360" w:lineRule="auto"/>
        <w:ind w:left="357"/>
        <w:jc w:val="both"/>
      </w:pPr>
    </w:p>
    <w:p w14:paraId="6A39C953" w14:textId="77777777" w:rsidR="000B0240" w:rsidRPr="000B0240" w:rsidRDefault="000B0240" w:rsidP="000B0240">
      <w:pPr>
        <w:pStyle w:val="NormalWeb"/>
        <w:spacing w:before="0" w:beforeAutospacing="0" w:after="0" w:afterAutospacing="0" w:line="360" w:lineRule="auto"/>
        <w:ind w:left="357"/>
        <w:jc w:val="both"/>
      </w:pPr>
      <w:r w:rsidRPr="000B0240">
        <w:t xml:space="preserve">Finalmente, la compatibilidad nativa de la API con el estándar industrial de </w:t>
      </w:r>
      <w:proofErr w:type="spellStart"/>
      <w:r w:rsidRPr="000B0240">
        <w:t>OpenAI</w:t>
      </w:r>
      <w:proofErr w:type="spellEnd"/>
      <w:r w:rsidRPr="000B0240">
        <w:t xml:space="preserve"> simplifica su integración en el entorno de desarrollo </w:t>
      </w:r>
      <w:proofErr w:type="spellStart"/>
      <w:r w:rsidRPr="000B0240">
        <w:t>Flutter</w:t>
      </w:r>
      <w:proofErr w:type="spellEnd"/>
      <w:r w:rsidRPr="000B0240">
        <w:t xml:space="preserve"> utilizando exclusivamente el paquete HTTP nativo, prescindiendo de </w:t>
      </w:r>
      <w:proofErr w:type="spellStart"/>
      <w:r w:rsidRPr="000B0240">
        <w:t>SDKs</w:t>
      </w:r>
      <w:proofErr w:type="spellEnd"/>
      <w:r w:rsidRPr="000B0240">
        <w:t xml:space="preserve"> propietarios o dependencias pesadas de terceros. De acuerdo con las directrices de optimización móvil de Sharma y Das (2025), esta decisión arquitectónica mitiga la complejidad del árbol de dependencias del software y restringe el tamaño final del paquete de distribución (APK). Esta variable resulta crítica para la viabilidad de la aplicación en contextos educativos con recursos tecnológicos limitados, donde la memoria de almacenamiento interno reducido de los dispositivos de gama media actúa como la principal barrera de instalación y adopción tecnológica.</w:t>
      </w:r>
    </w:p>
    <w:p w14:paraId="7CC83D5D" w14:textId="77777777" w:rsidR="000B0240" w:rsidRPr="00E106AA" w:rsidRDefault="000B0240" w:rsidP="000B0240">
      <w:pPr>
        <w:pStyle w:val="NormalWeb"/>
        <w:spacing w:before="0" w:beforeAutospacing="0" w:after="0" w:afterAutospacing="0" w:line="360" w:lineRule="auto"/>
        <w:ind w:left="357"/>
        <w:jc w:val="both"/>
        <w:rPr>
          <w:b/>
          <w:bCs/>
        </w:rPr>
      </w:pPr>
    </w:p>
    <w:p w14:paraId="28E71AF0" w14:textId="623F9E9C" w:rsidR="000B0240" w:rsidRPr="00E106AA" w:rsidRDefault="000B0240" w:rsidP="00E106AA">
      <w:pPr>
        <w:pStyle w:val="NormalWeb"/>
        <w:spacing w:before="0" w:beforeAutospacing="0" w:after="0" w:afterAutospacing="0" w:line="360" w:lineRule="auto"/>
        <w:ind w:left="357" w:firstLine="363"/>
        <w:jc w:val="both"/>
        <w:rPr>
          <w:b/>
          <w:bCs/>
        </w:rPr>
      </w:pPr>
      <w:r w:rsidRPr="00E106AA">
        <w:rPr>
          <w:b/>
          <w:bCs/>
        </w:rPr>
        <w:lastRenderedPageBreak/>
        <w:t>Generación Automática de Evaluaciones mediante Inteligencia Artificial</w:t>
      </w:r>
    </w:p>
    <w:p w14:paraId="1DBD4019" w14:textId="77D460D6" w:rsidR="00E106AA" w:rsidRPr="00E106AA" w:rsidRDefault="00E106AA" w:rsidP="007C212E">
      <w:pPr>
        <w:pStyle w:val="NormalWeb"/>
        <w:spacing w:before="0" w:beforeAutospacing="0" w:after="0" w:afterAutospacing="0" w:line="360" w:lineRule="auto"/>
        <w:ind w:left="357" w:firstLine="363"/>
        <w:jc w:val="both"/>
      </w:pPr>
      <w:r>
        <w:t>L</w:t>
      </w:r>
      <w:r w:rsidRPr="00E106AA">
        <w:t>a generación automática de ítems de evaluación (</w:t>
      </w:r>
      <w:proofErr w:type="spellStart"/>
      <w:r w:rsidRPr="00E106AA">
        <w:rPr>
          <w:i/>
          <w:iCs/>
        </w:rPr>
        <w:t>Automatic</w:t>
      </w:r>
      <w:proofErr w:type="spellEnd"/>
      <w:r w:rsidRPr="00E106AA">
        <w:rPr>
          <w:i/>
          <w:iCs/>
        </w:rPr>
        <w:t xml:space="preserve"> Item </w:t>
      </w:r>
      <w:proofErr w:type="spellStart"/>
      <w:r w:rsidRPr="00E106AA">
        <w:rPr>
          <w:i/>
          <w:iCs/>
        </w:rPr>
        <w:t>Generation</w:t>
      </w:r>
      <w:proofErr w:type="spellEnd"/>
      <w:r w:rsidRPr="00E106AA">
        <w:t>, AIG) mediante Inteligencia Artificial constituye una de las aplicaciones de mayor impacto y relevancia de los modelos de lenguaje grande (LLM) en la innovación educativa contemporánea. Los sistemas AIG de primera generación requerían la codificación manual de plantillas rígidas y reglas lingüísticas predefinidas para estructurar variantes de preguntas, una arquitectura de software que limitaba severamente su escalabilidad, diversidad semántica y viabilidad operativa (</w:t>
      </w:r>
      <w:proofErr w:type="spellStart"/>
      <w:r w:rsidRPr="00E106AA">
        <w:t>Kasneci</w:t>
      </w:r>
      <w:proofErr w:type="spellEnd"/>
      <w:r w:rsidRPr="00E106AA">
        <w:t xml:space="preserve"> et al., 2025). En contraste, los LLM modernos superan estas restricciones debido a su capacidad para procesar flujos de texto educativo no estructurado y generar reactivos originales, contextualmente cohesionados, libres de plantillas gramaticales estáticas y graduados pedagógicamente según la taxonomía cognitiva requerida (Ahmad et al., 2024).</w:t>
      </w:r>
    </w:p>
    <w:p w14:paraId="0050B303" w14:textId="77777777" w:rsidR="00E106AA" w:rsidRPr="00E106AA" w:rsidRDefault="00E106AA" w:rsidP="007C212E">
      <w:pPr>
        <w:pStyle w:val="NormalWeb"/>
        <w:spacing w:before="0" w:beforeAutospacing="0" w:after="0" w:afterAutospacing="0" w:line="360" w:lineRule="auto"/>
        <w:ind w:left="357"/>
        <w:jc w:val="both"/>
      </w:pPr>
      <w:r w:rsidRPr="00E106AA">
        <w:t xml:space="preserve">Al evaluar empíricamente la efectividad de estos entornos generativos, Pérez-Muñoz et al. (2024) demostraron que la generación automatizada de evaluaciones se sitúa como uno de los recursos </w:t>
      </w:r>
      <w:proofErr w:type="spellStart"/>
      <w:r w:rsidRPr="00E106AA">
        <w:t>EdTech</w:t>
      </w:r>
      <w:proofErr w:type="spellEnd"/>
      <w:r w:rsidRPr="00E106AA">
        <w:t xml:space="preserve"> con mayor tasa de adopción y mejor valoración cualitativa por parte de los diseñadores instruccionales. Sus hallazgos revelaron que los ítems de opción múltiple generados sintéticamente por algoritmos avanzados fueron calificados por comités de expertos como de calidad metodológica comparable a los reactivos elaborados de forma manual por docentes en el 78% de los casos. Esta dinámica aporta la ventaja añadida de producir masivamente volúmenes de reactivos únicos en cuestión de segundos, mitigando los sesgos por memorización de bancos de preguntas estáticos y previniendo el plagio en entornos de evaluación a distancia.</w:t>
      </w:r>
    </w:p>
    <w:p w14:paraId="32F028D9" w14:textId="77777777" w:rsidR="00E106AA" w:rsidRPr="00E106AA" w:rsidRDefault="00E106AA" w:rsidP="007C212E">
      <w:pPr>
        <w:pStyle w:val="NormalWeb"/>
        <w:spacing w:before="0" w:beforeAutospacing="0" w:after="0" w:afterAutospacing="0" w:line="360" w:lineRule="auto"/>
        <w:ind w:left="357"/>
        <w:jc w:val="both"/>
      </w:pPr>
      <w:r w:rsidRPr="00E106AA">
        <w:t>En el campo específico de la biología celular, la generación dinámica de evaluaciones ofrece un beneficio pedagógico crítico: viabiliza la personalización del reactivo en función del subtema exacto que el estudiante acaba de interactuar en la interfaz, garantizando una correspondencia matemática y conceptual entre el contenido asimilado y el evaluado. Esta función operativiza de forma digital el principio pedagógico clásico de alineación constructiva de Biggs y Tang (2011), el cual dictamina que los objetivos, las actividades y las evaluaciones deben funcionar como un sistema integrado.</w:t>
      </w:r>
    </w:p>
    <w:p w14:paraId="425BCD7F" w14:textId="77777777" w:rsidR="00E106AA" w:rsidRPr="00E106AA" w:rsidRDefault="00E106AA" w:rsidP="007C212E">
      <w:pPr>
        <w:pStyle w:val="NormalWeb"/>
        <w:spacing w:before="0" w:beforeAutospacing="0" w:after="0" w:afterAutospacing="0" w:line="360" w:lineRule="auto"/>
        <w:ind w:left="357"/>
        <w:jc w:val="both"/>
      </w:pPr>
      <w:r w:rsidRPr="00E106AA">
        <w:t xml:space="preserve">La arquitectura propuesta instrumenta esta sincronía mediante el componente </w:t>
      </w:r>
      <w:proofErr w:type="spellStart"/>
      <w:r w:rsidRPr="00E106AA">
        <w:t>QuizGeneratorService</w:t>
      </w:r>
      <w:proofErr w:type="spellEnd"/>
      <w:r w:rsidRPr="00E106AA">
        <w:t xml:space="preserve">, un servicio que consume la API de </w:t>
      </w:r>
      <w:proofErr w:type="spellStart"/>
      <w:r w:rsidRPr="00E106AA">
        <w:t>Groq</w:t>
      </w:r>
      <w:proofErr w:type="spellEnd"/>
      <w:r w:rsidRPr="00E106AA">
        <w:t xml:space="preserve"> utilizando el modelo de pesos </w:t>
      </w:r>
      <w:r w:rsidRPr="00E106AA">
        <w:lastRenderedPageBreak/>
        <w:t xml:space="preserve">abiertos </w:t>
      </w:r>
      <w:proofErr w:type="spellStart"/>
      <w:r w:rsidRPr="00E106AA">
        <w:t>openai</w:t>
      </w:r>
      <w:proofErr w:type="spellEnd"/>
      <w:r w:rsidRPr="00E106AA">
        <w:t>/gpt-oss-20b para estructurar, en tiempo real, reactivos de opción múltiple parametrizados en tres niveles de complejidad cognitiva (fácil, medio y difícil); la carga útil generada incluye de forma nativa la clave de respuesta correcta y un bloque de retroalimentación explicativa orientada a corregir el error conceptual del alumno (Wang et al., 2025).</w:t>
      </w:r>
    </w:p>
    <w:p w14:paraId="56E75FFF" w14:textId="77777777" w:rsidR="00E106AA" w:rsidRPr="00E106AA" w:rsidRDefault="00E106AA" w:rsidP="007C212E">
      <w:pPr>
        <w:pStyle w:val="NormalWeb"/>
        <w:spacing w:before="0" w:beforeAutospacing="0" w:after="0" w:afterAutospacing="0" w:line="360" w:lineRule="auto"/>
        <w:ind w:left="357"/>
        <w:jc w:val="both"/>
      </w:pPr>
      <w:r w:rsidRPr="00E106AA">
        <w:t>Precisamente, las investigaciones empíricas de Wang et al. (2025) documentan que los estudiantes que interactúan con sistemas de evaluación dinámica mediados por IA registran índices de transferencia de conocimiento significativamente más altos —entendida como la capacidad de transmutar conceptos abstractos y aplicarlos con éxito en escenarios inéditos— en comparación con aquellos expuestos a bancos de preguntas estáticos. De acuerdo con los autores, la variabilidad semántica de los ítems autogenerados bloquea los mecanismos de memorización superficial y estimula el procesamiento cognitivo profundo. Este hallazgo valida y respalda la decisión de diseño de ingeniería de software implementada en el sistema propuesto, el cual integra un enfoque híbrido compuesto por un banco estático para la consolidación por subtemas y un motor dinámico automatizado para el andamiaje adaptativo continuo.</w:t>
      </w:r>
    </w:p>
    <w:p w14:paraId="69FA8D06" w14:textId="77777777" w:rsidR="000E6CA9" w:rsidRDefault="000E6CA9" w:rsidP="000E6CA9">
      <w:pPr>
        <w:pStyle w:val="NormalWeb"/>
        <w:spacing w:before="0" w:beforeAutospacing="0" w:after="0" w:afterAutospacing="0" w:line="360" w:lineRule="auto"/>
        <w:ind w:firstLine="357"/>
        <w:jc w:val="both"/>
      </w:pPr>
    </w:p>
    <w:p w14:paraId="50CA430A" w14:textId="77614755" w:rsidR="0060417E" w:rsidRPr="0017756E" w:rsidRDefault="0060417E" w:rsidP="000E6CA9">
      <w:pPr>
        <w:pStyle w:val="NormalWeb"/>
        <w:spacing w:before="0" w:beforeAutospacing="0" w:after="0" w:afterAutospacing="0" w:line="360" w:lineRule="auto"/>
        <w:ind w:firstLine="357"/>
        <w:jc w:val="both"/>
        <w:rPr>
          <w:b/>
          <w:bCs/>
        </w:rPr>
      </w:pPr>
      <w:r>
        <w:rPr>
          <w:b/>
          <w:bCs/>
        </w:rPr>
        <w:t>Gamificación Educativa</w:t>
      </w:r>
    </w:p>
    <w:p w14:paraId="7A7AC7D9" w14:textId="77777777" w:rsidR="0060417E" w:rsidRPr="00665A14" w:rsidRDefault="0060417E" w:rsidP="000E6CA9">
      <w:pPr>
        <w:pStyle w:val="NormalWeb"/>
        <w:spacing w:before="0" w:beforeAutospacing="0" w:after="0" w:afterAutospacing="0" w:line="360" w:lineRule="auto"/>
        <w:ind w:left="426"/>
        <w:jc w:val="both"/>
      </w:pPr>
      <w:r>
        <w:t xml:space="preserve">La gamificación continúa demostrando efectividad para incrementar la motivación y el compromiso en entornos educativos. Sailer y </w:t>
      </w:r>
      <w:proofErr w:type="spellStart"/>
      <w:r>
        <w:t>Homner</w:t>
      </w:r>
      <w:proofErr w:type="spellEnd"/>
      <w:r>
        <w:t xml:space="preserve"> (2020), en su meta-análisis de 38 estudios experimentales, encontraron efectos positivos significativos sobre resultados cognitivos. Los elementos más efectivos identificados fueron sistemas de puntos, insignias de logro, tablas de clasificación, narrativas contextuales y mecánicas de progresión.</w:t>
      </w:r>
    </w:p>
    <w:p w14:paraId="5351BB47" w14:textId="417C472E" w:rsidR="0060417E" w:rsidRPr="00665A14" w:rsidRDefault="0060417E" w:rsidP="00DA697A">
      <w:pPr>
        <w:pStyle w:val="NormalWeb"/>
        <w:spacing w:before="0" w:beforeAutospacing="0" w:after="0" w:afterAutospacing="0" w:line="360" w:lineRule="auto"/>
        <w:ind w:left="426"/>
        <w:jc w:val="both"/>
      </w:pPr>
      <w:r>
        <w:t xml:space="preserve">Huang et al. (2020) realizaron un meta-análisis sobre gamificación en educación incluyendo 30 estudios experimentales, confirmando efectos positivos moderados sobre el aprendizaje y la motivación. Los autores identificaron que la gamificación resulta particularmente efectiva en intervenciones de corta a mediana duración y cuando se combina con retroalimentación inmediata. Lampropoulos et al. (2022) investigaron la convergencia entre RA y gamificación en contextos educativos, mediante una revisión sistemática de 42 estudios. Sus hallazgos sugirieron efectos sinérgicos cuando ambas tecnologías se integran, con </w:t>
      </w:r>
      <w:proofErr w:type="gramStart"/>
      <w:r>
        <w:t>mejoras  particularmente</w:t>
      </w:r>
      <w:proofErr w:type="gramEnd"/>
      <w:r>
        <w:t xml:space="preserve"> significativas en compromiso sostenido y motivación. Los autores propusieron </w:t>
      </w:r>
      <w:r>
        <w:lastRenderedPageBreak/>
        <w:t xml:space="preserve">un marco de diseño que </w:t>
      </w:r>
      <w:proofErr w:type="gramStart"/>
      <w:r>
        <w:t>equilibra  elementos</w:t>
      </w:r>
      <w:proofErr w:type="gramEnd"/>
      <w:r>
        <w:t xml:space="preserve"> inmersivos de RA con mecánicas motivacionales de gamificación.</w:t>
      </w:r>
    </w:p>
    <w:p w14:paraId="018A7EEB" w14:textId="77777777" w:rsidR="0060417E" w:rsidRPr="00665A14" w:rsidRDefault="0060417E" w:rsidP="00665A14">
      <w:pPr>
        <w:pStyle w:val="NormalWeb"/>
        <w:spacing w:before="0" w:beforeAutospacing="0" w:after="0" w:afterAutospacing="0" w:line="360" w:lineRule="auto"/>
        <w:ind w:left="360" w:firstLine="320"/>
        <w:jc w:val="both"/>
      </w:pPr>
    </w:p>
    <w:p w14:paraId="0FB25F65" w14:textId="20E64B60" w:rsidR="0060417E" w:rsidRDefault="0060417E" w:rsidP="00B172AB">
      <w:pPr>
        <w:pStyle w:val="NormalWeb"/>
        <w:spacing w:before="0" w:beforeAutospacing="0" w:after="0" w:afterAutospacing="0" w:line="360" w:lineRule="auto"/>
        <w:ind w:left="426"/>
        <w:jc w:val="both"/>
        <w:rPr>
          <w:lang w:val="es-MX"/>
        </w:rPr>
      </w:pPr>
      <w:r>
        <w:t>Xi y Hamari (20</w:t>
      </w:r>
      <w:r w:rsidR="00551684">
        <w:t>19</w:t>
      </w:r>
      <w:r>
        <w:t xml:space="preserve">) analizaron los efectos de diferentes mecánicas de gamificación sobre tipos específicos de motivación, encontrando que los sistemas de puntos y niveles impactan principalmente la motivación extrínseca, mientras que las narrativas y los desafíos progresivos fomentan la motivación intrínseca. El estudio recomendó diseños que combinen ambos tipos de elementos para mantener el compromiso a largo plazo. </w:t>
      </w:r>
      <w:r w:rsidR="00B172AB" w:rsidRPr="00B172AB">
        <w:rPr>
          <w:lang w:val="es-MX"/>
        </w:rPr>
        <w:t xml:space="preserve">Con el propósito de mitigar los efectos desfavorables de las intervenciones lúdicas superficiales, Toda et al. (2019) propusieron una taxonomía aplicada a entornos educativos que organiza los componentes del juego en cinco dimensiones esenciales: rendimiento, social, personal, ficcional y ecológica. Este marco permite a los diseñadores instruccionales trascender la simple acumulación de puntos y recompensas, facilitando la creación de sistemas </w:t>
      </w:r>
      <w:proofErr w:type="spellStart"/>
      <w:r w:rsidR="00B172AB" w:rsidRPr="00B172AB">
        <w:rPr>
          <w:lang w:val="es-MX"/>
        </w:rPr>
        <w:t>gamificados</w:t>
      </w:r>
      <w:proofErr w:type="spellEnd"/>
      <w:r w:rsidR="00B172AB" w:rsidRPr="00B172AB">
        <w:rPr>
          <w:lang w:val="es-MX"/>
        </w:rPr>
        <w:t xml:space="preserve"> más significativos y pedagógicamente sólidos.</w:t>
      </w:r>
    </w:p>
    <w:p w14:paraId="21AE4188" w14:textId="77777777" w:rsidR="007C212E" w:rsidRPr="00665A14" w:rsidRDefault="007C212E" w:rsidP="00B172AB">
      <w:pPr>
        <w:pStyle w:val="NormalWeb"/>
        <w:spacing w:before="0" w:beforeAutospacing="0" w:after="0" w:afterAutospacing="0" w:line="360" w:lineRule="auto"/>
        <w:ind w:left="426"/>
        <w:jc w:val="both"/>
      </w:pPr>
    </w:p>
    <w:p w14:paraId="329E20E9" w14:textId="3ABCC0E1" w:rsidR="000E6CA9" w:rsidRDefault="00A134F7" w:rsidP="000E6CA9">
      <w:pPr>
        <w:pStyle w:val="NormalWeb"/>
        <w:spacing w:before="0" w:beforeAutospacing="0" w:after="0" w:afterAutospacing="0" w:line="360" w:lineRule="auto"/>
        <w:ind w:firstLine="426"/>
        <w:jc w:val="both"/>
        <w:rPr>
          <w:b/>
          <w:bCs/>
        </w:rPr>
      </w:pPr>
      <w:r w:rsidRPr="00A134F7">
        <w:rPr>
          <w:b/>
          <w:bCs/>
        </w:rPr>
        <w:t>Aprendizaje Móvil (M-</w:t>
      </w:r>
      <w:proofErr w:type="spellStart"/>
      <w:r w:rsidRPr="00A134F7">
        <w:rPr>
          <w:b/>
          <w:bCs/>
        </w:rPr>
        <w:t>Learning</w:t>
      </w:r>
      <w:proofErr w:type="spellEnd"/>
      <w:r w:rsidRPr="00A134F7">
        <w:rPr>
          <w:b/>
          <w:bCs/>
        </w:rPr>
        <w:t>)</w:t>
      </w:r>
    </w:p>
    <w:p w14:paraId="7C94E318" w14:textId="413D12C7" w:rsidR="00BD383C" w:rsidRPr="00DA697A" w:rsidRDefault="00BD383C" w:rsidP="00BF23D4">
      <w:pPr>
        <w:pStyle w:val="NormalWeb"/>
        <w:spacing w:before="0" w:beforeAutospacing="0" w:after="0" w:afterAutospacing="0" w:line="360" w:lineRule="auto"/>
        <w:ind w:firstLine="426"/>
        <w:jc w:val="both"/>
        <w:rPr>
          <w:b/>
          <w:bCs/>
        </w:rPr>
      </w:pPr>
      <w:r>
        <w:rPr>
          <w:b/>
          <w:bCs/>
        </w:rPr>
        <w:tab/>
      </w:r>
      <w:r w:rsidRPr="00BD383C">
        <w:rPr>
          <w:b/>
          <w:bCs/>
        </w:rPr>
        <w:t>Definición y Características</w:t>
      </w:r>
    </w:p>
    <w:p w14:paraId="689816C9" w14:textId="77777777" w:rsidR="00BF23D4" w:rsidRPr="00BF23D4" w:rsidRDefault="00BF23D4" w:rsidP="00BF23D4">
      <w:pPr>
        <w:pStyle w:val="NormalWeb"/>
        <w:spacing w:before="0" w:beforeAutospacing="0" w:after="0" w:afterAutospacing="0" w:line="360" w:lineRule="auto"/>
        <w:ind w:left="360" w:firstLine="320"/>
        <w:jc w:val="both"/>
      </w:pPr>
      <w:r w:rsidRPr="00BF23D4">
        <w:t xml:space="preserve">El aprendizaje móvil o </w:t>
      </w:r>
      <w:r w:rsidRPr="00BF23D4">
        <w:rPr>
          <w:i/>
          <w:iCs/>
        </w:rPr>
        <w:t>m-</w:t>
      </w:r>
      <w:proofErr w:type="spellStart"/>
      <w:r w:rsidRPr="00BF23D4">
        <w:rPr>
          <w:i/>
          <w:iCs/>
        </w:rPr>
        <w:t>learning</w:t>
      </w:r>
      <w:proofErr w:type="spellEnd"/>
      <w:r w:rsidRPr="00BF23D4">
        <w:t xml:space="preserve"> se define formalmente como la adquisición de conocimientos y el desarrollo de habilidades mediadas por dispositivos computacionales portátiles, los cuales posibilitan el acceso ubicuo a contenidos educativos y la interacción síncrona o asíncrona sin restricciones de tiempo o espacio (López-Faican et al., 2024). La flexibilidad pedagógica, sumada al costo decreciente del hardware de gama media, ha transformado a esta modalidad en un catalizador para la democratización educativa a nivel global. En el contexto de América Latina, donde la penetración de teléfonos inteligentes (</w:t>
      </w:r>
      <w:r w:rsidRPr="00BF23D4">
        <w:rPr>
          <w:i/>
          <w:iCs/>
        </w:rPr>
        <w:t>smartphones</w:t>
      </w:r>
      <w:r w:rsidRPr="00BF23D4">
        <w:t xml:space="preserve">) en los hogares supera el 70% de la población general, el </w:t>
      </w:r>
      <w:r w:rsidRPr="00BF23D4">
        <w:rPr>
          <w:i/>
          <w:iCs/>
        </w:rPr>
        <w:t>m-</w:t>
      </w:r>
      <w:proofErr w:type="spellStart"/>
      <w:r w:rsidRPr="00BF23D4">
        <w:rPr>
          <w:i/>
          <w:iCs/>
        </w:rPr>
        <w:t>learning</w:t>
      </w:r>
      <w:proofErr w:type="spellEnd"/>
      <w:r w:rsidRPr="00BF23D4">
        <w:t xml:space="preserve"> ha configurado una infraestructura digital y de conectividad sin precedentes históricos para la distribución de recursos interactivos (UNESCO, 2024).</w:t>
      </w:r>
    </w:p>
    <w:p w14:paraId="2DAF155B" w14:textId="77777777" w:rsidR="00BF23D4" w:rsidRPr="00BF23D4" w:rsidRDefault="00BF23D4" w:rsidP="00B90C0C">
      <w:pPr>
        <w:pStyle w:val="NormalWeb"/>
        <w:spacing w:before="0" w:beforeAutospacing="0" w:after="0" w:afterAutospacing="0" w:line="360" w:lineRule="auto"/>
        <w:ind w:left="360"/>
        <w:jc w:val="both"/>
      </w:pPr>
      <w:r w:rsidRPr="00BF23D4">
        <w:t xml:space="preserve">Una revisión sistemática publicada en </w:t>
      </w:r>
      <w:proofErr w:type="spellStart"/>
      <w:r w:rsidRPr="00BF23D4">
        <w:rPr>
          <w:i/>
          <w:iCs/>
        </w:rPr>
        <w:t>Applied</w:t>
      </w:r>
      <w:proofErr w:type="spellEnd"/>
      <w:r w:rsidRPr="00BF23D4">
        <w:rPr>
          <w:i/>
          <w:iCs/>
        </w:rPr>
        <w:t xml:space="preserve"> </w:t>
      </w:r>
      <w:proofErr w:type="spellStart"/>
      <w:r w:rsidRPr="00BF23D4">
        <w:rPr>
          <w:i/>
          <w:iCs/>
        </w:rPr>
        <w:t>Sciences</w:t>
      </w:r>
      <w:proofErr w:type="spellEnd"/>
      <w:r w:rsidRPr="00BF23D4">
        <w:t xml:space="preserve"> exploró de manera rigurosa las relaciones entre el </w:t>
      </w:r>
      <w:r w:rsidRPr="00BF23D4">
        <w:rPr>
          <w:i/>
          <w:iCs/>
        </w:rPr>
        <w:t>m-</w:t>
      </w:r>
      <w:proofErr w:type="spellStart"/>
      <w:r w:rsidRPr="00BF23D4">
        <w:rPr>
          <w:i/>
          <w:iCs/>
        </w:rPr>
        <w:t>learning</w:t>
      </w:r>
      <w:proofErr w:type="spellEnd"/>
      <w:r w:rsidRPr="00BF23D4">
        <w:t xml:space="preserve">, los resultados de aprendizaje y el desarrollo del pensamiento </w:t>
      </w:r>
      <w:r w:rsidRPr="00BF23D4">
        <w:lastRenderedPageBreak/>
        <w:t xml:space="preserve">crítico, analizando la literatura empírica indexada en </w:t>
      </w:r>
      <w:r w:rsidRPr="00BF23D4">
        <w:rPr>
          <w:i/>
          <w:iCs/>
        </w:rPr>
        <w:t xml:space="preserve">Web </w:t>
      </w:r>
      <w:proofErr w:type="spellStart"/>
      <w:r w:rsidRPr="00BF23D4">
        <w:rPr>
          <w:i/>
          <w:iCs/>
        </w:rPr>
        <w:t>of</w:t>
      </w:r>
      <w:proofErr w:type="spellEnd"/>
      <w:r w:rsidRPr="00BF23D4">
        <w:rPr>
          <w:i/>
          <w:iCs/>
        </w:rPr>
        <w:t xml:space="preserve"> </w:t>
      </w:r>
      <w:proofErr w:type="spellStart"/>
      <w:r w:rsidRPr="00BF23D4">
        <w:rPr>
          <w:i/>
          <w:iCs/>
        </w:rPr>
        <w:t>Science</w:t>
      </w:r>
      <w:proofErr w:type="spellEnd"/>
      <w:r w:rsidRPr="00BF23D4">
        <w:t xml:space="preserve"> (García-Martínez et al., 2024). Los hallazgos revelaron que la integración sistemática de herramientas de aprendizaje móvil mejora de forma estadísticamente significativa el rendimiento académico y las destrezas de pensamiento de orden superior. Asimismo, los autores identificaron que el éxito de estas intervenciones se encuentra estrictamente supeditado a tres variables moderadoras críticas: el diseño </w:t>
      </w:r>
      <w:proofErr w:type="spellStart"/>
      <w:r w:rsidRPr="00BF23D4">
        <w:t>tecnopedagógico</w:t>
      </w:r>
      <w:proofErr w:type="spellEnd"/>
      <w:r w:rsidRPr="00BF23D4">
        <w:t xml:space="preserve"> de la actividad, el grado de interactividad de la interfaz y el nivel de autonomía cognitiva concedido al estudiante en el entorno digital.</w:t>
      </w:r>
    </w:p>
    <w:p w14:paraId="30D312F6" w14:textId="77777777" w:rsidR="00BF23D4" w:rsidRPr="00BF23D4" w:rsidRDefault="00BF23D4" w:rsidP="00B90C0C">
      <w:pPr>
        <w:pStyle w:val="NormalWeb"/>
        <w:spacing w:before="0" w:beforeAutospacing="0" w:after="0" w:afterAutospacing="0" w:line="360" w:lineRule="auto"/>
        <w:ind w:left="360"/>
        <w:jc w:val="both"/>
      </w:pPr>
      <w:r w:rsidRPr="00BF23D4">
        <w:t xml:space="preserve">Complementariamente, los marcos contemporáneos del aprendizaje ubicuo conceptualizan al </w:t>
      </w:r>
      <w:r w:rsidRPr="00BF23D4">
        <w:rPr>
          <w:i/>
          <w:iCs/>
        </w:rPr>
        <w:t>m-</w:t>
      </w:r>
      <w:proofErr w:type="spellStart"/>
      <w:r w:rsidRPr="00BF23D4">
        <w:rPr>
          <w:i/>
          <w:iCs/>
        </w:rPr>
        <w:t>learning</w:t>
      </w:r>
      <w:proofErr w:type="spellEnd"/>
      <w:r w:rsidRPr="00BF23D4">
        <w:t xml:space="preserve"> no como un paradigma aislado, sino como una extensión natural de los flujos de asimilación e información que los seres humanos ejecutan continuamente en su vida diaria (Arici et al., 2024). Desde esta perspectiva socio-constructivista, una plataforma móvil educativa resulta efectiva cuando posee la capacidad de insertarse de forma orgánica en los intersticios de la rutina del alumno (como el transporte, los tiempos de espera y el entorno doméstico), ofreciendo experiencias formativas significativas a través de dinámicas de </w:t>
      </w:r>
      <w:proofErr w:type="spellStart"/>
      <w:r w:rsidRPr="00BF23D4">
        <w:t>microaprendizaje</w:t>
      </w:r>
      <w:proofErr w:type="spellEnd"/>
      <w:r w:rsidRPr="00BF23D4">
        <w:t xml:space="preserve"> (</w:t>
      </w:r>
      <w:proofErr w:type="spellStart"/>
      <w:r w:rsidRPr="00BF23D4">
        <w:rPr>
          <w:i/>
          <w:iCs/>
        </w:rPr>
        <w:t>microlearning</w:t>
      </w:r>
      <w:proofErr w:type="spellEnd"/>
      <w:r w:rsidRPr="00BF23D4">
        <w:t>). Este principio arquitectónico orientó directamente el diseño de la interfaz del sistema propuesto en la presente investigación, donde las unidades didácticas y los subtemas moleculares de biología celular fueron fragmentados para completarse en segmentos de interacción altamente enfocados de entre 5 y 15 minutos.</w:t>
      </w:r>
    </w:p>
    <w:p w14:paraId="51C306CC" w14:textId="77777777" w:rsidR="00371B5A" w:rsidRDefault="00371B5A" w:rsidP="00F56D04">
      <w:pPr>
        <w:pStyle w:val="NormalWeb"/>
        <w:spacing w:before="0" w:beforeAutospacing="0" w:after="0" w:afterAutospacing="0" w:line="360" w:lineRule="auto"/>
        <w:ind w:left="357" w:firstLine="318"/>
        <w:jc w:val="both"/>
      </w:pPr>
    </w:p>
    <w:p w14:paraId="6881348D" w14:textId="77777777" w:rsidR="00F56D04" w:rsidRPr="00F56D04" w:rsidRDefault="00F56D04" w:rsidP="00F56D04">
      <w:pPr>
        <w:pStyle w:val="NormalWeb"/>
        <w:spacing w:before="0" w:beforeAutospacing="0" w:after="0" w:afterAutospacing="0" w:line="360" w:lineRule="auto"/>
        <w:ind w:left="357" w:firstLine="318"/>
        <w:jc w:val="both"/>
        <w:rPr>
          <w:b/>
          <w:bCs/>
        </w:rPr>
      </w:pPr>
      <w:r w:rsidRPr="00F56D04">
        <w:rPr>
          <w:b/>
          <w:bCs/>
        </w:rPr>
        <w:t>Factores de Éxito del M-</w:t>
      </w:r>
      <w:proofErr w:type="spellStart"/>
      <w:r w:rsidRPr="00F56D04">
        <w:rPr>
          <w:b/>
          <w:bCs/>
        </w:rPr>
        <w:t>Learning</w:t>
      </w:r>
      <w:proofErr w:type="spellEnd"/>
    </w:p>
    <w:p w14:paraId="3FC9E4D5" w14:textId="77777777" w:rsidR="00F56D04" w:rsidRDefault="00F56D04" w:rsidP="00F56D04">
      <w:pPr>
        <w:pStyle w:val="NormalWeb"/>
        <w:spacing w:before="0" w:beforeAutospacing="0" w:after="0" w:afterAutospacing="0" w:line="360" w:lineRule="auto"/>
        <w:ind w:left="357" w:firstLine="318"/>
        <w:jc w:val="both"/>
      </w:pPr>
      <w:r w:rsidRPr="00F56D04">
        <w:t xml:space="preserve">Un meta-análisis global indexado en el repositorio PMC (Al-Emran et al., 2024) identificó que la compatibilidad tecnológica y la facilidad de uso percibida de los teléfonos móviles constituyen factores críticos que condicionan la adopción sistémica de los dispositivos portátiles en los flujos de aprendizaje. Asimismo, la investigación puso de manifiesto el rol determinante que ejercen las perspectivas psicológicas, las actitudes y las habilidades previas de los usuarios como variables moderadoras del éxito instruccional. Los autores concluyen que la sostenibilidad del </w:t>
      </w:r>
      <w:r w:rsidRPr="00F56D04">
        <w:rPr>
          <w:i/>
          <w:iCs/>
        </w:rPr>
        <w:t>m-</w:t>
      </w:r>
      <w:proofErr w:type="spellStart"/>
      <w:r w:rsidRPr="00F56D04">
        <w:rPr>
          <w:i/>
          <w:iCs/>
        </w:rPr>
        <w:t>learning</w:t>
      </w:r>
      <w:proofErr w:type="spellEnd"/>
      <w:r w:rsidRPr="00F56D04">
        <w:t xml:space="preserve"> responde a una naturaleza multifactorial, articulada tanto por componentes estrictamente tecnológicos (rendimiento del hardware, estabilidad de la conectividad y diseño </w:t>
      </w:r>
      <w:r w:rsidRPr="00F56D04">
        <w:lastRenderedPageBreak/>
        <w:t>adaptativo de la interfaz) como por factores humanos intrínsecos (actitud hacia la tecnología, hábitos de autorregulación del estudio y soporte institucional continuo).</w:t>
      </w:r>
    </w:p>
    <w:p w14:paraId="09DBC903" w14:textId="77777777" w:rsidR="00F56D04" w:rsidRPr="00F56D04" w:rsidRDefault="00F56D04" w:rsidP="00F56D04">
      <w:pPr>
        <w:pStyle w:val="NormalWeb"/>
        <w:spacing w:before="0" w:beforeAutospacing="0" w:after="0" w:afterAutospacing="0" w:line="360" w:lineRule="auto"/>
        <w:ind w:left="357" w:firstLine="318"/>
        <w:jc w:val="both"/>
      </w:pPr>
    </w:p>
    <w:p w14:paraId="3F5C9087" w14:textId="77777777" w:rsidR="00F56D04" w:rsidRPr="00F56D04" w:rsidRDefault="00F56D04" w:rsidP="00F56D04">
      <w:pPr>
        <w:pStyle w:val="NormalWeb"/>
        <w:spacing w:before="0" w:beforeAutospacing="0" w:after="0" w:afterAutospacing="0" w:line="360" w:lineRule="auto"/>
        <w:ind w:left="357"/>
        <w:jc w:val="both"/>
      </w:pPr>
      <w:r w:rsidRPr="00F56D04">
        <w:t>Por su parte, López-Faican et al. (2024) identifican el diseño de la interfaz de usuario (UI) y la experiencia de usuario (UX) como los factores predictores más consistentes para garantizar el compromiso sostenido (</w:t>
      </w:r>
      <w:proofErr w:type="spellStart"/>
      <w:r w:rsidRPr="00F56D04">
        <w:rPr>
          <w:i/>
          <w:iCs/>
        </w:rPr>
        <w:t>engagement</w:t>
      </w:r>
      <w:proofErr w:type="spellEnd"/>
      <w:r w:rsidRPr="00F56D04">
        <w:t>) con plataformas de aprendizaje móvil. Los autores demuestran que las interfaces que incorporan una navegación intuitiva, mecanismos de retroalimentación visual inmediata y consistencia estética reducen significativamente la carga cognitiva extrínseca. Al mitigar esta fricción operativa, el sistema permite que el estudiante concentre la totalidad de sus recursos atencionales en el procesamiento del contenido científico abstracto, en lugar de dispersarlos en aprender a operar la herramienta informática.</w:t>
      </w:r>
    </w:p>
    <w:p w14:paraId="5D215A04" w14:textId="77777777" w:rsidR="00F56D04" w:rsidRDefault="00F56D04" w:rsidP="00F56D04">
      <w:pPr>
        <w:pStyle w:val="NormalWeb"/>
        <w:spacing w:before="0" w:beforeAutospacing="0" w:after="0" w:afterAutospacing="0" w:line="360" w:lineRule="auto"/>
        <w:ind w:left="357"/>
        <w:jc w:val="both"/>
      </w:pPr>
      <w:r w:rsidRPr="00F56D04">
        <w:t xml:space="preserve">Esta evidencia empírica fundamenta de manera directa la rigurosa inversión metodológica en el diseño de interacción ejecutada en el sistema propuesto en la presente investigación, cuya interfaz se estructuró siguiendo los principios normativos de Material </w:t>
      </w:r>
      <w:proofErr w:type="spellStart"/>
      <w:r w:rsidRPr="00F56D04">
        <w:t>Design</w:t>
      </w:r>
      <w:proofErr w:type="spellEnd"/>
      <w:r w:rsidRPr="00F56D04">
        <w:t xml:space="preserve"> 3, implementando una paleta cromática coherente, tipografías legibles con contraste optimizado y componentes de navegación estándar.</w:t>
      </w:r>
    </w:p>
    <w:p w14:paraId="4FA12422" w14:textId="77777777" w:rsidR="008F66FB" w:rsidRPr="00F56D04" w:rsidRDefault="008F66FB" w:rsidP="00F56D04">
      <w:pPr>
        <w:pStyle w:val="NormalWeb"/>
        <w:spacing w:before="0" w:beforeAutospacing="0" w:after="0" w:afterAutospacing="0" w:line="360" w:lineRule="auto"/>
        <w:ind w:left="357"/>
        <w:jc w:val="both"/>
      </w:pPr>
    </w:p>
    <w:p w14:paraId="07DD36F1" w14:textId="77777777" w:rsidR="00F56D04" w:rsidRPr="00F56D04" w:rsidRDefault="00F56D04" w:rsidP="008F66FB">
      <w:pPr>
        <w:pStyle w:val="NormalWeb"/>
        <w:spacing w:before="0" w:beforeAutospacing="0" w:after="0" w:afterAutospacing="0" w:line="360" w:lineRule="auto"/>
        <w:ind w:left="357" w:firstLine="318"/>
        <w:jc w:val="both"/>
        <w:rPr>
          <w:b/>
          <w:bCs/>
        </w:rPr>
      </w:pPr>
      <w:r w:rsidRPr="00F56D04">
        <w:rPr>
          <w:b/>
          <w:bCs/>
        </w:rPr>
        <w:t>M-</w:t>
      </w:r>
      <w:proofErr w:type="spellStart"/>
      <w:r w:rsidRPr="00F56D04">
        <w:rPr>
          <w:b/>
          <w:bCs/>
        </w:rPr>
        <w:t>Learning</w:t>
      </w:r>
      <w:proofErr w:type="spellEnd"/>
      <w:r w:rsidRPr="00F56D04">
        <w:rPr>
          <w:b/>
          <w:bCs/>
        </w:rPr>
        <w:t xml:space="preserve"> en Educación Básica y Media</w:t>
      </w:r>
    </w:p>
    <w:p w14:paraId="4C915DF1" w14:textId="77777777" w:rsidR="00F56D04" w:rsidRPr="00F56D04" w:rsidRDefault="00F56D04" w:rsidP="008F66FB">
      <w:pPr>
        <w:pStyle w:val="NormalWeb"/>
        <w:spacing w:before="0" w:beforeAutospacing="0" w:after="0" w:afterAutospacing="0" w:line="360" w:lineRule="auto"/>
        <w:ind w:left="357" w:firstLine="318"/>
        <w:jc w:val="both"/>
      </w:pPr>
      <w:r w:rsidRPr="00F56D04">
        <w:t xml:space="preserve">La adopción del aprendizaje móvil en los niveles de educación básica y media ha sido objeto de múltiples caracterizaciones metodológicas en la literatura reciente. Una revisión sistemática estructurada bajo las directrices de la declaración PRISMA-2020 en las bases de datos </w:t>
      </w:r>
      <w:proofErr w:type="spellStart"/>
      <w:r w:rsidRPr="00F56D04">
        <w:rPr>
          <w:i/>
          <w:iCs/>
        </w:rPr>
        <w:t>Scopus</w:t>
      </w:r>
      <w:proofErr w:type="spellEnd"/>
      <w:r w:rsidRPr="00F56D04">
        <w:t xml:space="preserve"> y </w:t>
      </w:r>
      <w:r w:rsidRPr="00F56D04">
        <w:rPr>
          <w:i/>
          <w:iCs/>
        </w:rPr>
        <w:t xml:space="preserve">Web </w:t>
      </w:r>
      <w:proofErr w:type="spellStart"/>
      <w:r w:rsidRPr="00F56D04">
        <w:rPr>
          <w:i/>
          <w:iCs/>
        </w:rPr>
        <w:t>of</w:t>
      </w:r>
      <w:proofErr w:type="spellEnd"/>
      <w:r w:rsidRPr="00F56D04">
        <w:rPr>
          <w:i/>
          <w:iCs/>
        </w:rPr>
        <w:t xml:space="preserve"> </w:t>
      </w:r>
      <w:proofErr w:type="spellStart"/>
      <w:r w:rsidRPr="00F56D04">
        <w:rPr>
          <w:i/>
          <w:iCs/>
        </w:rPr>
        <w:t>Science</w:t>
      </w:r>
      <w:proofErr w:type="spellEnd"/>
      <w:r w:rsidRPr="00F56D04">
        <w:t xml:space="preserve"> demostró que los cuestionarios estructurados continúan siendo los principales instrumentos de recolección de datos, que el contexto geográfico de producción predominante es el continente asiático y que los marcos teóricos más aplicados corresponden al Modelo de Aceptación Tecnológica (TAM) y a la Teoría Unificada de Aceptación y Uso de Tecnología (UTAUT) (Sánchez-Prieto et al., 2024). Asimismo, este análisis evidenció que las variables latentes predictoras clave en las ecuaciones estructurales de estos estudios son la intención conductual y la actitud de los estudiantes hacia los dispositivos portátiles.</w:t>
      </w:r>
    </w:p>
    <w:p w14:paraId="4E5916B8" w14:textId="77777777" w:rsidR="001100EC" w:rsidRDefault="00F56D04" w:rsidP="001100EC">
      <w:pPr>
        <w:pStyle w:val="NormalWeb"/>
        <w:spacing w:line="360" w:lineRule="auto"/>
        <w:ind w:left="360"/>
        <w:jc w:val="both"/>
      </w:pPr>
      <w:r w:rsidRPr="00F56D04">
        <w:lastRenderedPageBreak/>
        <w:t xml:space="preserve">No obstante, al trasladar este paradigma al escenario latinoamericano, la investigación en </w:t>
      </w:r>
      <w:r w:rsidRPr="00F56D04">
        <w:rPr>
          <w:i/>
          <w:iCs/>
        </w:rPr>
        <w:t>m-</w:t>
      </w:r>
      <w:proofErr w:type="spellStart"/>
      <w:r w:rsidRPr="00F56D04">
        <w:rPr>
          <w:i/>
          <w:iCs/>
        </w:rPr>
        <w:t>learning</w:t>
      </w:r>
      <w:proofErr w:type="spellEnd"/>
      <w:r w:rsidRPr="00F56D04">
        <w:t xml:space="preserve"> enfrenta desafíos particulares asociados a la marcada heterogeneidad y fragmentación del hardware disponible en los hogares. Las intervenciones pedagógicas coexisten con un espectro que abarca desde teléfonos inteligentes de gama baja con capacidades de memoria RAM severamente limitadas, hasta dispositivos de última generación, una asimetría socioeconómica que impone restricciones severas al diseño de interfaces y exige algoritmos capaces de ser funcionales en todo el rango de hardware (López-Faican et al., 2024).</w:t>
      </w:r>
      <w:r w:rsidR="001100EC">
        <w:t xml:space="preserve"> </w:t>
      </w:r>
    </w:p>
    <w:p w14:paraId="157F954D" w14:textId="7EB70573" w:rsidR="00F56D04" w:rsidRPr="00F56D04" w:rsidRDefault="00F56D04" w:rsidP="001100EC">
      <w:pPr>
        <w:pStyle w:val="NormalWeb"/>
        <w:spacing w:line="360" w:lineRule="auto"/>
        <w:ind w:left="360"/>
        <w:jc w:val="both"/>
      </w:pPr>
      <w:r w:rsidRPr="00F56D04">
        <w:t xml:space="preserve">El sistema propuesto aborda de forma directa esta limitación técnica al haber sido desarrollado con </w:t>
      </w:r>
      <w:proofErr w:type="spellStart"/>
      <w:r w:rsidRPr="00F56D04">
        <w:t>Flutter</w:t>
      </w:r>
      <w:proofErr w:type="spellEnd"/>
      <w:r w:rsidRPr="00F56D04">
        <w:t xml:space="preserve">. Este </w:t>
      </w:r>
      <w:proofErr w:type="spellStart"/>
      <w:r w:rsidRPr="00F56D04">
        <w:t>framework</w:t>
      </w:r>
      <w:proofErr w:type="spellEnd"/>
      <w:r w:rsidRPr="00F56D04">
        <w:t xml:space="preserve"> de código abierto compila de manera directa a código de máquina nativo para cada plataforma (AOT, </w:t>
      </w:r>
      <w:proofErr w:type="spellStart"/>
      <w:r w:rsidRPr="00F56D04">
        <w:rPr>
          <w:i/>
          <w:iCs/>
        </w:rPr>
        <w:t>Ahead</w:t>
      </w:r>
      <w:proofErr w:type="spellEnd"/>
      <w:r w:rsidRPr="00F56D04">
        <w:rPr>
          <w:i/>
          <w:iCs/>
        </w:rPr>
        <w:t>-</w:t>
      </w:r>
      <w:proofErr w:type="spellStart"/>
      <w:r w:rsidRPr="00F56D04">
        <w:rPr>
          <w:i/>
          <w:iCs/>
        </w:rPr>
        <w:t>of</w:t>
      </w:r>
      <w:proofErr w:type="spellEnd"/>
      <w:r w:rsidRPr="00F56D04">
        <w:rPr>
          <w:i/>
          <w:iCs/>
        </w:rPr>
        <w:t>-Time</w:t>
      </w:r>
      <w:r w:rsidRPr="00F56D04">
        <w:t>), garantizando un rendimiento óptimo de renderizado de la Realidad Aumentada y el procesamiento de la Inteligencia Artificial, independientemente del nivel de hardware del usuario. El software ofrece un despliegue inclusivo al asegurar la retrocompatibilidad y operatividad desde el sistema operativo Android 6.0 (API nivel 23) en adelante.</w:t>
      </w:r>
    </w:p>
    <w:p w14:paraId="14089956" w14:textId="77777777" w:rsidR="005D1A07" w:rsidRPr="005D1A07" w:rsidRDefault="005D1A07" w:rsidP="005D1A07">
      <w:pPr>
        <w:pStyle w:val="NormalWeb"/>
        <w:spacing w:before="0" w:beforeAutospacing="0" w:after="0" w:afterAutospacing="0" w:line="360" w:lineRule="auto"/>
        <w:ind w:firstLine="357"/>
        <w:jc w:val="both"/>
        <w:rPr>
          <w:b/>
          <w:bCs/>
        </w:rPr>
      </w:pPr>
      <w:proofErr w:type="spellStart"/>
      <w:r w:rsidRPr="005D1A07">
        <w:rPr>
          <w:b/>
          <w:bCs/>
        </w:rPr>
        <w:t>Frameworks</w:t>
      </w:r>
      <w:proofErr w:type="spellEnd"/>
      <w:r w:rsidRPr="005D1A07">
        <w:rPr>
          <w:b/>
          <w:bCs/>
        </w:rPr>
        <w:t xml:space="preserve"> de Desarrollo Móvil Multiplataforma</w:t>
      </w:r>
    </w:p>
    <w:p w14:paraId="28EF2A12" w14:textId="18104235" w:rsidR="005D1A07" w:rsidRPr="005D1A07" w:rsidRDefault="005D1A07" w:rsidP="005D1A07">
      <w:pPr>
        <w:pStyle w:val="NormalWeb"/>
        <w:spacing w:before="0" w:beforeAutospacing="0" w:after="0" w:afterAutospacing="0" w:line="360" w:lineRule="auto"/>
        <w:ind w:firstLine="720"/>
        <w:jc w:val="both"/>
        <w:rPr>
          <w:b/>
          <w:bCs/>
        </w:rPr>
      </w:pPr>
      <w:proofErr w:type="spellStart"/>
      <w:r w:rsidRPr="005D1A07">
        <w:rPr>
          <w:b/>
          <w:bCs/>
        </w:rPr>
        <w:t>Flutter</w:t>
      </w:r>
      <w:proofErr w:type="spellEnd"/>
      <w:r w:rsidRPr="005D1A07">
        <w:rPr>
          <w:b/>
          <w:bCs/>
        </w:rPr>
        <w:t xml:space="preserve"> como Tecnología Emergente</w:t>
      </w:r>
    </w:p>
    <w:p w14:paraId="7A2DC65C" w14:textId="77777777" w:rsidR="005D1A07" w:rsidRPr="005D1A07" w:rsidRDefault="005D1A07" w:rsidP="005D1A07">
      <w:pPr>
        <w:pStyle w:val="NormalWeb"/>
        <w:spacing w:before="0" w:beforeAutospacing="0" w:after="0" w:afterAutospacing="0" w:line="360" w:lineRule="auto"/>
        <w:ind w:left="357" w:firstLine="363"/>
        <w:jc w:val="both"/>
      </w:pPr>
      <w:proofErr w:type="spellStart"/>
      <w:r w:rsidRPr="005D1A07">
        <w:t>Flutter</w:t>
      </w:r>
      <w:proofErr w:type="spellEnd"/>
      <w:r w:rsidRPr="005D1A07">
        <w:t xml:space="preserve">, desarrollado por Google, se ha posicionado como un </w:t>
      </w:r>
      <w:proofErr w:type="spellStart"/>
      <w:r w:rsidRPr="005D1A07">
        <w:t>framework</w:t>
      </w:r>
      <w:proofErr w:type="spellEnd"/>
      <w:r w:rsidRPr="005D1A07">
        <w:t xml:space="preserve"> de código abierto líder para el diseño y despliegue de aplicaciones móviles multiplataforma. Un estudio publicado en MDPI destaca que la consistencia gráfica de </w:t>
      </w:r>
      <w:proofErr w:type="spellStart"/>
      <w:r w:rsidRPr="005D1A07">
        <w:t>Flutter</w:t>
      </w:r>
      <w:proofErr w:type="spellEnd"/>
      <w:r w:rsidRPr="005D1A07">
        <w:t>, cimentada en una amplia gama de componentes nativos (</w:t>
      </w:r>
      <w:r w:rsidRPr="005D1A07">
        <w:rPr>
          <w:i/>
          <w:iCs/>
        </w:rPr>
        <w:t>widgets</w:t>
      </w:r>
      <w:r w:rsidRPr="005D1A07">
        <w:t>), garantiza experiencias uniformes en diversos sistemas operativos; esto lo convierte en un entorno tecnológico crucial para proporcionar interfaces de usuario predecibles y de alto rendimiento (Kim &amp; Park, 2024).</w:t>
      </w:r>
    </w:p>
    <w:p w14:paraId="491F9EBF" w14:textId="77777777" w:rsidR="005D1A07" w:rsidRPr="005D1A07" w:rsidRDefault="005D1A07" w:rsidP="005D1A07">
      <w:pPr>
        <w:pStyle w:val="NormalWeb"/>
        <w:spacing w:before="0" w:beforeAutospacing="0" w:after="0" w:afterAutospacing="0" w:line="360" w:lineRule="auto"/>
        <w:ind w:left="357"/>
        <w:jc w:val="both"/>
      </w:pPr>
      <w:r w:rsidRPr="005D1A07">
        <w:t xml:space="preserve">Metodológicamente, investigaciones sobre eficiencia en la ingeniería del software demuestran que los equipos de desarrollo que adoptan el ecosistema de </w:t>
      </w:r>
      <w:proofErr w:type="spellStart"/>
      <w:r w:rsidRPr="005D1A07">
        <w:t>Flutter</w:t>
      </w:r>
      <w:proofErr w:type="spellEnd"/>
      <w:r w:rsidRPr="005D1A07">
        <w:t xml:space="preserve"> experimentan un incremento sustancial en la velocidad de finalización de características y entrega de código en comparación con otras cadenas de herramientas tradicionales (Lin, 2024). Esta optimización de la productividad es especialmente relevante en el contexto de una investigación doctoral, donde el </w:t>
      </w:r>
      <w:r w:rsidRPr="005D1A07">
        <w:lastRenderedPageBreak/>
        <w:t>ciclo de desarrollo del prototipo interactivo debe equilibrarse con las exigencias metodológicas y temporales propias de una tesis de posgrado.</w:t>
      </w:r>
    </w:p>
    <w:p w14:paraId="5D19F1CE" w14:textId="77777777" w:rsidR="005D1A07" w:rsidRPr="005D1A07" w:rsidRDefault="005D1A07" w:rsidP="007E2D1F">
      <w:pPr>
        <w:pStyle w:val="NormalWeb"/>
        <w:spacing w:before="0" w:beforeAutospacing="0" w:after="0" w:afterAutospacing="0" w:line="360" w:lineRule="auto"/>
        <w:ind w:left="357"/>
        <w:jc w:val="both"/>
      </w:pPr>
      <w:r w:rsidRPr="005D1A07">
        <w:t xml:space="preserve">El </w:t>
      </w:r>
      <w:proofErr w:type="spellStart"/>
      <w:r w:rsidRPr="005D1A07">
        <w:t>framework</w:t>
      </w:r>
      <w:proofErr w:type="spellEnd"/>
      <w:r w:rsidRPr="005D1A07">
        <w:t xml:space="preserve"> utiliza el lenguaje de programación Dart, diseñado específicamente para soportar interfaces de usuario reactivas. Entre sus características de mayor valor para aplicaciones educativas destaca su esquema de compilación </w:t>
      </w:r>
      <w:proofErr w:type="spellStart"/>
      <w:r w:rsidRPr="005D1A07">
        <w:t>Ahead</w:t>
      </w:r>
      <w:proofErr w:type="spellEnd"/>
      <w:r w:rsidRPr="005D1A07">
        <w:t>-</w:t>
      </w:r>
      <w:proofErr w:type="spellStart"/>
      <w:r w:rsidRPr="005D1A07">
        <w:t>of</w:t>
      </w:r>
      <w:proofErr w:type="spellEnd"/>
      <w:r w:rsidRPr="005D1A07">
        <w:t xml:space="preserve">-Time (AOT), el cual traduce el código fuente directamente a instrucciones de máquina nativas (ARM), logrando un rendimiento comparable al desarrollo nativo en Swift o </w:t>
      </w:r>
      <w:proofErr w:type="spellStart"/>
      <w:r w:rsidRPr="005D1A07">
        <w:t>Kotlin</w:t>
      </w:r>
      <w:proofErr w:type="spellEnd"/>
      <w:r w:rsidRPr="005D1A07">
        <w:t xml:space="preserve">, y eliminando por completo las penalizaciones de latencia y sobrecarga de CPU típicas de los </w:t>
      </w:r>
      <w:proofErr w:type="spellStart"/>
      <w:r w:rsidRPr="005D1A07">
        <w:t>frameworks</w:t>
      </w:r>
      <w:proofErr w:type="spellEnd"/>
      <w:r w:rsidRPr="005D1A07">
        <w:t xml:space="preserve"> híbridos basados en contenedores </w:t>
      </w:r>
      <w:proofErr w:type="spellStart"/>
      <w:r w:rsidRPr="005D1A07">
        <w:rPr>
          <w:i/>
          <w:iCs/>
        </w:rPr>
        <w:t>WebView</w:t>
      </w:r>
      <w:proofErr w:type="spellEnd"/>
      <w:r w:rsidRPr="005D1A07">
        <w:t xml:space="preserve"> (</w:t>
      </w:r>
      <w:proofErr w:type="spellStart"/>
      <w:r w:rsidRPr="005D1A07">
        <w:t>Windmill</w:t>
      </w:r>
      <w:proofErr w:type="spellEnd"/>
      <w:r w:rsidRPr="005D1A07">
        <w:t xml:space="preserve"> &amp; </w:t>
      </w:r>
      <w:proofErr w:type="spellStart"/>
      <w:r w:rsidRPr="005D1A07">
        <w:t>Rischpater</w:t>
      </w:r>
      <w:proofErr w:type="spellEnd"/>
      <w:r w:rsidRPr="005D1A07">
        <w:t>, 2020).</w:t>
      </w:r>
    </w:p>
    <w:p w14:paraId="475E65AB" w14:textId="77777777" w:rsidR="005D1A07" w:rsidRPr="005D1A07" w:rsidRDefault="005D1A07" w:rsidP="007E2D1F">
      <w:pPr>
        <w:pStyle w:val="NormalWeb"/>
        <w:spacing w:before="0" w:beforeAutospacing="0" w:after="0" w:afterAutospacing="0" w:line="360" w:lineRule="auto"/>
        <w:ind w:left="357"/>
        <w:jc w:val="both"/>
      </w:pPr>
      <w:r w:rsidRPr="005D1A07">
        <w:t xml:space="preserve">Asimismo, la arquitectura declarativa de </w:t>
      </w:r>
      <w:proofErr w:type="spellStart"/>
      <w:r w:rsidRPr="005D1A07">
        <w:t>Flutter</w:t>
      </w:r>
      <w:proofErr w:type="spellEnd"/>
      <w:r w:rsidRPr="005D1A07">
        <w:t xml:space="preserve"> permite tratar cada elemento de la pantalla como un widget inmutable que se reconstruye de forma automatizada únicamente cuando su estado interno muta. Esta capacidad facilita la implementación de interfaces altamente responsivas y animadas —tales como las tarjetas de herramientas dinámicas que caracterizan la pantalla principal del sistema propuesto—, optimizando la tasa de refresco gráfica sin comprometer el rendimiento técnico en dispositivos móviles de gama media (Kim &amp; Park, 2024).</w:t>
      </w:r>
    </w:p>
    <w:p w14:paraId="5130D497" w14:textId="77777777" w:rsidR="007E2D1F" w:rsidRDefault="007E2D1F" w:rsidP="005D1A07">
      <w:pPr>
        <w:pStyle w:val="NormalWeb"/>
        <w:spacing w:before="0" w:beforeAutospacing="0" w:after="0" w:afterAutospacing="0" w:line="360" w:lineRule="auto"/>
        <w:ind w:firstLine="357"/>
        <w:jc w:val="both"/>
      </w:pPr>
    </w:p>
    <w:p w14:paraId="0B6F384D" w14:textId="1376D75D" w:rsidR="005D1A07" w:rsidRPr="007E2D1F" w:rsidRDefault="005D1A07" w:rsidP="007E2D1F">
      <w:pPr>
        <w:pStyle w:val="NormalWeb"/>
        <w:spacing w:before="0" w:beforeAutospacing="0" w:after="0" w:afterAutospacing="0" w:line="360" w:lineRule="auto"/>
        <w:ind w:firstLine="720"/>
        <w:jc w:val="both"/>
        <w:rPr>
          <w:b/>
          <w:bCs/>
        </w:rPr>
      </w:pPr>
      <w:proofErr w:type="spellStart"/>
      <w:r w:rsidRPr="007E2D1F">
        <w:rPr>
          <w:b/>
          <w:bCs/>
        </w:rPr>
        <w:t>Flutter</w:t>
      </w:r>
      <w:proofErr w:type="spellEnd"/>
      <w:r w:rsidRPr="007E2D1F">
        <w:rPr>
          <w:b/>
          <w:bCs/>
        </w:rPr>
        <w:t xml:space="preserve"> en Aplicaciones Educativas</w:t>
      </w:r>
    </w:p>
    <w:p w14:paraId="44CF9A05" w14:textId="77777777" w:rsidR="005D1A07" w:rsidRPr="005D1A07" w:rsidRDefault="005D1A07" w:rsidP="007E2D1F">
      <w:pPr>
        <w:pStyle w:val="NormalWeb"/>
        <w:spacing w:before="0" w:beforeAutospacing="0" w:after="0" w:afterAutospacing="0" w:line="360" w:lineRule="auto"/>
        <w:ind w:left="357" w:firstLine="363"/>
        <w:jc w:val="both"/>
      </w:pPr>
      <w:r w:rsidRPr="005D1A07">
        <w:t xml:space="preserve">La literatura científica contemporánea documenta que el desarrollo de aplicaciones móviles educativas mediante </w:t>
      </w:r>
      <w:proofErr w:type="spellStart"/>
      <w:r w:rsidRPr="005D1A07">
        <w:t>Flutter</w:t>
      </w:r>
      <w:proofErr w:type="spellEnd"/>
      <w:r w:rsidRPr="005D1A07">
        <w:t xml:space="preserve"> reporta altos niveles de satisfacción de usuario, debido a la fluidez en la entrega de contenidos curriculares multimedia (Kumar &amp; Singh, 2024). En este sentido, la introducción de herramientas oficiales como el </w:t>
      </w:r>
      <w:proofErr w:type="spellStart"/>
      <w:r w:rsidRPr="005D1A07">
        <w:t>Flutter</w:t>
      </w:r>
      <w:proofErr w:type="spellEnd"/>
      <w:r w:rsidRPr="005D1A07">
        <w:t xml:space="preserve"> AI </w:t>
      </w:r>
      <w:proofErr w:type="spellStart"/>
      <w:r w:rsidRPr="005D1A07">
        <w:t>Toolkit</w:t>
      </w:r>
      <w:proofErr w:type="spellEnd"/>
      <w:r w:rsidRPr="005D1A07">
        <w:t xml:space="preserve"> ha simplificado de forma sustancial la integración de características de Inteligencia Artificial (tales como ventanas de chat conversacional y procesamiento de lenguaje natural) en interfaces portátiles.</w:t>
      </w:r>
    </w:p>
    <w:p w14:paraId="6B54868F" w14:textId="77777777" w:rsidR="005D1A07" w:rsidRPr="005D1A07" w:rsidRDefault="005D1A07" w:rsidP="007E2D1F">
      <w:pPr>
        <w:pStyle w:val="NormalWeb"/>
        <w:spacing w:before="0" w:beforeAutospacing="0" w:after="0" w:afterAutospacing="0" w:line="360" w:lineRule="auto"/>
        <w:ind w:left="357"/>
        <w:jc w:val="both"/>
      </w:pPr>
      <w:r w:rsidRPr="005D1A07">
        <w:t xml:space="preserve">Si bien este kit de herramientas facilita la conexión ágil con modelos como Google Gemini o </w:t>
      </w:r>
      <w:proofErr w:type="spellStart"/>
      <w:r w:rsidRPr="005D1A07">
        <w:t>Firebase</w:t>
      </w:r>
      <w:proofErr w:type="spellEnd"/>
      <w:r w:rsidRPr="005D1A07">
        <w:t xml:space="preserve"> </w:t>
      </w:r>
      <w:proofErr w:type="spellStart"/>
      <w:r w:rsidRPr="005D1A07">
        <w:t>Vertex</w:t>
      </w:r>
      <w:proofErr w:type="spellEnd"/>
      <w:r w:rsidRPr="005D1A07">
        <w:t xml:space="preserve"> AI mediante abstracciones nativas, la arquitectura de integración directa mediante peticiones HTTP asíncronas implementada en el sistema propuesto ofrece una mayor flexibilidad de ingeniería. Este enfoque permite realizar llamadas de producción a proveedores </w:t>
      </w:r>
      <w:r w:rsidRPr="005D1A07">
        <w:lastRenderedPageBreak/>
        <w:t xml:space="preserve">alternativos de inferencia de alta velocidad (como la API de </w:t>
      </w:r>
      <w:proofErr w:type="spellStart"/>
      <w:r w:rsidRPr="005D1A07">
        <w:t>Groq</w:t>
      </w:r>
      <w:proofErr w:type="spellEnd"/>
      <w:r w:rsidRPr="005D1A07">
        <w:t xml:space="preserve">), evitando la dependencia acoplada a los </w:t>
      </w:r>
      <w:proofErr w:type="spellStart"/>
      <w:r w:rsidRPr="005D1A07">
        <w:t>SDKs</w:t>
      </w:r>
      <w:proofErr w:type="spellEnd"/>
      <w:r w:rsidRPr="005D1A07">
        <w:t xml:space="preserve"> propietarios de un único proveedor de la nube.</w:t>
      </w:r>
    </w:p>
    <w:p w14:paraId="24BB0680" w14:textId="77777777" w:rsidR="005D1A07" w:rsidRPr="005D1A07" w:rsidRDefault="005D1A07" w:rsidP="007E2D1F">
      <w:pPr>
        <w:pStyle w:val="NormalWeb"/>
        <w:spacing w:before="0" w:beforeAutospacing="0" w:after="0" w:afterAutospacing="0" w:line="360" w:lineRule="auto"/>
        <w:ind w:left="357"/>
        <w:jc w:val="both"/>
      </w:pPr>
      <w:r w:rsidRPr="005D1A07">
        <w:t xml:space="preserve">En el campo específico de las ciencias naturales, los flujos de trabajo orientados al despliegue de modelos de visión artificial ligeros en interfaces móviles demuestran que la integración de </w:t>
      </w:r>
      <w:proofErr w:type="spellStart"/>
      <w:r w:rsidRPr="005D1A07">
        <w:t>TensorFlow</w:t>
      </w:r>
      <w:proofErr w:type="spellEnd"/>
      <w:r w:rsidRPr="005D1A07">
        <w:t xml:space="preserve"> Lite y arquitecturas tipo </w:t>
      </w:r>
      <w:proofErr w:type="spellStart"/>
      <w:r w:rsidRPr="005D1A07">
        <w:rPr>
          <w:i/>
          <w:iCs/>
        </w:rPr>
        <w:t>MobileNet</w:t>
      </w:r>
      <w:proofErr w:type="spellEnd"/>
      <w:r w:rsidRPr="005D1A07">
        <w:t xml:space="preserve"> es altamente viable para la clasificación biológica en entornos escolares (Singh &amp; </w:t>
      </w:r>
      <w:proofErr w:type="spellStart"/>
      <w:r w:rsidRPr="005D1A07">
        <w:t>Bhadani</w:t>
      </w:r>
      <w:proofErr w:type="spellEnd"/>
      <w:r w:rsidRPr="005D1A07">
        <w:t xml:space="preserve">, 2020). De acuerdo con los </w:t>
      </w:r>
      <w:proofErr w:type="spellStart"/>
      <w:r w:rsidRPr="005D1A07">
        <w:rPr>
          <w:i/>
          <w:iCs/>
        </w:rPr>
        <w:t>benchmarks</w:t>
      </w:r>
      <w:proofErr w:type="spellEnd"/>
      <w:r w:rsidRPr="005D1A07">
        <w:t xml:space="preserve"> de rendimiento automatizado de Ahmad et al. (2024), este tipo de optimizaciones locales reduce los tiempos de inferencia computacional a un rango de entre 150 y 400 milisegundos en dispositivos Android de gama media, validando técnicamente la viabilidad del escáner inteligente diseñado en la presente investigación para el reconocimiento de especímenes biológicos en el aula.</w:t>
      </w:r>
    </w:p>
    <w:p w14:paraId="3A2672F4" w14:textId="77777777" w:rsidR="007E2D1F" w:rsidRDefault="007E2D1F" w:rsidP="005D1A07">
      <w:pPr>
        <w:pStyle w:val="NormalWeb"/>
        <w:spacing w:before="0" w:beforeAutospacing="0" w:after="0" w:afterAutospacing="0" w:line="360" w:lineRule="auto"/>
        <w:ind w:firstLine="357"/>
        <w:jc w:val="both"/>
      </w:pPr>
    </w:p>
    <w:p w14:paraId="35F51B5E" w14:textId="3CAC542F" w:rsidR="005D1A07" w:rsidRPr="007E2D1F" w:rsidRDefault="005D1A07" w:rsidP="005D1A07">
      <w:pPr>
        <w:pStyle w:val="NormalWeb"/>
        <w:spacing w:before="0" w:beforeAutospacing="0" w:after="0" w:afterAutospacing="0" w:line="360" w:lineRule="auto"/>
        <w:ind w:firstLine="357"/>
        <w:jc w:val="both"/>
        <w:rPr>
          <w:b/>
          <w:bCs/>
        </w:rPr>
      </w:pPr>
      <w:r w:rsidRPr="007E2D1F">
        <w:rPr>
          <w:b/>
          <w:bCs/>
        </w:rPr>
        <w:t xml:space="preserve">Ecosistema de Integración: </w:t>
      </w:r>
      <w:proofErr w:type="spellStart"/>
      <w:r w:rsidRPr="007E2D1F">
        <w:rPr>
          <w:b/>
          <w:bCs/>
        </w:rPr>
        <w:t>Flutter</w:t>
      </w:r>
      <w:proofErr w:type="spellEnd"/>
      <w:r w:rsidRPr="007E2D1F">
        <w:rPr>
          <w:b/>
          <w:bCs/>
        </w:rPr>
        <w:t xml:space="preserve">, </w:t>
      </w:r>
      <w:proofErr w:type="spellStart"/>
      <w:r w:rsidRPr="007E2D1F">
        <w:rPr>
          <w:b/>
          <w:bCs/>
        </w:rPr>
        <w:t>Firebase</w:t>
      </w:r>
      <w:proofErr w:type="spellEnd"/>
      <w:r w:rsidRPr="007E2D1F">
        <w:rPr>
          <w:b/>
          <w:bCs/>
        </w:rPr>
        <w:t xml:space="preserve"> y </w:t>
      </w:r>
      <w:proofErr w:type="spellStart"/>
      <w:r w:rsidRPr="007E2D1F">
        <w:rPr>
          <w:b/>
          <w:bCs/>
        </w:rPr>
        <w:t>APIs</w:t>
      </w:r>
      <w:proofErr w:type="spellEnd"/>
      <w:r w:rsidRPr="007E2D1F">
        <w:rPr>
          <w:b/>
          <w:bCs/>
        </w:rPr>
        <w:t xml:space="preserve"> de IA</w:t>
      </w:r>
    </w:p>
    <w:p w14:paraId="1727A7D6" w14:textId="77777777" w:rsidR="005D1A07" w:rsidRPr="005D1A07" w:rsidRDefault="005D1A07" w:rsidP="007E2D1F">
      <w:pPr>
        <w:pStyle w:val="NormalWeb"/>
        <w:spacing w:before="0" w:beforeAutospacing="0" w:after="0" w:afterAutospacing="0" w:line="360" w:lineRule="auto"/>
        <w:ind w:left="357"/>
        <w:jc w:val="both"/>
      </w:pPr>
      <w:r w:rsidRPr="005D1A07">
        <w:t xml:space="preserve">La convergencia coordinada de </w:t>
      </w:r>
      <w:proofErr w:type="spellStart"/>
      <w:r w:rsidRPr="005D1A07">
        <w:t>Flutter</w:t>
      </w:r>
      <w:proofErr w:type="spellEnd"/>
      <w:r w:rsidRPr="005D1A07">
        <w:t xml:space="preserve"> como </w:t>
      </w:r>
      <w:proofErr w:type="spellStart"/>
      <w:r w:rsidRPr="005D1A07">
        <w:t>framework</w:t>
      </w:r>
      <w:proofErr w:type="spellEnd"/>
      <w:r w:rsidRPr="005D1A07">
        <w:t xml:space="preserve"> de presentación </w:t>
      </w:r>
      <w:proofErr w:type="spellStart"/>
      <w:r w:rsidRPr="005D1A07">
        <w:t>frontend</w:t>
      </w:r>
      <w:proofErr w:type="spellEnd"/>
      <w:r w:rsidRPr="005D1A07">
        <w:t xml:space="preserve">, </w:t>
      </w:r>
      <w:proofErr w:type="spellStart"/>
      <w:r w:rsidRPr="005D1A07">
        <w:t>Firebase</w:t>
      </w:r>
      <w:proofErr w:type="spellEnd"/>
      <w:r w:rsidRPr="005D1A07">
        <w:t xml:space="preserve"> como plataforma de infraestructura </w:t>
      </w:r>
      <w:proofErr w:type="spellStart"/>
      <w:r w:rsidRPr="005D1A07">
        <w:t>backend</w:t>
      </w:r>
      <w:proofErr w:type="spellEnd"/>
      <w:r w:rsidRPr="005D1A07">
        <w:t xml:space="preserve"> (BaaS), y las </w:t>
      </w:r>
      <w:proofErr w:type="spellStart"/>
      <w:r w:rsidRPr="005D1A07">
        <w:t>APIs</w:t>
      </w:r>
      <w:proofErr w:type="spellEnd"/>
      <w:r w:rsidRPr="005D1A07">
        <w:t xml:space="preserve"> de inferencia como motores de procesamiento cognitivo, define una arquitectura de referencia óptima para las aplicaciones educativas modernas. Este ecosistema interactivo ofrece ventajas sinérgicas que trascienden las capacidades individuales de cada componente: </w:t>
      </w:r>
      <w:proofErr w:type="spellStart"/>
      <w:r w:rsidRPr="005D1A07">
        <w:t>Flutter</w:t>
      </w:r>
      <w:proofErr w:type="spellEnd"/>
      <w:r w:rsidRPr="005D1A07">
        <w:t xml:space="preserve"> proporciona la interfaz nativa reactiva; </w:t>
      </w:r>
      <w:proofErr w:type="spellStart"/>
      <w:r w:rsidRPr="005D1A07">
        <w:t>Firebase</w:t>
      </w:r>
      <w:proofErr w:type="spellEnd"/>
      <w:r w:rsidRPr="005D1A07">
        <w:t xml:space="preserve"> gestiona de forma segura el ciclo de vida de los datos; y las </w:t>
      </w:r>
      <w:proofErr w:type="spellStart"/>
      <w:r w:rsidRPr="005D1A07">
        <w:t>APIs</w:t>
      </w:r>
      <w:proofErr w:type="spellEnd"/>
      <w:r w:rsidRPr="005D1A07">
        <w:t xml:space="preserve"> de IA suministran el procesamiento lógico del lenguaje natural y el análisis visual.</w:t>
      </w:r>
    </w:p>
    <w:p w14:paraId="675E898B" w14:textId="77777777" w:rsidR="005D1A07" w:rsidRPr="005D1A07" w:rsidRDefault="005D1A07" w:rsidP="007E2D1F">
      <w:pPr>
        <w:pStyle w:val="NormalWeb"/>
        <w:spacing w:before="0" w:beforeAutospacing="0" w:after="0" w:afterAutospacing="0" w:line="360" w:lineRule="auto"/>
        <w:ind w:left="357"/>
        <w:jc w:val="both"/>
      </w:pPr>
      <w:r w:rsidRPr="005D1A07">
        <w:t xml:space="preserve">Bajo esta premisa, el módulo </w:t>
      </w:r>
      <w:proofErr w:type="spellStart"/>
      <w:r w:rsidRPr="005D1A07">
        <w:t>Firebase</w:t>
      </w:r>
      <w:proofErr w:type="spellEnd"/>
      <w:r w:rsidRPr="005D1A07">
        <w:t xml:space="preserve"> </w:t>
      </w:r>
      <w:proofErr w:type="spellStart"/>
      <w:r w:rsidRPr="005D1A07">
        <w:t>Authentication</w:t>
      </w:r>
      <w:proofErr w:type="spellEnd"/>
      <w:r w:rsidRPr="005D1A07">
        <w:t xml:space="preserve"> viabiliza el flujo de inicio de sesión unificado con Google (</w:t>
      </w:r>
      <w:r w:rsidRPr="005D1A07">
        <w:rPr>
          <w:i/>
          <w:iCs/>
        </w:rPr>
        <w:t xml:space="preserve">Google </w:t>
      </w:r>
      <w:proofErr w:type="spellStart"/>
      <w:r w:rsidRPr="005D1A07">
        <w:rPr>
          <w:i/>
          <w:iCs/>
        </w:rPr>
        <w:t>Sign</w:t>
      </w:r>
      <w:proofErr w:type="spellEnd"/>
      <w:r w:rsidRPr="005D1A07">
        <w:rPr>
          <w:i/>
          <w:iCs/>
        </w:rPr>
        <w:t>-In</w:t>
      </w:r>
      <w:r w:rsidRPr="005D1A07">
        <w:t xml:space="preserve">), estructurando un mecanismo de autenticación seguro que exime al estudiante de educación básica de la necesidad de gestionar credenciales adicionales. En paralelo, la base de datos NoSQL Cloud </w:t>
      </w:r>
      <w:proofErr w:type="spellStart"/>
      <w:r w:rsidRPr="005D1A07">
        <w:t>Firestore</w:t>
      </w:r>
      <w:proofErr w:type="spellEnd"/>
      <w:r w:rsidRPr="005D1A07">
        <w:t xml:space="preserve"> gestiona la persistencia y sincronización en tiempo real de los perfiles de usuario, los históricos de conversación con el </w:t>
      </w:r>
      <w:proofErr w:type="spellStart"/>
      <w:r w:rsidRPr="005D1A07">
        <w:t>chatbot</w:t>
      </w:r>
      <w:proofErr w:type="spellEnd"/>
      <w:r w:rsidRPr="005D1A07">
        <w:t>, el progreso molecular por subtema y la asignación de insignias de gamificación. Esto consolida una experiencia de aprendizaje continua que persiste de forma transparente entre sesiones y dispositivos.</w:t>
      </w:r>
    </w:p>
    <w:p w14:paraId="30CF7A4E" w14:textId="77777777" w:rsidR="005D1A07" w:rsidRPr="005D1A07" w:rsidRDefault="005D1A07" w:rsidP="007E2D1F">
      <w:pPr>
        <w:pStyle w:val="NormalWeb"/>
        <w:spacing w:before="0" w:beforeAutospacing="0" w:after="0" w:afterAutospacing="0" w:line="360" w:lineRule="auto"/>
        <w:ind w:left="357"/>
        <w:jc w:val="both"/>
        <w:rPr>
          <w:b/>
          <w:bCs/>
        </w:rPr>
      </w:pPr>
      <w:r w:rsidRPr="005D1A07">
        <w:lastRenderedPageBreak/>
        <w:t>La articulación de estas tecnologías en el sistema propuesto se estructuró bajo un patrón de diseño en capas claramente diferenciadas: la capa de presentación (</w:t>
      </w:r>
      <w:proofErr w:type="spellStart"/>
      <w:r w:rsidRPr="005D1A07">
        <w:rPr>
          <w:i/>
          <w:iCs/>
        </w:rPr>
        <w:t>Flutter</w:t>
      </w:r>
      <w:proofErr w:type="spellEnd"/>
      <w:r w:rsidRPr="005D1A07">
        <w:rPr>
          <w:i/>
          <w:iCs/>
        </w:rPr>
        <w:t xml:space="preserve"> widgets</w:t>
      </w:r>
      <w:r w:rsidRPr="005D1A07">
        <w:t>), la capa de servicios (</w:t>
      </w:r>
      <w:proofErr w:type="spellStart"/>
      <w:r w:rsidRPr="005D1A07">
        <w:rPr>
          <w:i/>
          <w:iCs/>
        </w:rPr>
        <w:t>AuthService</w:t>
      </w:r>
      <w:proofErr w:type="spellEnd"/>
      <w:r w:rsidRPr="005D1A07">
        <w:t xml:space="preserve">, </w:t>
      </w:r>
      <w:proofErr w:type="spellStart"/>
      <w:r w:rsidRPr="005D1A07">
        <w:rPr>
          <w:i/>
          <w:iCs/>
        </w:rPr>
        <w:t>FirestoreService</w:t>
      </w:r>
      <w:proofErr w:type="spellEnd"/>
      <w:r w:rsidRPr="005D1A07">
        <w:t xml:space="preserve">, </w:t>
      </w:r>
      <w:proofErr w:type="spellStart"/>
      <w:r w:rsidRPr="005D1A07">
        <w:rPr>
          <w:i/>
          <w:iCs/>
        </w:rPr>
        <w:t>ChatService</w:t>
      </w:r>
      <w:proofErr w:type="spellEnd"/>
      <w:r w:rsidRPr="005D1A07">
        <w:t xml:space="preserve">, </w:t>
      </w:r>
      <w:proofErr w:type="spellStart"/>
      <w:r w:rsidRPr="005D1A07">
        <w:rPr>
          <w:i/>
          <w:iCs/>
        </w:rPr>
        <w:t>QuizGeneratorService</w:t>
      </w:r>
      <w:proofErr w:type="spellEnd"/>
      <w:r w:rsidRPr="005D1A07">
        <w:t xml:space="preserve">, </w:t>
      </w:r>
      <w:proofErr w:type="spellStart"/>
      <w:r w:rsidRPr="005D1A07">
        <w:rPr>
          <w:i/>
          <w:iCs/>
        </w:rPr>
        <w:t>ScannerService</w:t>
      </w:r>
      <w:proofErr w:type="spellEnd"/>
      <w:r w:rsidRPr="005D1A07">
        <w:t>), y la capa de datos (</w:t>
      </w:r>
      <w:proofErr w:type="spellStart"/>
      <w:r w:rsidRPr="005D1A07">
        <w:rPr>
          <w:i/>
          <w:iCs/>
        </w:rPr>
        <w:t>Firebase</w:t>
      </w:r>
      <w:proofErr w:type="spellEnd"/>
      <w:r w:rsidRPr="005D1A07">
        <w:rPr>
          <w:i/>
          <w:iCs/>
        </w:rPr>
        <w:t>/</w:t>
      </w:r>
      <w:proofErr w:type="spellStart"/>
      <w:r w:rsidRPr="005D1A07">
        <w:rPr>
          <w:i/>
          <w:iCs/>
        </w:rPr>
        <w:t>Firestore</w:t>
      </w:r>
      <w:proofErr w:type="spellEnd"/>
      <w:r w:rsidRPr="005D1A07">
        <w:t>). Esta separación estricta de responsabilidades (</w:t>
      </w:r>
      <w:proofErr w:type="spellStart"/>
      <w:r w:rsidRPr="005D1A07">
        <w:rPr>
          <w:i/>
          <w:iCs/>
        </w:rPr>
        <w:t>Separation</w:t>
      </w:r>
      <w:proofErr w:type="spellEnd"/>
      <w:r w:rsidRPr="005D1A07">
        <w:rPr>
          <w:i/>
          <w:iCs/>
        </w:rPr>
        <w:t xml:space="preserve"> </w:t>
      </w:r>
      <w:proofErr w:type="spellStart"/>
      <w:r w:rsidRPr="005D1A07">
        <w:rPr>
          <w:i/>
          <w:iCs/>
        </w:rPr>
        <w:t>of</w:t>
      </w:r>
      <w:proofErr w:type="spellEnd"/>
      <w:r w:rsidRPr="005D1A07">
        <w:rPr>
          <w:i/>
          <w:iCs/>
        </w:rPr>
        <w:t xml:space="preserve"> </w:t>
      </w:r>
      <w:proofErr w:type="spellStart"/>
      <w:r w:rsidRPr="005D1A07">
        <w:rPr>
          <w:i/>
          <w:iCs/>
        </w:rPr>
        <w:t>Concerns</w:t>
      </w:r>
      <w:proofErr w:type="spellEnd"/>
      <w:r w:rsidRPr="005D1A07">
        <w:t xml:space="preserve">) previene el acoplamiento de código, incrementa la cobertura de pruebas unitarias y facilita la escalabilidad a largo plazo del software, en estricta observancia de las directrices de </w:t>
      </w:r>
      <w:proofErr w:type="spellStart"/>
      <w:r w:rsidRPr="005D1A07">
        <w:t>Clean</w:t>
      </w:r>
      <w:proofErr w:type="spellEnd"/>
      <w:r w:rsidRPr="005D1A07">
        <w:t xml:space="preserve"> </w:t>
      </w:r>
      <w:proofErr w:type="spellStart"/>
      <w:r w:rsidRPr="005D1A07">
        <w:t>Architecture</w:t>
      </w:r>
      <w:proofErr w:type="spellEnd"/>
      <w:r w:rsidRPr="005D1A07">
        <w:t xml:space="preserve"> aplicadas al desarrollo móvil (Chandaka, 2025</w:t>
      </w:r>
      <w:r w:rsidRPr="005D1A07">
        <w:rPr>
          <w:b/>
          <w:bCs/>
        </w:rPr>
        <w:t>).</w:t>
      </w:r>
    </w:p>
    <w:p w14:paraId="1BF333B5" w14:textId="77777777" w:rsidR="005D1A07" w:rsidRDefault="005D1A07" w:rsidP="007362B5">
      <w:pPr>
        <w:pStyle w:val="NormalWeb"/>
        <w:spacing w:before="0" w:beforeAutospacing="0" w:after="0" w:afterAutospacing="0" w:line="360" w:lineRule="auto"/>
        <w:ind w:firstLine="360"/>
        <w:jc w:val="both"/>
        <w:rPr>
          <w:b/>
          <w:bCs/>
        </w:rPr>
      </w:pPr>
    </w:p>
    <w:p w14:paraId="0003338F" w14:textId="192E2FF9" w:rsidR="0060417E" w:rsidRPr="00F44E21" w:rsidRDefault="0060417E" w:rsidP="007362B5">
      <w:pPr>
        <w:pStyle w:val="NormalWeb"/>
        <w:spacing w:before="0" w:beforeAutospacing="0" w:after="0" w:afterAutospacing="0" w:line="360" w:lineRule="auto"/>
        <w:ind w:firstLine="360"/>
        <w:jc w:val="both"/>
        <w:rPr>
          <w:b/>
          <w:bCs/>
        </w:rPr>
      </w:pPr>
      <w:r>
        <w:rPr>
          <w:b/>
          <w:bCs/>
        </w:rPr>
        <w:t>Tecnología Educativa en América Latina</w:t>
      </w:r>
    </w:p>
    <w:p w14:paraId="0C30B007" w14:textId="77777777" w:rsidR="00DE5260" w:rsidRPr="00DE5260" w:rsidRDefault="0060417E" w:rsidP="007362B5">
      <w:pPr>
        <w:pStyle w:val="NormalWeb"/>
        <w:spacing w:before="0" w:beforeAutospacing="0" w:after="0" w:afterAutospacing="0" w:line="360" w:lineRule="auto"/>
        <w:ind w:left="426"/>
        <w:jc w:val="both"/>
      </w:pPr>
      <w:r>
        <w:t xml:space="preserve">En el contexto latinoamericano, </w:t>
      </w:r>
      <w:r w:rsidR="00AF55D1" w:rsidRPr="00DE5260">
        <w:rPr>
          <w:lang w:val="es-MX"/>
        </w:rPr>
        <w:t>Trucco y Palma (2020), en un informe institucional desarrollado para la CEPAL, analizaron de manera estructural las desigualdades y oportunidades asociadas a la inclusión digital en América Latina. Las autoras identificaron que, a pesar de la alta penetración de dispositivos móviles y del acceso masivo a redes informales entre la población infantil y adolescente, persisten barreras críticas para un aprovechamiento verdaderamente educativo. Entre los desafíos más apremiantes destacaron las disparidades en la calidad de la conectividad, las asimetrías en el desarrollo de competencias digitales docentes y la marcada escasez de contenidos digitales adaptados a los contextos socioculturales de la región.</w:t>
      </w:r>
      <w:r w:rsidRPr="00DE5260">
        <w:t xml:space="preserve"> </w:t>
      </w:r>
      <w:r w:rsidR="00DE5260" w:rsidRPr="00DE5260">
        <w:t>Lugo (2020) investigó la integración de las políticas digitales en los sistemas educativos latinoamericanos en el contexto de la emergencia sanitaria, encontrando un panorama prolífico pero heterogéneo y fragmentado. Sus hallazgos evidenciaron que, a pesar de la proliferación de experiencias innovadoras, existió una escasa sistematización metodológica y una limitada evidencia de su efectividad pedagógica generalizada. Asimismo, la autora enfatizó que tecnologías avanzadas como la inteligencia artificial o la realidad aumentada no logran compensar las profundas carencias de infraestructura física y conectividad de la región; por el contrario, advierte que su implementación sin una base estructural equitativa corre el riesgo de profundizar las brechas educativas y la exclusión social ya existentes.</w:t>
      </w:r>
    </w:p>
    <w:p w14:paraId="71AA8541" w14:textId="505E3D61" w:rsidR="0060417E" w:rsidRDefault="001410CE" w:rsidP="004C4B4D">
      <w:pPr>
        <w:pStyle w:val="NormalWeb"/>
        <w:spacing w:before="0" w:beforeAutospacing="0" w:after="0" w:afterAutospacing="0" w:line="360" w:lineRule="auto"/>
        <w:ind w:left="425"/>
        <w:jc w:val="both"/>
        <w:rPr>
          <w:lang w:val="es-MX"/>
        </w:rPr>
      </w:pPr>
      <w:r w:rsidRPr="001410CE">
        <w:rPr>
          <w:lang w:val="es-MX"/>
        </w:rPr>
        <w:t xml:space="preserve">Cabero-Almenara et al. (2021) llevaron a cabo un estudio transcultural sobre la adopción y la innovación mediante Realidad Aumentada (RA) en el ámbito universitario de España y </w:t>
      </w:r>
      <w:r w:rsidRPr="001410CE">
        <w:rPr>
          <w:lang w:val="es-MX"/>
        </w:rPr>
        <w:lastRenderedPageBreak/>
        <w:t>Latinoamérica. Si bien los hallazgos demostraron un alto nivel de aceptación tecnológica y una valoración positiva hacia la interactividad por parte del estudiantado, el análisis también puso de manifiesto barreras estructurales persistentes para su generalización institucional. Los autores identificaron que el éxito de estas intervenciones didácticas se encuentra fuertemente condicionado por la insuficiente formación docente en competencias digitales, la escasez de marcos metodológicos validados y replicables para el diseño de actividades y las marcadas asimetrías de infraestructura tecnológica entre las regiones estudiadas</w:t>
      </w:r>
      <w:r w:rsidRPr="001410CE">
        <w:rPr>
          <w:lang w:val="es-MX"/>
        </w:rPr>
        <w:t>.</w:t>
      </w:r>
    </w:p>
    <w:p w14:paraId="6BAF9C9C" w14:textId="77777777" w:rsidR="00BE6737" w:rsidRDefault="00BE6737" w:rsidP="004C4B4D">
      <w:pPr>
        <w:pStyle w:val="NormalWeb"/>
        <w:spacing w:before="0" w:beforeAutospacing="0" w:after="0" w:afterAutospacing="0" w:line="360" w:lineRule="auto"/>
        <w:ind w:left="425"/>
        <w:jc w:val="both"/>
      </w:pPr>
      <w:r w:rsidRPr="00BE6737">
        <w:t>López-Goyes et al. (2025) evaluaron las implementaciones de tecnología educativa en el contexto ecuatoriano, encontrando que las iniciativas con mayor tasa de éxito y sostenibilidad articulaban de manera sinérgica la accesibilidad móvil, el desarrollo de contenidos alineados al currículo nacional, interfaces intuitivas y un soporte técnico-pedagógico sostenido en el tiempo. Asimismo, los autores señalaron la urgente necesidad de promover líneas de investigación empírica que demuestren la viabilidad real de soluciones tecnológicas sofisticadas dentro de entornos escolares y comunitarios caracterizados por recursos limitados y brechas de conectividad estructural.</w:t>
      </w:r>
    </w:p>
    <w:p w14:paraId="7C08DC4B" w14:textId="77777777" w:rsidR="004C4B4D" w:rsidRPr="00BE6737" w:rsidRDefault="004C4B4D" w:rsidP="004C4B4D">
      <w:pPr>
        <w:pStyle w:val="NormalWeb"/>
        <w:spacing w:before="0" w:beforeAutospacing="0" w:after="0" w:afterAutospacing="0" w:line="360" w:lineRule="auto"/>
        <w:ind w:left="425"/>
        <w:jc w:val="both"/>
      </w:pPr>
    </w:p>
    <w:p w14:paraId="382066B8" w14:textId="77777777" w:rsidR="0060417E" w:rsidRPr="00A15209" w:rsidRDefault="0060417E" w:rsidP="007362B5">
      <w:pPr>
        <w:pStyle w:val="NormalWeb"/>
        <w:spacing w:before="0" w:beforeAutospacing="0" w:after="0" w:afterAutospacing="0" w:line="360" w:lineRule="auto"/>
        <w:ind w:firstLine="426"/>
        <w:jc w:val="both"/>
        <w:rPr>
          <w:b/>
          <w:bCs/>
        </w:rPr>
      </w:pPr>
      <w:r>
        <w:rPr>
          <w:b/>
          <w:bCs/>
        </w:rPr>
        <w:t>Integración de RA e IA en Sistemas Educativos</w:t>
      </w:r>
    </w:p>
    <w:p w14:paraId="4E11822D" w14:textId="66EE2D79" w:rsidR="0060417E" w:rsidRDefault="0060417E" w:rsidP="007362B5">
      <w:pPr>
        <w:pStyle w:val="NormalWeb"/>
        <w:spacing w:before="0" w:beforeAutospacing="0" w:after="0" w:afterAutospacing="0" w:line="360" w:lineRule="auto"/>
        <w:ind w:left="426"/>
        <w:jc w:val="both"/>
        <w:rPr>
          <w:lang w:val="es-MX"/>
        </w:rPr>
      </w:pPr>
      <w:r>
        <w:t xml:space="preserve">La convergencia de RA e IA en sistemas educativos integrados representa una tendencia emergente en donde existe poca literatura. </w:t>
      </w:r>
      <w:proofErr w:type="spellStart"/>
      <w:r w:rsidR="0032462E" w:rsidRPr="0032462E">
        <w:rPr>
          <w:lang w:val="es-MX"/>
        </w:rPr>
        <w:t>Taçgın</w:t>
      </w:r>
      <w:proofErr w:type="spellEnd"/>
      <w:r w:rsidR="0032462E" w:rsidRPr="0032462E">
        <w:rPr>
          <w:lang w:val="es-MX"/>
        </w:rPr>
        <w:t xml:space="preserve"> y </w:t>
      </w:r>
      <w:proofErr w:type="spellStart"/>
      <w:r w:rsidR="0032462E" w:rsidRPr="0032462E">
        <w:rPr>
          <w:lang w:val="es-MX"/>
        </w:rPr>
        <w:t>Dalgarno</w:t>
      </w:r>
      <w:proofErr w:type="spellEnd"/>
      <w:r w:rsidR="0032462E" w:rsidRPr="0032462E">
        <w:rPr>
          <w:lang w:val="es-MX"/>
        </w:rPr>
        <w:t xml:space="preserve"> (2021) propusieron un marco instruccional para el diseño de Entornos de Aprendizaje en Realidad Virtual Inmersiva (IVRLE, por sus siglas en inglés) que fundamenta la convergencia entre tecnologías inmersivas y sistemas inteligentes. Los autores argumentan que esta integración metodológica permite estructurar ecosistemas interactivos simultáneamente inmersivos y personalizados, donde los elementos de fidelidad del entorno, la interactividad avanzada y la presencia se adaptan en tiempo real para responder a los conocimientos previos, la carga cognitiva y las necesidades psicológicas específicas del estudiante</w:t>
      </w:r>
      <w:r w:rsidR="0032462E">
        <w:rPr>
          <w:lang w:val="es-MX"/>
        </w:rPr>
        <w:t xml:space="preserve">. </w:t>
      </w:r>
      <w:proofErr w:type="spellStart"/>
      <w:r w:rsidR="0032462E" w:rsidRPr="0032462E">
        <w:rPr>
          <w:lang w:val="es-MX"/>
        </w:rPr>
        <w:t>Mystakidis</w:t>
      </w:r>
      <w:proofErr w:type="spellEnd"/>
      <w:r w:rsidR="0032462E" w:rsidRPr="0032462E">
        <w:rPr>
          <w:lang w:val="es-MX"/>
        </w:rPr>
        <w:t xml:space="preserve"> et al. (2022) llevaron a cabo una revisión sistemática de mapeo sobre la implementación de la Realidad Aumentada (RA) orientada a dar soporte al aprendizaje de las disciplinas STEM en la educación superior. Los autores identificaron que la convergencia entre tecnologías inmersivas y sistemas de Inteligencia </w:t>
      </w:r>
      <w:r w:rsidR="0032462E" w:rsidRPr="0032462E">
        <w:rPr>
          <w:lang w:val="es-MX"/>
        </w:rPr>
        <w:lastRenderedPageBreak/>
        <w:t>Artificial (IA) se consolida como una de las tendencias emergentes más prometedoras para transformar los entornos educativos digitales. El estudio anticipa que los ecosistemas de nueva generación convergerán de manera unificada hacia modelos híbridos y de aprendizaje inmersivo (</w:t>
      </w:r>
      <w:proofErr w:type="spellStart"/>
      <w:r w:rsidR="0032462E" w:rsidRPr="0032462E">
        <w:rPr>
          <w:i/>
          <w:iCs/>
          <w:lang w:val="es-MX"/>
        </w:rPr>
        <w:t>Immersive</w:t>
      </w:r>
      <w:proofErr w:type="spellEnd"/>
      <w:r w:rsidR="0032462E" w:rsidRPr="0032462E">
        <w:rPr>
          <w:i/>
          <w:iCs/>
          <w:lang w:val="es-MX"/>
        </w:rPr>
        <w:t xml:space="preserve"> </w:t>
      </w:r>
      <w:proofErr w:type="spellStart"/>
      <w:r w:rsidR="0032462E" w:rsidRPr="0032462E">
        <w:rPr>
          <w:i/>
          <w:iCs/>
          <w:lang w:val="es-MX"/>
        </w:rPr>
        <w:t>Learning</w:t>
      </w:r>
      <w:proofErr w:type="spellEnd"/>
      <w:r w:rsidR="0032462E" w:rsidRPr="0032462E">
        <w:rPr>
          <w:lang w:val="es-MX"/>
        </w:rPr>
        <w:t>), articulando la visualización tridimensional, la personalización adaptativa, las dinámicas conversacionales y el uso de analíticas predictivas para el monitoreo continuo de los estudiantes en espacios tridimensionales interactivos.</w:t>
      </w:r>
    </w:p>
    <w:p w14:paraId="4D8C3DE1" w14:textId="77777777" w:rsidR="0032462E" w:rsidRPr="00665A14" w:rsidRDefault="0032462E" w:rsidP="0032462E">
      <w:pPr>
        <w:pStyle w:val="NormalWeb"/>
        <w:spacing w:before="0" w:beforeAutospacing="0" w:after="0" w:afterAutospacing="0" w:line="360" w:lineRule="auto"/>
        <w:ind w:left="426" w:firstLine="614"/>
        <w:jc w:val="both"/>
      </w:pPr>
    </w:p>
    <w:p w14:paraId="69334F63" w14:textId="77777777" w:rsidR="001544F0" w:rsidRDefault="001544F0" w:rsidP="001544F0">
      <w:pPr>
        <w:pStyle w:val="NormalWeb"/>
        <w:spacing w:before="0" w:beforeAutospacing="0" w:after="0" w:afterAutospacing="0" w:line="360" w:lineRule="auto"/>
        <w:ind w:left="426"/>
        <w:jc w:val="both"/>
        <w:rPr>
          <w:lang w:val="es-MX"/>
        </w:rPr>
      </w:pPr>
      <w:r w:rsidRPr="001544F0">
        <w:rPr>
          <w:lang w:val="es-MX"/>
        </w:rPr>
        <w:t>Ng et al. (2023) investigaron el impacto de la "Realidad Aumentada inteligente" (</w:t>
      </w:r>
      <w:proofErr w:type="spellStart"/>
      <w:r w:rsidRPr="001544F0">
        <w:rPr>
          <w:lang w:val="es-MX"/>
        </w:rPr>
        <w:t>iAR</w:t>
      </w:r>
      <w:proofErr w:type="spellEnd"/>
      <w:r w:rsidRPr="001544F0">
        <w:rPr>
          <w:lang w:val="es-MX"/>
        </w:rPr>
        <w:t>) en el ámbito educativo, un enfoque emergente donde los sistemas de RA incorporan capacidades de Inteligencia Artificial (IA) para adaptar dinámicamente el contenido visualizado. Sus hallazgos preliminares demostraron efectos sinérgicos significativos en comparación con la implementación aislada de cada tecnología. Los autores concluyen que este ecosistema híbrido no solo optimiza la carga cognitiva al personalizar las interfaces según el desempeño y las preferencias del estudiante, sino que además potencia la motivación intrínseca al transformar la visualización tridimensional pasiva en un entorno de aprendizaje profundamente adaptativo.</w:t>
      </w:r>
    </w:p>
    <w:p w14:paraId="10BBD051" w14:textId="7079832C" w:rsidR="0060417E" w:rsidRPr="00665A14" w:rsidRDefault="0060417E" w:rsidP="001544F0">
      <w:pPr>
        <w:pStyle w:val="NormalWeb"/>
        <w:spacing w:before="0" w:beforeAutospacing="0" w:after="0" w:afterAutospacing="0" w:line="360" w:lineRule="auto"/>
        <w:ind w:left="426"/>
        <w:jc w:val="both"/>
      </w:pPr>
    </w:p>
    <w:p w14:paraId="112A0179" w14:textId="02390A0A" w:rsidR="0060417E" w:rsidRPr="001544F0" w:rsidRDefault="001544F0" w:rsidP="001544F0">
      <w:pPr>
        <w:pStyle w:val="NormalWeb"/>
        <w:spacing w:before="0" w:beforeAutospacing="0" w:after="0" w:afterAutospacing="0" w:line="360" w:lineRule="auto"/>
        <w:ind w:left="360"/>
        <w:jc w:val="both"/>
        <w:rPr>
          <w:lang w:val="es-MX"/>
        </w:rPr>
      </w:pPr>
      <w:r w:rsidRPr="001544F0">
        <w:rPr>
          <w:lang w:val="es-MX"/>
        </w:rPr>
        <w:t xml:space="preserve">Pham et al. (2022) desarrollaron y evaluaron un prototipo interactivo que articulaba la Realidad Aumentada (RA) con un tutor inteligente conversacional orientado a la enseñanza de la anatomía. Sus hallazgos demostraron incrementos significativos tanto en la comprensión conceptual de estructuras complejas como en la retención del conocimiento a largo plazo por parte de los estudiantes. Metodológicamente, este estudio se consolida como uno de los primeros antecedentes empíricos </w:t>
      </w:r>
      <w:r w:rsidR="006A2E92" w:rsidRPr="001544F0">
        <w:rPr>
          <w:lang w:val="es-MX"/>
        </w:rPr>
        <w:t>que,</w:t>
      </w:r>
      <w:r w:rsidRPr="001544F0">
        <w:rPr>
          <w:lang w:val="es-MX"/>
        </w:rPr>
        <w:t xml:space="preserve"> valida la fusión sinérgica entre la visualización tridimensional interactiva y la asistencia algorítmica por voz, constituyendo un punto de referencia directamente comparable con la arquitectura tecnológica planteada en esta investigación.</w:t>
      </w:r>
    </w:p>
    <w:p w14:paraId="1CE2300B" w14:textId="77777777" w:rsidR="0013397E" w:rsidRDefault="0013397E" w:rsidP="0013397E">
      <w:pPr>
        <w:pStyle w:val="NormalWeb"/>
        <w:spacing w:before="0" w:beforeAutospacing="0" w:after="0" w:afterAutospacing="0" w:line="360" w:lineRule="auto"/>
        <w:ind w:firstLine="360"/>
        <w:jc w:val="both"/>
        <w:rPr>
          <w:b/>
          <w:bCs/>
        </w:rPr>
      </w:pPr>
    </w:p>
    <w:p w14:paraId="13872FAA" w14:textId="2329FD2B" w:rsidR="006527F4" w:rsidRDefault="00000000" w:rsidP="00E330D3">
      <w:pPr>
        <w:pStyle w:val="NormalWeb"/>
        <w:spacing w:before="0" w:beforeAutospacing="0" w:after="0" w:afterAutospacing="0" w:line="360" w:lineRule="auto"/>
        <w:ind w:firstLine="360"/>
        <w:jc w:val="both"/>
        <w:rPr>
          <w:b/>
          <w:bCs/>
        </w:rPr>
      </w:pPr>
      <w:r>
        <w:rPr>
          <w:b/>
          <w:bCs/>
        </w:rPr>
        <w:t>Análisis Comparativo de Soluciones Existentes</w:t>
      </w:r>
    </w:p>
    <w:p w14:paraId="443C42C8" w14:textId="298E7324" w:rsidR="006527F4" w:rsidRDefault="00273FD5" w:rsidP="00E330D3">
      <w:pPr>
        <w:pStyle w:val="NormalWeb"/>
        <w:spacing w:before="0" w:beforeAutospacing="0" w:after="0" w:afterAutospacing="0" w:line="360" w:lineRule="auto"/>
        <w:ind w:left="360"/>
        <w:jc w:val="both"/>
      </w:pPr>
      <w:r w:rsidRPr="00273FD5">
        <w:rPr>
          <w:lang w:val="es-MX"/>
        </w:rPr>
        <w:t xml:space="preserve">Con el propósito de identificar la brecha tecnológica que sustenta la presente investigación, se realizó un análisis comparativo de aplicaciones educativas existentes que incorporan Realidad </w:t>
      </w:r>
      <w:r w:rsidRPr="00273FD5">
        <w:rPr>
          <w:lang w:val="es-MX"/>
        </w:rPr>
        <w:lastRenderedPageBreak/>
        <w:t>Aumentada y/o Inteligencia Artificial (Tabla 1), siguiendo la lógica analítica de mapeo y taxonomía de herramientas comerciales y académicas propuesta por Sánchez-Rivas et al. (2023).</w:t>
      </w:r>
    </w:p>
    <w:p w14:paraId="53984B46" w14:textId="77777777" w:rsidR="00DF59D4" w:rsidRDefault="00DF59D4">
      <w:pPr>
        <w:spacing w:after="0"/>
      </w:pPr>
    </w:p>
    <w:p w14:paraId="22AD5845" w14:textId="3B54F044" w:rsidR="006527F4" w:rsidRDefault="00000000" w:rsidP="00D82F01">
      <w:pPr>
        <w:spacing w:after="0" w:line="360" w:lineRule="auto"/>
        <w:rPr>
          <w:b/>
          <w:bCs/>
        </w:rPr>
      </w:pPr>
      <w:r>
        <w:rPr>
          <w:b/>
          <w:bCs/>
        </w:rPr>
        <w:t xml:space="preserve">Tabla </w:t>
      </w:r>
      <w:r w:rsidR="00D82F01">
        <w:rPr>
          <w:b/>
          <w:bCs/>
        </w:rPr>
        <w:t>1</w:t>
      </w:r>
    </w:p>
    <w:p w14:paraId="6F2003AA" w14:textId="77777777" w:rsidR="006527F4" w:rsidRPr="00D82F01" w:rsidRDefault="00000000" w:rsidP="00D82F01">
      <w:pPr>
        <w:spacing w:after="0" w:line="360" w:lineRule="auto"/>
        <w:rPr>
          <w:i/>
          <w:iCs/>
        </w:rPr>
      </w:pPr>
      <w:r w:rsidRPr="00D82F01">
        <w:rPr>
          <w:i/>
          <w:iCs/>
        </w:rPr>
        <w:t>Comparación de aplicaciones educativas con RA e IA</w:t>
      </w:r>
    </w:p>
    <w:tbl>
      <w:tblPr>
        <w:tblW w:w="10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800"/>
        <w:gridCol w:w="1600"/>
        <w:gridCol w:w="1600"/>
        <w:gridCol w:w="1900"/>
        <w:gridCol w:w="2100"/>
      </w:tblGrid>
      <w:tr w:rsidR="006527F4" w14:paraId="0F2AAC91"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397E3B" w14:textId="77777777" w:rsidR="006527F4" w:rsidRDefault="00000000">
            <w:pPr>
              <w:spacing w:after="0"/>
              <w:jc w:val="center"/>
              <w:rPr>
                <w:b/>
                <w:bCs/>
                <w:sz w:val="20"/>
              </w:rPr>
            </w:pPr>
            <w:r>
              <w:rPr>
                <w:b/>
                <w:bCs/>
                <w:sz w:val="20"/>
              </w:rPr>
              <w:t>Aplicación</w:t>
            </w:r>
          </w:p>
        </w:tc>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AC5F72" w14:textId="77777777" w:rsidR="006527F4" w:rsidRDefault="00000000">
            <w:pPr>
              <w:spacing w:after="0"/>
              <w:jc w:val="center"/>
              <w:rPr>
                <w:b/>
                <w:bCs/>
                <w:sz w:val="20"/>
              </w:rPr>
            </w:pPr>
            <w:r>
              <w:rPr>
                <w:b/>
                <w:bCs/>
                <w:sz w:val="20"/>
              </w:rPr>
              <w:t>RA</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D6733A" w14:textId="77777777" w:rsidR="006527F4" w:rsidRDefault="00000000">
            <w:pPr>
              <w:spacing w:after="0"/>
              <w:jc w:val="center"/>
              <w:rPr>
                <w:b/>
                <w:bCs/>
                <w:sz w:val="20"/>
              </w:rPr>
            </w:pPr>
            <w:r>
              <w:rPr>
                <w:b/>
                <w:bCs/>
                <w:sz w:val="20"/>
              </w:rPr>
              <w:t xml:space="preserve">IA / </w:t>
            </w:r>
            <w:proofErr w:type="spellStart"/>
            <w:r>
              <w:rPr>
                <w:b/>
                <w:bCs/>
                <w:sz w:val="20"/>
              </w:rPr>
              <w:t>Chatbot</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0F579B" w14:textId="77777777" w:rsidR="006527F4" w:rsidRDefault="00000000">
            <w:pPr>
              <w:spacing w:after="0"/>
              <w:jc w:val="center"/>
              <w:rPr>
                <w:b/>
                <w:bCs/>
                <w:sz w:val="20"/>
              </w:rPr>
            </w:pPr>
            <w:r>
              <w:rPr>
                <w:b/>
                <w:bCs/>
                <w:sz w:val="20"/>
              </w:rPr>
              <w:t>Plataforma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A09F7E" w14:textId="77777777" w:rsidR="006527F4" w:rsidRDefault="00000000">
            <w:pPr>
              <w:spacing w:after="0"/>
              <w:jc w:val="center"/>
              <w:rPr>
                <w:b/>
                <w:bCs/>
                <w:sz w:val="20"/>
              </w:rPr>
            </w:pPr>
            <w:r>
              <w:rPr>
                <w:b/>
                <w:bCs/>
                <w:sz w:val="20"/>
              </w:rPr>
              <w:t>Área temática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135181" w14:textId="77777777" w:rsidR="006527F4" w:rsidRDefault="00000000">
            <w:pPr>
              <w:spacing w:after="0"/>
              <w:jc w:val="center"/>
              <w:rPr>
                <w:b/>
                <w:bCs/>
                <w:sz w:val="20"/>
              </w:rPr>
            </w:pPr>
            <w:r>
              <w:rPr>
                <w:b/>
                <w:bCs/>
                <w:sz w:val="20"/>
              </w:rPr>
              <w:t>Limitaciones</w:t>
            </w:r>
          </w:p>
        </w:tc>
      </w:tr>
      <w:tr w:rsidR="006527F4" w14:paraId="7284299B"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732ADCF6" w14:textId="77777777" w:rsidR="006527F4" w:rsidRDefault="00000000">
            <w:pPr>
              <w:spacing w:after="0"/>
              <w:jc w:val="center"/>
              <w:rPr>
                <w:sz w:val="20"/>
              </w:rPr>
            </w:pPr>
            <w:proofErr w:type="spellStart"/>
            <w:r>
              <w:rPr>
                <w:sz w:val="20"/>
              </w:rPr>
              <w:t>Merge</w:t>
            </w:r>
            <w:proofErr w:type="spellEnd"/>
            <w:r>
              <w:rPr>
                <w:sz w:val="20"/>
              </w:rPr>
              <w:t xml:space="preserve"> Cube</w:t>
            </w:r>
          </w:p>
        </w:tc>
        <w:tc>
          <w:tcPr>
            <w:tcW w:w="800" w:type="dxa"/>
            <w:tcBorders>
              <w:top w:val="single" w:sz="4" w:space="0" w:color="000000"/>
              <w:left w:val="single" w:sz="4" w:space="0" w:color="000000"/>
              <w:bottom w:val="single" w:sz="4" w:space="0" w:color="000000"/>
              <w:right w:val="single" w:sz="4" w:space="0" w:color="000000"/>
            </w:tcBorders>
            <w:vAlign w:val="center"/>
          </w:tcPr>
          <w:p w14:paraId="4E6BC29A"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171563E4" w14:textId="77777777" w:rsidR="006527F4" w:rsidRDefault="00000000">
            <w:pPr>
              <w:spacing w:after="0"/>
              <w:jc w:val="center"/>
              <w:rPr>
                <w:sz w:val="20"/>
              </w:rPr>
            </w:pPr>
            <w:r>
              <w:rPr>
                <w:sz w:val="20"/>
              </w:rPr>
              <w:t>No</w:t>
            </w:r>
          </w:p>
        </w:tc>
        <w:tc>
          <w:tcPr>
            <w:tcW w:w="1600" w:type="dxa"/>
            <w:tcBorders>
              <w:top w:val="single" w:sz="4" w:space="0" w:color="000000"/>
              <w:left w:val="single" w:sz="4" w:space="0" w:color="000000"/>
              <w:bottom w:val="single" w:sz="4" w:space="0" w:color="000000"/>
              <w:right w:val="single" w:sz="4" w:space="0" w:color="000000"/>
            </w:tcBorders>
            <w:vAlign w:val="center"/>
          </w:tcPr>
          <w:p w14:paraId="2AA5E26B" w14:textId="77777777" w:rsidR="006527F4" w:rsidRDefault="00000000">
            <w:pPr>
              <w:spacing w:after="0"/>
              <w:jc w:val="center"/>
              <w:rPr>
                <w:sz w:val="20"/>
              </w:rPr>
            </w:pPr>
            <w:r>
              <w:rPr>
                <w:sz w:val="20"/>
              </w:rPr>
              <w:t>iOS / Android</w:t>
            </w:r>
          </w:p>
        </w:tc>
        <w:tc>
          <w:tcPr>
            <w:tcW w:w="1900" w:type="dxa"/>
            <w:tcBorders>
              <w:top w:val="single" w:sz="4" w:space="0" w:color="000000"/>
              <w:left w:val="single" w:sz="4" w:space="0" w:color="000000"/>
              <w:bottom w:val="single" w:sz="4" w:space="0" w:color="000000"/>
              <w:right w:val="single" w:sz="4" w:space="0" w:color="000000"/>
            </w:tcBorders>
            <w:vAlign w:val="center"/>
          </w:tcPr>
          <w:p w14:paraId="38EBEC60" w14:textId="77777777" w:rsidR="006527F4" w:rsidRDefault="00000000">
            <w:pPr>
              <w:spacing w:after="0"/>
              <w:jc w:val="center"/>
              <w:rPr>
                <w:sz w:val="20"/>
              </w:rPr>
            </w:pPr>
            <w:r>
              <w:rPr>
                <w:sz w:val="20"/>
              </w:rPr>
              <w:t>Ciencias generales</w:t>
            </w:r>
          </w:p>
        </w:tc>
        <w:tc>
          <w:tcPr>
            <w:tcW w:w="2100" w:type="dxa"/>
            <w:tcBorders>
              <w:top w:val="single" w:sz="4" w:space="0" w:color="000000"/>
              <w:left w:val="single" w:sz="4" w:space="0" w:color="000000"/>
              <w:bottom w:val="single" w:sz="4" w:space="0" w:color="000000"/>
              <w:right w:val="single" w:sz="4" w:space="0" w:color="000000"/>
            </w:tcBorders>
            <w:vAlign w:val="center"/>
          </w:tcPr>
          <w:p w14:paraId="4DD7FFFB" w14:textId="77777777" w:rsidR="006527F4" w:rsidRDefault="00000000">
            <w:pPr>
              <w:spacing w:after="0"/>
              <w:jc w:val="center"/>
              <w:rPr>
                <w:sz w:val="20"/>
              </w:rPr>
            </w:pPr>
            <w:r>
              <w:rPr>
                <w:sz w:val="20"/>
              </w:rPr>
              <w:t>Sin asistente virtual</w:t>
            </w:r>
          </w:p>
        </w:tc>
      </w:tr>
      <w:tr w:rsidR="006527F4" w14:paraId="09572FCC"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533D0EF3" w14:textId="77777777" w:rsidR="006527F4" w:rsidRDefault="00000000">
            <w:pPr>
              <w:spacing w:after="0"/>
              <w:jc w:val="center"/>
              <w:rPr>
                <w:sz w:val="20"/>
              </w:rPr>
            </w:pPr>
            <w:proofErr w:type="spellStart"/>
            <w:r>
              <w:rPr>
                <w:sz w:val="20"/>
              </w:rPr>
              <w:t>QuiverVision</w:t>
            </w:r>
            <w:proofErr w:type="spellEnd"/>
          </w:p>
        </w:tc>
        <w:tc>
          <w:tcPr>
            <w:tcW w:w="800" w:type="dxa"/>
            <w:tcBorders>
              <w:top w:val="single" w:sz="4" w:space="0" w:color="000000"/>
              <w:left w:val="single" w:sz="4" w:space="0" w:color="000000"/>
              <w:bottom w:val="single" w:sz="4" w:space="0" w:color="000000"/>
              <w:right w:val="single" w:sz="4" w:space="0" w:color="000000"/>
            </w:tcBorders>
            <w:vAlign w:val="center"/>
          </w:tcPr>
          <w:p w14:paraId="687372FE"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300F57A3" w14:textId="77777777" w:rsidR="006527F4" w:rsidRDefault="00000000">
            <w:pPr>
              <w:spacing w:after="0"/>
              <w:jc w:val="center"/>
              <w:rPr>
                <w:sz w:val="20"/>
              </w:rPr>
            </w:pPr>
            <w:r>
              <w:rPr>
                <w:sz w:val="20"/>
              </w:rPr>
              <w:t>No</w:t>
            </w:r>
          </w:p>
        </w:tc>
        <w:tc>
          <w:tcPr>
            <w:tcW w:w="1600" w:type="dxa"/>
            <w:tcBorders>
              <w:top w:val="single" w:sz="4" w:space="0" w:color="000000"/>
              <w:left w:val="single" w:sz="4" w:space="0" w:color="000000"/>
              <w:bottom w:val="single" w:sz="4" w:space="0" w:color="000000"/>
              <w:right w:val="single" w:sz="4" w:space="0" w:color="000000"/>
            </w:tcBorders>
            <w:vAlign w:val="center"/>
          </w:tcPr>
          <w:p w14:paraId="57A1C821" w14:textId="77777777" w:rsidR="006527F4" w:rsidRDefault="00000000">
            <w:pPr>
              <w:spacing w:after="0"/>
              <w:jc w:val="center"/>
              <w:rPr>
                <w:sz w:val="20"/>
              </w:rPr>
            </w:pPr>
            <w:r>
              <w:rPr>
                <w:sz w:val="20"/>
              </w:rPr>
              <w:t>iOS / Android</w:t>
            </w:r>
          </w:p>
        </w:tc>
        <w:tc>
          <w:tcPr>
            <w:tcW w:w="1900" w:type="dxa"/>
            <w:tcBorders>
              <w:top w:val="single" w:sz="4" w:space="0" w:color="000000"/>
              <w:left w:val="single" w:sz="4" w:space="0" w:color="000000"/>
              <w:bottom w:val="single" w:sz="4" w:space="0" w:color="000000"/>
              <w:right w:val="single" w:sz="4" w:space="0" w:color="000000"/>
            </w:tcBorders>
            <w:vAlign w:val="center"/>
          </w:tcPr>
          <w:p w14:paraId="74877180" w14:textId="77777777" w:rsidR="006527F4" w:rsidRDefault="00000000">
            <w:pPr>
              <w:spacing w:after="0"/>
              <w:jc w:val="center"/>
              <w:rPr>
                <w:sz w:val="20"/>
              </w:rPr>
            </w:pPr>
            <w:r>
              <w:rPr>
                <w:sz w:val="20"/>
              </w:rPr>
              <w:t>Arte / Ciencias</w:t>
            </w:r>
          </w:p>
        </w:tc>
        <w:tc>
          <w:tcPr>
            <w:tcW w:w="2100" w:type="dxa"/>
            <w:tcBorders>
              <w:top w:val="single" w:sz="4" w:space="0" w:color="000000"/>
              <w:left w:val="single" w:sz="4" w:space="0" w:color="000000"/>
              <w:bottom w:val="single" w:sz="4" w:space="0" w:color="000000"/>
              <w:right w:val="single" w:sz="4" w:space="0" w:color="000000"/>
            </w:tcBorders>
            <w:vAlign w:val="center"/>
          </w:tcPr>
          <w:p w14:paraId="0B1A41B3" w14:textId="77777777" w:rsidR="006527F4" w:rsidRDefault="00000000">
            <w:pPr>
              <w:spacing w:after="0"/>
              <w:jc w:val="center"/>
              <w:rPr>
                <w:sz w:val="20"/>
              </w:rPr>
            </w:pPr>
            <w:r>
              <w:rPr>
                <w:sz w:val="20"/>
              </w:rPr>
              <w:t>Solo marcadores impresos</w:t>
            </w:r>
          </w:p>
        </w:tc>
      </w:tr>
      <w:tr w:rsidR="006527F4" w14:paraId="083684C0"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70D14853" w14:textId="77777777" w:rsidR="006527F4" w:rsidRDefault="00000000">
            <w:pPr>
              <w:spacing w:after="0"/>
              <w:jc w:val="center"/>
              <w:rPr>
                <w:sz w:val="20"/>
              </w:rPr>
            </w:pPr>
            <w:proofErr w:type="spellStart"/>
            <w:r>
              <w:rPr>
                <w:sz w:val="20"/>
              </w:rPr>
              <w:t>Socratic</w:t>
            </w:r>
            <w:proofErr w:type="spellEnd"/>
            <w:r>
              <w:rPr>
                <w:sz w:val="20"/>
              </w:rPr>
              <w:t xml:space="preserve"> (Google)</w:t>
            </w:r>
          </w:p>
        </w:tc>
        <w:tc>
          <w:tcPr>
            <w:tcW w:w="800" w:type="dxa"/>
            <w:tcBorders>
              <w:top w:val="single" w:sz="4" w:space="0" w:color="000000"/>
              <w:left w:val="single" w:sz="4" w:space="0" w:color="000000"/>
              <w:bottom w:val="single" w:sz="4" w:space="0" w:color="000000"/>
              <w:right w:val="single" w:sz="4" w:space="0" w:color="000000"/>
            </w:tcBorders>
            <w:vAlign w:val="center"/>
          </w:tcPr>
          <w:p w14:paraId="27D0803B" w14:textId="77777777" w:rsidR="006527F4" w:rsidRDefault="00000000">
            <w:pPr>
              <w:spacing w:after="0"/>
              <w:jc w:val="center"/>
              <w:rPr>
                <w:sz w:val="20"/>
              </w:rPr>
            </w:pPr>
            <w:r>
              <w:rPr>
                <w:sz w:val="20"/>
              </w:rPr>
              <w:t>No</w:t>
            </w:r>
          </w:p>
        </w:tc>
        <w:tc>
          <w:tcPr>
            <w:tcW w:w="1600" w:type="dxa"/>
            <w:tcBorders>
              <w:top w:val="single" w:sz="4" w:space="0" w:color="000000"/>
              <w:left w:val="single" w:sz="4" w:space="0" w:color="000000"/>
              <w:bottom w:val="single" w:sz="4" w:space="0" w:color="000000"/>
              <w:right w:val="single" w:sz="4" w:space="0" w:color="000000"/>
            </w:tcBorders>
            <w:vAlign w:val="center"/>
          </w:tcPr>
          <w:p w14:paraId="04D41674"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576E0A66" w14:textId="77777777" w:rsidR="006527F4" w:rsidRDefault="00000000">
            <w:pPr>
              <w:spacing w:after="0"/>
              <w:jc w:val="center"/>
              <w:rPr>
                <w:sz w:val="20"/>
              </w:rPr>
            </w:pPr>
            <w:r>
              <w:rPr>
                <w:sz w:val="20"/>
              </w:rPr>
              <w:t>iOS / Android</w:t>
            </w:r>
          </w:p>
        </w:tc>
        <w:tc>
          <w:tcPr>
            <w:tcW w:w="1900" w:type="dxa"/>
            <w:tcBorders>
              <w:top w:val="single" w:sz="4" w:space="0" w:color="000000"/>
              <w:left w:val="single" w:sz="4" w:space="0" w:color="000000"/>
              <w:bottom w:val="single" w:sz="4" w:space="0" w:color="000000"/>
              <w:right w:val="single" w:sz="4" w:space="0" w:color="000000"/>
            </w:tcBorders>
            <w:vAlign w:val="center"/>
          </w:tcPr>
          <w:p w14:paraId="3391D5FA" w14:textId="77777777" w:rsidR="006527F4" w:rsidRDefault="00000000">
            <w:pPr>
              <w:spacing w:after="0"/>
              <w:jc w:val="center"/>
              <w:rPr>
                <w:sz w:val="20"/>
              </w:rPr>
            </w:pPr>
            <w:r>
              <w:rPr>
                <w:sz w:val="20"/>
              </w:rPr>
              <w:t>Múltiples materias</w:t>
            </w:r>
          </w:p>
        </w:tc>
        <w:tc>
          <w:tcPr>
            <w:tcW w:w="2100" w:type="dxa"/>
            <w:tcBorders>
              <w:top w:val="single" w:sz="4" w:space="0" w:color="000000"/>
              <w:left w:val="single" w:sz="4" w:space="0" w:color="000000"/>
              <w:bottom w:val="single" w:sz="4" w:space="0" w:color="000000"/>
              <w:right w:val="single" w:sz="4" w:space="0" w:color="000000"/>
            </w:tcBorders>
            <w:vAlign w:val="center"/>
          </w:tcPr>
          <w:p w14:paraId="7CCAB960" w14:textId="77777777" w:rsidR="006527F4" w:rsidRDefault="00000000">
            <w:pPr>
              <w:spacing w:after="0"/>
              <w:jc w:val="center"/>
              <w:rPr>
                <w:sz w:val="20"/>
              </w:rPr>
            </w:pPr>
            <w:r>
              <w:rPr>
                <w:sz w:val="20"/>
              </w:rPr>
              <w:t>Sin componente de RA</w:t>
            </w:r>
          </w:p>
        </w:tc>
      </w:tr>
      <w:tr w:rsidR="006527F4" w14:paraId="72A14D0A"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2E8F6A61" w14:textId="77777777" w:rsidR="006527F4" w:rsidRDefault="00000000">
            <w:pPr>
              <w:spacing w:after="0"/>
              <w:jc w:val="center"/>
              <w:rPr>
                <w:sz w:val="20"/>
              </w:rPr>
            </w:pPr>
            <w:r>
              <w:rPr>
                <w:sz w:val="20"/>
              </w:rPr>
              <w:t>Duolingo</w:t>
            </w:r>
          </w:p>
        </w:tc>
        <w:tc>
          <w:tcPr>
            <w:tcW w:w="800" w:type="dxa"/>
            <w:tcBorders>
              <w:top w:val="single" w:sz="4" w:space="0" w:color="000000"/>
              <w:left w:val="single" w:sz="4" w:space="0" w:color="000000"/>
              <w:bottom w:val="single" w:sz="4" w:space="0" w:color="000000"/>
              <w:right w:val="single" w:sz="4" w:space="0" w:color="000000"/>
            </w:tcBorders>
            <w:vAlign w:val="center"/>
          </w:tcPr>
          <w:p w14:paraId="4EF0E0A8" w14:textId="77777777" w:rsidR="006527F4" w:rsidRDefault="00000000">
            <w:pPr>
              <w:spacing w:after="0"/>
              <w:jc w:val="center"/>
              <w:rPr>
                <w:sz w:val="20"/>
              </w:rPr>
            </w:pPr>
            <w:r>
              <w:rPr>
                <w:sz w:val="20"/>
              </w:rPr>
              <w:t>No</w:t>
            </w:r>
          </w:p>
        </w:tc>
        <w:tc>
          <w:tcPr>
            <w:tcW w:w="1600" w:type="dxa"/>
            <w:tcBorders>
              <w:top w:val="single" w:sz="4" w:space="0" w:color="000000"/>
              <w:left w:val="single" w:sz="4" w:space="0" w:color="000000"/>
              <w:bottom w:val="single" w:sz="4" w:space="0" w:color="000000"/>
              <w:right w:val="single" w:sz="4" w:space="0" w:color="000000"/>
            </w:tcBorders>
            <w:vAlign w:val="center"/>
          </w:tcPr>
          <w:p w14:paraId="09E76992"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0DC9C608" w14:textId="77777777" w:rsidR="006527F4" w:rsidRDefault="00000000">
            <w:pPr>
              <w:spacing w:after="0"/>
              <w:jc w:val="center"/>
              <w:rPr>
                <w:sz w:val="20"/>
              </w:rPr>
            </w:pPr>
            <w:r>
              <w:rPr>
                <w:sz w:val="20"/>
              </w:rPr>
              <w:t>iOS / Android</w:t>
            </w:r>
          </w:p>
        </w:tc>
        <w:tc>
          <w:tcPr>
            <w:tcW w:w="1900" w:type="dxa"/>
            <w:tcBorders>
              <w:top w:val="single" w:sz="4" w:space="0" w:color="000000"/>
              <w:left w:val="single" w:sz="4" w:space="0" w:color="000000"/>
              <w:bottom w:val="single" w:sz="4" w:space="0" w:color="000000"/>
              <w:right w:val="single" w:sz="4" w:space="0" w:color="000000"/>
            </w:tcBorders>
            <w:vAlign w:val="center"/>
          </w:tcPr>
          <w:p w14:paraId="10BED908" w14:textId="77777777" w:rsidR="006527F4" w:rsidRDefault="00000000">
            <w:pPr>
              <w:spacing w:after="0"/>
              <w:jc w:val="center"/>
              <w:rPr>
                <w:sz w:val="20"/>
              </w:rPr>
            </w:pPr>
            <w:r>
              <w:rPr>
                <w:sz w:val="20"/>
              </w:rPr>
              <w:t>Idiomas</w:t>
            </w:r>
          </w:p>
        </w:tc>
        <w:tc>
          <w:tcPr>
            <w:tcW w:w="2100" w:type="dxa"/>
            <w:tcBorders>
              <w:top w:val="single" w:sz="4" w:space="0" w:color="000000"/>
              <w:left w:val="single" w:sz="4" w:space="0" w:color="000000"/>
              <w:bottom w:val="single" w:sz="4" w:space="0" w:color="000000"/>
              <w:right w:val="single" w:sz="4" w:space="0" w:color="000000"/>
            </w:tcBorders>
            <w:vAlign w:val="center"/>
          </w:tcPr>
          <w:p w14:paraId="0498BD42" w14:textId="77777777" w:rsidR="006527F4" w:rsidRDefault="00000000">
            <w:pPr>
              <w:spacing w:after="0"/>
              <w:jc w:val="center"/>
              <w:rPr>
                <w:sz w:val="20"/>
              </w:rPr>
            </w:pPr>
            <w:r>
              <w:rPr>
                <w:sz w:val="20"/>
              </w:rPr>
              <w:t>No enfocado en ciencias</w:t>
            </w:r>
          </w:p>
        </w:tc>
      </w:tr>
      <w:tr w:rsidR="006527F4" w14:paraId="252443D1"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31155E16" w14:textId="77777777" w:rsidR="006527F4" w:rsidRDefault="00000000">
            <w:pPr>
              <w:spacing w:after="0"/>
              <w:jc w:val="center"/>
              <w:rPr>
                <w:sz w:val="20"/>
              </w:rPr>
            </w:pPr>
            <w:r>
              <w:rPr>
                <w:sz w:val="20"/>
              </w:rPr>
              <w:t>Guía didáctica interactiva (propuesta)</w:t>
            </w:r>
          </w:p>
        </w:tc>
        <w:tc>
          <w:tcPr>
            <w:tcW w:w="800" w:type="dxa"/>
            <w:tcBorders>
              <w:top w:val="single" w:sz="4" w:space="0" w:color="000000"/>
              <w:left w:val="single" w:sz="4" w:space="0" w:color="000000"/>
              <w:bottom w:val="single" w:sz="4" w:space="0" w:color="000000"/>
              <w:right w:val="single" w:sz="4" w:space="0" w:color="000000"/>
            </w:tcBorders>
            <w:vAlign w:val="center"/>
          </w:tcPr>
          <w:p w14:paraId="1BC749BC"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47647FAC" w14:textId="77777777" w:rsidR="006527F4" w:rsidRDefault="00000000">
            <w:pPr>
              <w:spacing w:after="0"/>
              <w:jc w:val="center"/>
              <w:rPr>
                <w:sz w:val="20"/>
              </w:rPr>
            </w:pPr>
            <w:r>
              <w:rPr>
                <w:sz w:val="20"/>
              </w:rPr>
              <w:t>Sí</w:t>
            </w:r>
          </w:p>
        </w:tc>
        <w:tc>
          <w:tcPr>
            <w:tcW w:w="1600" w:type="dxa"/>
            <w:tcBorders>
              <w:top w:val="single" w:sz="4" w:space="0" w:color="000000"/>
              <w:left w:val="single" w:sz="4" w:space="0" w:color="000000"/>
              <w:bottom w:val="single" w:sz="4" w:space="0" w:color="000000"/>
              <w:right w:val="single" w:sz="4" w:space="0" w:color="000000"/>
            </w:tcBorders>
            <w:vAlign w:val="center"/>
          </w:tcPr>
          <w:p w14:paraId="7582C32C" w14:textId="77777777" w:rsidR="006527F4" w:rsidRDefault="00000000">
            <w:pPr>
              <w:spacing w:after="0"/>
              <w:jc w:val="center"/>
              <w:rPr>
                <w:sz w:val="20"/>
              </w:rPr>
            </w:pPr>
            <w:r>
              <w:rPr>
                <w:sz w:val="20"/>
              </w:rPr>
              <w:t>iOS / Android</w:t>
            </w:r>
          </w:p>
        </w:tc>
        <w:tc>
          <w:tcPr>
            <w:tcW w:w="1900" w:type="dxa"/>
            <w:tcBorders>
              <w:top w:val="single" w:sz="4" w:space="0" w:color="000000"/>
              <w:left w:val="single" w:sz="4" w:space="0" w:color="000000"/>
              <w:bottom w:val="single" w:sz="4" w:space="0" w:color="000000"/>
              <w:right w:val="single" w:sz="4" w:space="0" w:color="000000"/>
            </w:tcBorders>
            <w:vAlign w:val="center"/>
          </w:tcPr>
          <w:p w14:paraId="34865915" w14:textId="77777777" w:rsidR="006527F4" w:rsidRDefault="00000000">
            <w:pPr>
              <w:spacing w:after="0"/>
              <w:jc w:val="center"/>
              <w:rPr>
                <w:sz w:val="20"/>
              </w:rPr>
            </w:pPr>
            <w:r>
              <w:rPr>
                <w:sz w:val="20"/>
              </w:rPr>
              <w:t>Ciencias Naturales</w:t>
            </w:r>
          </w:p>
        </w:tc>
        <w:tc>
          <w:tcPr>
            <w:tcW w:w="2100" w:type="dxa"/>
            <w:tcBorders>
              <w:top w:val="single" w:sz="4" w:space="0" w:color="000000"/>
              <w:left w:val="single" w:sz="4" w:space="0" w:color="000000"/>
              <w:bottom w:val="single" w:sz="4" w:space="0" w:color="000000"/>
              <w:right w:val="single" w:sz="4" w:space="0" w:color="000000"/>
            </w:tcBorders>
            <w:vAlign w:val="center"/>
          </w:tcPr>
          <w:p w14:paraId="21145C43" w14:textId="77777777" w:rsidR="006527F4" w:rsidRDefault="00000000">
            <w:pPr>
              <w:spacing w:after="0"/>
              <w:jc w:val="center"/>
              <w:rPr>
                <w:sz w:val="20"/>
              </w:rPr>
            </w:pPr>
            <w:r>
              <w:rPr>
                <w:sz w:val="20"/>
              </w:rPr>
              <w:t>En desarrollo</w:t>
            </w:r>
          </w:p>
        </w:tc>
      </w:tr>
    </w:tbl>
    <w:p w14:paraId="73793707" w14:textId="47A97E49" w:rsidR="006527F4" w:rsidRDefault="00000000" w:rsidP="00273FD5">
      <w:pPr>
        <w:spacing w:after="0" w:line="360" w:lineRule="auto"/>
        <w:rPr>
          <w:i/>
          <w:iCs/>
          <w:sz w:val="20"/>
        </w:rPr>
      </w:pPr>
      <w:r>
        <w:rPr>
          <w:i/>
          <w:iCs/>
          <w:sz w:val="20"/>
        </w:rPr>
        <w:t xml:space="preserve">Nota. </w:t>
      </w:r>
      <w:r w:rsidR="00273FD5" w:rsidRPr="00273FD5">
        <w:rPr>
          <w:i/>
          <w:iCs/>
          <w:sz w:val="20"/>
        </w:rPr>
        <w:t xml:space="preserve">Elaboración propia a partir de la revisión de soluciones comerciales y académicas existentes y los criterios de clasificación de Sánchez-Rivas et al. (2023). </w:t>
      </w:r>
    </w:p>
    <w:p w14:paraId="60510810" w14:textId="77777777" w:rsidR="00273FD5" w:rsidRDefault="00273FD5" w:rsidP="00273FD5">
      <w:pPr>
        <w:spacing w:after="0" w:line="360" w:lineRule="auto"/>
      </w:pPr>
    </w:p>
    <w:p w14:paraId="0C410B0C" w14:textId="19AD483B" w:rsidR="006527F4" w:rsidRDefault="00273FD5" w:rsidP="000E0262">
      <w:pPr>
        <w:pStyle w:val="NormalWeb"/>
        <w:spacing w:before="0" w:beforeAutospacing="0" w:after="0" w:afterAutospacing="0" w:line="360" w:lineRule="auto"/>
        <w:ind w:left="426"/>
        <w:jc w:val="both"/>
      </w:pPr>
      <w:r w:rsidRPr="00273FD5">
        <w:rPr>
          <w:lang w:val="es-MX"/>
        </w:rPr>
        <w:t xml:space="preserve">El análisis comparativo evidencia que las soluciones existentes generalmente implementan RA o IA de manera aislada, un fenómeno metodológico previamente advertido en la literatura iberoamericana por </w:t>
      </w:r>
      <w:r w:rsidRPr="00611FB5">
        <w:rPr>
          <w:lang w:val="es-MX"/>
        </w:rPr>
        <w:t>Sánchez-Rivas et al. (2023),</w:t>
      </w:r>
      <w:r w:rsidRPr="00273FD5">
        <w:rPr>
          <w:lang w:val="es-MX"/>
        </w:rPr>
        <w:t xml:space="preserve"> quienes señalan que pocas interfaces logran integrar de forma nativa ambas tecnologías —junto con gamificación adaptativa— en una sola plataforma interactiva enfocada en Ciencias Naturales para educación básica. Esta brecha del mercado y del ecosistema escolar refuerza la pertinencia del desarrollo de la guía didáctica interactiva propuesta en la presente investigación</w:t>
      </w:r>
      <w:r w:rsidR="00000000">
        <w:t>.</w:t>
      </w:r>
    </w:p>
    <w:p w14:paraId="7E9D8E2A" w14:textId="77777777" w:rsidR="00272241" w:rsidRDefault="00272241">
      <w:pPr>
        <w:pStyle w:val="NormalWeb"/>
        <w:spacing w:before="0" w:beforeAutospacing="0" w:after="0" w:afterAutospacing="0" w:line="360" w:lineRule="auto"/>
        <w:ind w:left="426" w:firstLine="614"/>
        <w:jc w:val="both"/>
      </w:pPr>
    </w:p>
    <w:p w14:paraId="7D50DA48" w14:textId="1D6723BD" w:rsidR="00A37FB5" w:rsidRPr="00A37FB5" w:rsidRDefault="00A37FB5" w:rsidP="00E12AED">
      <w:pPr>
        <w:spacing w:after="0" w:line="360" w:lineRule="auto"/>
        <w:ind w:firstLine="360"/>
        <w:jc w:val="both"/>
        <w:rPr>
          <w:rFonts w:eastAsia="Times New Roman" w:cs="Times New Roman"/>
          <w:b/>
          <w:bCs/>
          <w:szCs w:val="24"/>
          <w:lang w:val="es-EC" w:eastAsia="es-EC"/>
        </w:rPr>
      </w:pPr>
      <w:bookmarkStart w:id="6" w:name="_Toc186460999"/>
      <w:bookmarkEnd w:id="5"/>
      <w:r w:rsidRPr="00A37FB5">
        <w:rPr>
          <w:rFonts w:eastAsia="Times New Roman" w:cs="Times New Roman"/>
          <w:b/>
          <w:bCs/>
          <w:szCs w:val="24"/>
          <w:lang w:val="es-EC" w:eastAsia="es-EC"/>
        </w:rPr>
        <w:t>Posicionamiento de la Investigación</w:t>
      </w:r>
    </w:p>
    <w:p w14:paraId="21D305A7" w14:textId="0518C76E" w:rsidR="00A37FB5" w:rsidRPr="00A37FB5" w:rsidRDefault="00A37FB5" w:rsidP="00272241">
      <w:pPr>
        <w:spacing w:after="0" w:line="360" w:lineRule="auto"/>
        <w:ind w:left="360"/>
        <w:jc w:val="both"/>
        <w:rPr>
          <w:rFonts w:eastAsia="Times New Roman" w:cs="Times New Roman"/>
          <w:szCs w:val="24"/>
          <w:lang w:val="es-EC" w:eastAsia="es-EC"/>
        </w:rPr>
      </w:pPr>
      <w:r w:rsidRPr="00A37FB5">
        <w:rPr>
          <w:rFonts w:eastAsia="Times New Roman" w:cs="Times New Roman"/>
          <w:szCs w:val="24"/>
          <w:lang w:val="es-EC" w:eastAsia="es-EC"/>
        </w:rPr>
        <w:t xml:space="preserve">La revisión sistemática del estado del arte evidencia avances significativos en la aplicación de la Realidad Aumentada (RA), la Inteligencia Artificial (IA) conversacional y las estrategias de gamificación en escenarios formativos, consolidando un cuerpo de evidencia robusto sobre sus impactos positivos en el rendimiento académico. No obstante, a partir del mapeo de la literatura científica actual, se identifican tres brechas críticas que justifican y delimitan el posicionamiento </w:t>
      </w:r>
      <w:r w:rsidRPr="00A37FB5">
        <w:rPr>
          <w:rFonts w:eastAsia="Times New Roman" w:cs="Times New Roman"/>
          <w:szCs w:val="24"/>
          <w:lang w:val="es-EC" w:eastAsia="es-EC"/>
        </w:rPr>
        <w:lastRenderedPageBreak/>
        <w:t xml:space="preserve">de la presente investigación, alineadas con los desafíos de integración </w:t>
      </w:r>
      <w:proofErr w:type="spellStart"/>
      <w:r w:rsidRPr="00A37FB5">
        <w:rPr>
          <w:rFonts w:eastAsia="Times New Roman" w:cs="Times New Roman"/>
          <w:szCs w:val="24"/>
          <w:lang w:val="es-EC" w:eastAsia="es-EC"/>
        </w:rPr>
        <w:t>tecnopedagógica</w:t>
      </w:r>
      <w:proofErr w:type="spellEnd"/>
      <w:r w:rsidRPr="00A37FB5">
        <w:rPr>
          <w:rFonts w:eastAsia="Times New Roman" w:cs="Times New Roman"/>
          <w:szCs w:val="24"/>
          <w:lang w:val="es-EC" w:eastAsia="es-EC"/>
        </w:rPr>
        <w:t xml:space="preserve"> reportados por Pérez-Muñoz et al. (2024) y Aslan et al. (2025):</w:t>
      </w:r>
    </w:p>
    <w:p w14:paraId="378C9722" w14:textId="21067245" w:rsidR="00A37FB5" w:rsidRPr="00A37FB5" w:rsidRDefault="00A37FB5" w:rsidP="000E0262">
      <w:pPr>
        <w:spacing w:after="0" w:line="360" w:lineRule="auto"/>
        <w:ind w:left="720"/>
        <w:jc w:val="both"/>
        <w:rPr>
          <w:rFonts w:eastAsia="Times New Roman" w:cs="Times New Roman"/>
          <w:szCs w:val="24"/>
          <w:lang w:val="es-EC" w:eastAsia="es-EC"/>
        </w:rPr>
      </w:pPr>
      <w:r w:rsidRPr="00A37FB5">
        <w:rPr>
          <w:rFonts w:eastAsia="Times New Roman" w:cs="Times New Roman"/>
          <w:szCs w:val="24"/>
          <w:lang w:val="es-EC" w:eastAsia="es-EC"/>
        </w:rPr>
        <w:t>a) Brecha geo-tecnológica y de contexto: La gran mayoría de los desarrollos empíricos se han concentrado en países industrializados. Persiste una marcada escasez de investigaciones aplicadas en el contexto latinoamericano y, de forma particular, en el ecosistema educativo ecuatoriano, donde las asimetrías de infraestructura y conectividad exigen enfoques diferenciados.</w:t>
      </w:r>
    </w:p>
    <w:p w14:paraId="278EC76C" w14:textId="78591F5B" w:rsidR="00A37FB5" w:rsidRPr="00A37FB5" w:rsidRDefault="00A37FB5" w:rsidP="000E0262">
      <w:pPr>
        <w:spacing w:after="0" w:line="360" w:lineRule="auto"/>
        <w:ind w:left="720"/>
        <w:jc w:val="both"/>
        <w:rPr>
          <w:rFonts w:eastAsia="Times New Roman" w:cs="Times New Roman"/>
          <w:szCs w:val="24"/>
          <w:lang w:val="es-EC" w:eastAsia="es-EC"/>
        </w:rPr>
      </w:pPr>
      <w:r w:rsidRPr="00A37FB5">
        <w:rPr>
          <w:rFonts w:eastAsia="Times New Roman" w:cs="Times New Roman"/>
          <w:szCs w:val="24"/>
          <w:lang w:val="es-EC" w:eastAsia="es-EC"/>
        </w:rPr>
        <w:t>b) Brecha de integración arquitectónica: Si bien existen aproximaciones valiosas de forma aislada, la literatura científica reciente carece de marcos de validación que articulen simultáneamente módulos de RA, asistentes conversacionales basados en modelos de lenguaje extenso (LLM), algoritmos de reconocimiento de imágenes y gamificación adaptativa dentro de un ecosistema digital unificado y cohesivo, una limitación crítica ya advertida en las taxonomías de integración multimodal de Aslan et al. (2025).</w:t>
      </w:r>
    </w:p>
    <w:p w14:paraId="2B854C6F" w14:textId="4AE07C57" w:rsidR="00A37FB5" w:rsidRDefault="00A37FB5" w:rsidP="000E0262">
      <w:pPr>
        <w:spacing w:after="0" w:line="360" w:lineRule="auto"/>
        <w:ind w:left="720"/>
        <w:jc w:val="both"/>
        <w:rPr>
          <w:rFonts w:eastAsia="Times New Roman" w:cs="Times New Roman"/>
          <w:szCs w:val="24"/>
          <w:lang w:val="es-EC" w:eastAsia="es-EC"/>
        </w:rPr>
      </w:pPr>
      <w:r w:rsidRPr="00A37FB5">
        <w:rPr>
          <w:rFonts w:eastAsia="Times New Roman" w:cs="Times New Roman"/>
          <w:szCs w:val="24"/>
          <w:lang w:val="es-EC" w:eastAsia="es-EC"/>
        </w:rPr>
        <w:t xml:space="preserve">c) Brecha de nivel educativo: Predominan de manera abrumadora las intervenciones diseñadas para la educación superior. Tal como señalan Pérez-Muñoz et al. (2024), se evidencia una menor atención hacia el </w:t>
      </w:r>
      <w:proofErr w:type="spellStart"/>
      <w:r w:rsidRPr="00A37FB5">
        <w:rPr>
          <w:rFonts w:eastAsia="Times New Roman" w:cs="Times New Roman"/>
          <w:szCs w:val="24"/>
          <w:lang w:val="es-EC" w:eastAsia="es-EC"/>
        </w:rPr>
        <w:t>codiseño</w:t>
      </w:r>
      <w:proofErr w:type="spellEnd"/>
      <w:r w:rsidRPr="00A37FB5">
        <w:rPr>
          <w:rFonts w:eastAsia="Times New Roman" w:cs="Times New Roman"/>
          <w:szCs w:val="24"/>
          <w:lang w:val="es-EC" w:eastAsia="es-EC"/>
        </w:rPr>
        <w:t xml:space="preserve"> e inclusión de estas tecnologías en los niveles de educación básica, un período del desarrollo cognitivo donde la estructuración de bases conceptuales científicas resulta fundamental para la alfabetización digital y científica temprana.</w:t>
      </w:r>
    </w:p>
    <w:p w14:paraId="713F9230" w14:textId="77777777" w:rsidR="00A23FF0" w:rsidRPr="00A37FB5" w:rsidRDefault="00A23FF0" w:rsidP="000E0262">
      <w:pPr>
        <w:spacing w:after="0" w:line="360" w:lineRule="auto"/>
        <w:ind w:left="720"/>
        <w:jc w:val="both"/>
        <w:rPr>
          <w:rFonts w:eastAsia="Times New Roman" w:cs="Times New Roman"/>
          <w:szCs w:val="24"/>
          <w:lang w:val="es-EC" w:eastAsia="es-EC"/>
        </w:rPr>
      </w:pPr>
    </w:p>
    <w:p w14:paraId="33D1FBC4" w14:textId="77777777" w:rsidR="00A37FB5" w:rsidRPr="00A37FB5" w:rsidRDefault="00A37FB5" w:rsidP="001D47C0">
      <w:pPr>
        <w:spacing w:after="0" w:line="360" w:lineRule="auto"/>
        <w:ind w:left="720"/>
        <w:jc w:val="both"/>
        <w:rPr>
          <w:rFonts w:eastAsia="Times New Roman" w:cs="Times New Roman"/>
          <w:b/>
          <w:bCs/>
          <w:szCs w:val="24"/>
          <w:lang w:val="es-EC" w:eastAsia="es-EC"/>
        </w:rPr>
      </w:pPr>
      <w:r w:rsidRPr="00A37FB5">
        <w:rPr>
          <w:rFonts w:eastAsia="Times New Roman" w:cs="Times New Roman"/>
          <w:szCs w:val="24"/>
          <w:lang w:val="es-EC" w:eastAsia="es-EC"/>
        </w:rPr>
        <w:t xml:space="preserve">Frente a este escenario, la presente investigación se posiciona como una contribución original y situada que aborda de forma directa las limitaciones identificadas. Esto se logra mediante el diseño, desarrollo y evaluación de una guía didáctica interactiva que integra sinérgicamente un ecosistema híbrido (RA, </w:t>
      </w:r>
      <w:proofErr w:type="spellStart"/>
      <w:r w:rsidRPr="00A37FB5">
        <w:rPr>
          <w:rFonts w:eastAsia="Times New Roman" w:cs="Times New Roman"/>
          <w:szCs w:val="24"/>
          <w:lang w:val="es-EC" w:eastAsia="es-EC"/>
        </w:rPr>
        <w:t>chatbot</w:t>
      </w:r>
      <w:proofErr w:type="spellEnd"/>
      <w:r w:rsidRPr="00A37FB5">
        <w:rPr>
          <w:rFonts w:eastAsia="Times New Roman" w:cs="Times New Roman"/>
          <w:szCs w:val="24"/>
          <w:lang w:val="es-EC" w:eastAsia="es-EC"/>
        </w:rPr>
        <w:t xml:space="preserve"> educativo basado en LLM, reconocimiento inteligente de imágenes y gamificación adaptativa). El sistema está diseñado específicamente para estudiantes de educación básica en Ecuador, fundamentando su viabilidad técnico-económica en el uso exclusivo de tecnologías de código abierto y arquitecturas en la nube bajo capas de servicios gratuitos, garantizando así su replicabilidad en entornos con recursos limitados</w:t>
      </w:r>
      <w:r w:rsidRPr="00A37FB5">
        <w:rPr>
          <w:rFonts w:eastAsia="Times New Roman" w:cs="Times New Roman"/>
          <w:b/>
          <w:bCs/>
          <w:szCs w:val="24"/>
          <w:lang w:val="es-EC" w:eastAsia="es-EC"/>
        </w:rPr>
        <w:t>.</w:t>
      </w:r>
    </w:p>
    <w:p w14:paraId="19B465F2" w14:textId="231EB04D" w:rsidR="00A37FB5" w:rsidRPr="00A37FB5" w:rsidRDefault="00A37FB5" w:rsidP="00A37FB5">
      <w:pPr>
        <w:spacing w:after="0" w:line="360" w:lineRule="auto"/>
        <w:jc w:val="both"/>
        <w:rPr>
          <w:rFonts w:eastAsia="Times New Roman" w:cs="Times New Roman"/>
          <w:b/>
          <w:bCs/>
          <w:szCs w:val="24"/>
          <w:lang w:val="es-EC" w:eastAsia="es-EC"/>
        </w:rPr>
      </w:pPr>
    </w:p>
    <w:p w14:paraId="53419FD1" w14:textId="51468E7D" w:rsidR="00A4695F" w:rsidRPr="0008489A" w:rsidRDefault="00A4695F" w:rsidP="00DF59D4">
      <w:pPr>
        <w:spacing w:after="0" w:line="360" w:lineRule="auto"/>
        <w:jc w:val="both"/>
        <w:rPr>
          <w:b/>
          <w:bCs/>
        </w:rPr>
      </w:pPr>
      <w:r w:rsidRPr="0008489A">
        <w:rPr>
          <w:b/>
          <w:bCs/>
        </w:rPr>
        <w:t>REFERENCIAS BIBLIOGRÁFICAS</w:t>
      </w:r>
      <w:bookmarkEnd w:id="6"/>
    </w:p>
    <w:p w14:paraId="5D09B249"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s-EC" w:eastAsia="zh-CN"/>
          <w14:ligatures w14:val="standardContextual"/>
        </w:rPr>
        <w:t>Ahmad, K., Iqbal, W., El-Hassan, A., Qadir, J., Benhaddou, D., Ayyash, M., &amp; Al-</w:t>
      </w:r>
      <w:proofErr w:type="spellStart"/>
      <w:r w:rsidRPr="00BF4551">
        <w:rPr>
          <w:rFonts w:eastAsia="DengXian" w:cs="Times New Roman"/>
          <w:kern w:val="2"/>
          <w:szCs w:val="24"/>
          <w:lang w:val="es-EC" w:eastAsia="zh-CN"/>
          <w14:ligatures w14:val="standardContextual"/>
        </w:rPr>
        <w:t>Fuqaha</w:t>
      </w:r>
      <w:proofErr w:type="spellEnd"/>
      <w:r w:rsidRPr="00BF4551">
        <w:rPr>
          <w:rFonts w:eastAsia="DengXian" w:cs="Times New Roman"/>
          <w:kern w:val="2"/>
          <w:szCs w:val="24"/>
          <w:lang w:val="es-EC" w:eastAsia="zh-CN"/>
          <w14:ligatures w14:val="standardContextual"/>
        </w:rPr>
        <w:t xml:space="preserve">, A. (2024). </w:t>
      </w:r>
      <w:r w:rsidRPr="00BF4551">
        <w:rPr>
          <w:rFonts w:eastAsia="DengXian" w:cs="Times New Roman"/>
          <w:kern w:val="2"/>
          <w:szCs w:val="24"/>
          <w:lang w:val="en-GB" w:eastAsia="zh-CN"/>
          <w14:ligatures w14:val="standardContextual"/>
        </w:rPr>
        <w:t xml:space="preserve">Data-driven artificial intelligence in education: A comprehensive review. </w:t>
      </w:r>
      <w:r w:rsidRPr="00BF4551">
        <w:rPr>
          <w:rFonts w:eastAsia="DengXian" w:cs="Times New Roman"/>
          <w:i/>
          <w:iCs/>
          <w:kern w:val="2"/>
          <w:szCs w:val="24"/>
          <w:lang w:val="en-GB" w:eastAsia="zh-CN"/>
          <w14:ligatures w14:val="standardContextual"/>
        </w:rPr>
        <w:t>IEEE Transactions on Learning Technologies, 17</w:t>
      </w:r>
      <w:r w:rsidRPr="00BF4551">
        <w:rPr>
          <w:rFonts w:eastAsia="DengXian" w:cs="Times New Roman"/>
          <w:kern w:val="2"/>
          <w:szCs w:val="24"/>
          <w:lang w:val="en-GB" w:eastAsia="zh-CN"/>
          <w14:ligatures w14:val="standardContextual"/>
        </w:rPr>
        <w:t xml:space="preserve">, 12–31. </w:t>
      </w:r>
    </w:p>
    <w:p w14:paraId="5809890A"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Ahmad, K., Iqbal, W., &amp; Qadir, J. (2026). </w:t>
      </w:r>
      <w:r w:rsidRPr="00BF4551">
        <w:rPr>
          <w:rFonts w:eastAsia="DengXian" w:cs="Times New Roman"/>
          <w:kern w:val="2"/>
          <w:szCs w:val="24"/>
          <w:lang w:val="en-GB" w:eastAsia="zh-CN"/>
          <w14:ligatures w14:val="standardContextual"/>
        </w:rPr>
        <w:t xml:space="preserve">Low-latency inference architectures for educational chatbots: A comparative benchmark of LPU versus GPU infrastructure. </w:t>
      </w:r>
      <w:r w:rsidRPr="00BF4551">
        <w:rPr>
          <w:rFonts w:eastAsia="DengXian" w:cs="Times New Roman"/>
          <w:i/>
          <w:iCs/>
          <w:kern w:val="2"/>
          <w:szCs w:val="24"/>
          <w:lang w:val="es-EC" w:eastAsia="zh-CN"/>
          <w14:ligatures w14:val="standardContextual"/>
        </w:rPr>
        <w:t xml:space="preserve">IEEE </w:t>
      </w:r>
      <w:proofErr w:type="spellStart"/>
      <w:r w:rsidRPr="00BF4551">
        <w:rPr>
          <w:rFonts w:eastAsia="DengXian" w:cs="Times New Roman"/>
          <w:i/>
          <w:iCs/>
          <w:kern w:val="2"/>
          <w:szCs w:val="24"/>
          <w:lang w:val="es-EC" w:eastAsia="zh-CN"/>
          <w14:ligatures w14:val="standardContextual"/>
        </w:rPr>
        <w:t>Transactions</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on</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Learning</w:t>
      </w:r>
      <w:proofErr w:type="spellEnd"/>
      <w:r w:rsidRPr="00BF4551">
        <w:rPr>
          <w:rFonts w:eastAsia="DengXian" w:cs="Times New Roman"/>
          <w:i/>
          <w:iCs/>
          <w:kern w:val="2"/>
          <w:szCs w:val="24"/>
          <w:lang w:val="es-EC" w:eastAsia="zh-CN"/>
          <w14:ligatures w14:val="standardContextual"/>
        </w:rPr>
        <w:t xml:space="preserve"> Technologies, 19</w:t>
      </w:r>
      <w:r w:rsidRPr="00BF4551">
        <w:rPr>
          <w:rFonts w:eastAsia="DengXian" w:cs="Times New Roman"/>
          <w:kern w:val="2"/>
          <w:szCs w:val="24"/>
          <w:lang w:val="es-EC" w:eastAsia="zh-CN"/>
          <w14:ligatures w14:val="standardContextual"/>
        </w:rPr>
        <w:t xml:space="preserve">(1), 74–89. </w:t>
      </w:r>
    </w:p>
    <w:p w14:paraId="00DB326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en-GB" w:eastAsia="zh-CN"/>
          <w14:ligatures w14:val="standardContextual"/>
        </w:rPr>
        <w:t>Akçayır</w:t>
      </w:r>
      <w:proofErr w:type="spellEnd"/>
      <w:r w:rsidRPr="00BF4551">
        <w:rPr>
          <w:rFonts w:eastAsia="DengXian" w:cs="Times New Roman"/>
          <w:kern w:val="2"/>
          <w:szCs w:val="24"/>
          <w:lang w:val="en-GB" w:eastAsia="zh-CN"/>
          <w14:ligatures w14:val="standardContextual"/>
        </w:rPr>
        <w:t xml:space="preserve">, M., &amp; </w:t>
      </w:r>
      <w:proofErr w:type="spellStart"/>
      <w:r w:rsidRPr="00BF4551">
        <w:rPr>
          <w:rFonts w:eastAsia="DengXian" w:cs="Times New Roman"/>
          <w:kern w:val="2"/>
          <w:szCs w:val="24"/>
          <w:lang w:val="en-GB" w:eastAsia="zh-CN"/>
          <w14:ligatures w14:val="standardContextual"/>
        </w:rPr>
        <w:t>Akçayır</w:t>
      </w:r>
      <w:proofErr w:type="spellEnd"/>
      <w:r w:rsidRPr="00BF4551">
        <w:rPr>
          <w:rFonts w:eastAsia="DengXian" w:cs="Times New Roman"/>
          <w:kern w:val="2"/>
          <w:szCs w:val="24"/>
          <w:lang w:val="en-GB" w:eastAsia="zh-CN"/>
          <w14:ligatures w14:val="standardContextual"/>
        </w:rPr>
        <w:t xml:space="preserve">, G. (2017). Advantages and challenges associated with augmented reality for education: A systematic review of the literature.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Research</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Review</w:t>
      </w:r>
      <w:proofErr w:type="spellEnd"/>
      <w:r w:rsidRPr="00BF4551">
        <w:rPr>
          <w:rFonts w:eastAsia="DengXian" w:cs="Times New Roman"/>
          <w:i/>
          <w:iCs/>
          <w:kern w:val="2"/>
          <w:szCs w:val="24"/>
          <w:lang w:val="es-EC" w:eastAsia="zh-CN"/>
          <w14:ligatures w14:val="standardContextual"/>
        </w:rPr>
        <w:t>, 20</w:t>
      </w:r>
      <w:r w:rsidRPr="00BF4551">
        <w:rPr>
          <w:rFonts w:eastAsia="DengXian" w:cs="Times New Roman"/>
          <w:kern w:val="2"/>
          <w:szCs w:val="24"/>
          <w:lang w:val="es-EC" w:eastAsia="zh-CN"/>
          <w14:ligatures w14:val="standardContextual"/>
        </w:rPr>
        <w:t xml:space="preserve">, 1–11. </w:t>
      </w:r>
      <w:hyperlink r:id="rId12" w:tgtFrame="_new" w:history="1">
        <w:r w:rsidRPr="00BF4551">
          <w:rPr>
            <w:rStyle w:val="Hipervnculo"/>
            <w:rFonts w:eastAsia="DengXian" w:cs="Times New Roman"/>
            <w:kern w:val="2"/>
            <w:szCs w:val="24"/>
            <w:lang w:val="es-EC" w:eastAsia="zh-CN"/>
            <w14:ligatures w14:val="standardContextual"/>
          </w:rPr>
          <w:t>https://doi.org/10.1016/j.edurev.2016.11.002</w:t>
        </w:r>
      </w:hyperlink>
      <w:r w:rsidRPr="00BF4551">
        <w:rPr>
          <w:rFonts w:eastAsia="DengXian" w:cs="Times New Roman"/>
          <w:kern w:val="2"/>
          <w:szCs w:val="24"/>
          <w:lang w:val="es-EC" w:eastAsia="zh-CN"/>
          <w14:ligatures w14:val="standardContextual"/>
        </w:rPr>
        <w:t xml:space="preserve"> </w:t>
      </w:r>
    </w:p>
    <w:p w14:paraId="7429773A"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it-IT" w:eastAsia="zh-CN"/>
          <w14:ligatures w14:val="standardContextual"/>
        </w:rPr>
        <w:t xml:space="preserve">Al-Emran, M., Arpaci, I., &amp; Salloum, S. A. (2020). </w:t>
      </w:r>
      <w:r w:rsidRPr="00BF4551">
        <w:rPr>
          <w:rFonts w:eastAsia="DengXian" w:cs="Times New Roman"/>
          <w:kern w:val="2"/>
          <w:szCs w:val="24"/>
          <w:lang w:val="en-GB" w:eastAsia="zh-CN"/>
          <w14:ligatures w14:val="standardContextual"/>
        </w:rPr>
        <w:t xml:space="preserve">An empirical examination of continuous intention to use m-learning: An integrated model.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Technologies, 25</w:t>
      </w:r>
      <w:r w:rsidRPr="00BF4551">
        <w:rPr>
          <w:rFonts w:eastAsia="DengXian" w:cs="Times New Roman"/>
          <w:kern w:val="2"/>
          <w:szCs w:val="24"/>
          <w:lang w:val="es-EC" w:eastAsia="zh-CN"/>
          <w14:ligatures w14:val="standardContextual"/>
        </w:rPr>
        <w:t xml:space="preserve">(4), 2899–2918. </w:t>
      </w:r>
      <w:hyperlink r:id="rId13" w:tgtFrame="_new" w:history="1">
        <w:r w:rsidRPr="00BF4551">
          <w:rPr>
            <w:rStyle w:val="Hipervnculo"/>
            <w:rFonts w:eastAsia="DengXian" w:cs="Times New Roman"/>
            <w:kern w:val="2"/>
            <w:szCs w:val="24"/>
            <w:lang w:val="es-EC" w:eastAsia="zh-CN"/>
            <w14:ligatures w14:val="standardContextual"/>
          </w:rPr>
          <w:t>https://doi.org/10.1007/s10639-019-10094-2</w:t>
        </w:r>
      </w:hyperlink>
      <w:r w:rsidRPr="00BF4551">
        <w:rPr>
          <w:rFonts w:eastAsia="DengXian" w:cs="Times New Roman"/>
          <w:kern w:val="2"/>
          <w:szCs w:val="24"/>
          <w:lang w:val="es-EC" w:eastAsia="zh-CN"/>
          <w14:ligatures w14:val="standardContextual"/>
        </w:rPr>
        <w:t xml:space="preserve"> </w:t>
      </w:r>
    </w:p>
    <w:p w14:paraId="75CFD5C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Al-Emran, M., Salloum, S. A., &amp; Malik, G. (2024). </w:t>
      </w:r>
      <w:r w:rsidRPr="00BF4551">
        <w:rPr>
          <w:rFonts w:eastAsia="DengXian" w:cs="Times New Roman"/>
          <w:kern w:val="2"/>
          <w:szCs w:val="24"/>
          <w:lang w:val="en-GB" w:eastAsia="zh-CN"/>
          <w14:ligatures w14:val="standardContextual"/>
        </w:rPr>
        <w:t xml:space="preserve">Determinants of mobile learning continuous intention: A meta-analysis of technology acceptance models and human factors. </w:t>
      </w:r>
      <w:r w:rsidRPr="00BF4551">
        <w:rPr>
          <w:rFonts w:eastAsia="DengXian" w:cs="Times New Roman"/>
          <w:i/>
          <w:iCs/>
          <w:kern w:val="2"/>
          <w:szCs w:val="24"/>
          <w:lang w:val="es-EC" w:eastAsia="zh-CN"/>
          <w14:ligatures w14:val="standardContextual"/>
        </w:rPr>
        <w:t xml:space="preserve">BMC Medical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24</w:t>
      </w:r>
      <w:r w:rsidRPr="00BF4551">
        <w:rPr>
          <w:rFonts w:eastAsia="DengXian" w:cs="Times New Roman"/>
          <w:kern w:val="2"/>
          <w:szCs w:val="24"/>
          <w:lang w:val="es-EC" w:eastAsia="zh-CN"/>
          <w14:ligatures w14:val="standardContextual"/>
        </w:rPr>
        <w:t xml:space="preserve">(1),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182. </w:t>
      </w:r>
    </w:p>
    <w:p w14:paraId="4149BD83"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Arici, F., Yildirim, P., </w:t>
      </w:r>
      <w:proofErr w:type="spellStart"/>
      <w:r w:rsidRPr="00BF4551">
        <w:rPr>
          <w:rFonts w:eastAsia="DengXian" w:cs="Times New Roman"/>
          <w:kern w:val="2"/>
          <w:szCs w:val="24"/>
          <w:lang w:val="en-GB" w:eastAsia="zh-CN"/>
          <w14:ligatures w14:val="standardContextual"/>
        </w:rPr>
        <w:t>Caliklar</w:t>
      </w:r>
      <w:proofErr w:type="spellEnd"/>
      <w:r w:rsidRPr="00BF4551">
        <w:rPr>
          <w:rFonts w:eastAsia="DengXian" w:cs="Times New Roman"/>
          <w:kern w:val="2"/>
          <w:szCs w:val="24"/>
          <w:lang w:val="en-GB" w:eastAsia="zh-CN"/>
          <w14:ligatures w14:val="standardContextual"/>
        </w:rPr>
        <w:t xml:space="preserve">, S., &amp; Yilmaz, R. M. (2024). Ubiquitous learning and microlearning trends in mobile environments: A systematic mapping of pedagogical architectures for secondary science education.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33</w:t>
      </w:r>
      <w:r w:rsidRPr="00BF4551">
        <w:rPr>
          <w:rFonts w:eastAsia="DengXian" w:cs="Times New Roman"/>
          <w:kern w:val="2"/>
          <w:szCs w:val="24"/>
          <w:lang w:val="es-EC" w:eastAsia="zh-CN"/>
          <w14:ligatures w14:val="standardContextual"/>
        </w:rPr>
        <w:t xml:space="preserve">(1), 102–119. </w:t>
      </w:r>
    </w:p>
    <w:p w14:paraId="44F832AA"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Arici, F., Yilmaz, R. M., &amp; Yilmaz, M. (2021). Affordances of augmented reality technology for science education: Views of secondary school students and science teachers. </w:t>
      </w:r>
      <w:r w:rsidRPr="00BF4551">
        <w:rPr>
          <w:rFonts w:eastAsia="DengXian" w:cs="Times New Roman"/>
          <w:i/>
          <w:iCs/>
          <w:kern w:val="2"/>
          <w:szCs w:val="24"/>
          <w:lang w:val="es-EC" w:eastAsia="zh-CN"/>
          <w14:ligatures w14:val="standardContextual"/>
        </w:rPr>
        <w:t xml:space="preserve">Human Behavior and </w:t>
      </w:r>
      <w:proofErr w:type="spellStart"/>
      <w:r w:rsidRPr="00BF4551">
        <w:rPr>
          <w:rFonts w:eastAsia="DengXian" w:cs="Times New Roman"/>
          <w:i/>
          <w:iCs/>
          <w:kern w:val="2"/>
          <w:szCs w:val="24"/>
          <w:lang w:val="es-EC" w:eastAsia="zh-CN"/>
          <w14:ligatures w14:val="standardContextual"/>
        </w:rPr>
        <w:t>Emerging</w:t>
      </w:r>
      <w:proofErr w:type="spellEnd"/>
      <w:r w:rsidRPr="00BF4551">
        <w:rPr>
          <w:rFonts w:eastAsia="DengXian" w:cs="Times New Roman"/>
          <w:i/>
          <w:iCs/>
          <w:kern w:val="2"/>
          <w:szCs w:val="24"/>
          <w:lang w:val="es-EC" w:eastAsia="zh-CN"/>
          <w14:ligatures w14:val="standardContextual"/>
        </w:rPr>
        <w:t xml:space="preserve"> Technologies, 3</w:t>
      </w:r>
      <w:r w:rsidRPr="00BF4551">
        <w:rPr>
          <w:rFonts w:eastAsia="DengXian" w:cs="Times New Roman"/>
          <w:kern w:val="2"/>
          <w:szCs w:val="24"/>
          <w:lang w:val="es-EC" w:eastAsia="zh-CN"/>
          <w14:ligatures w14:val="standardContextual"/>
        </w:rPr>
        <w:t xml:space="preserve">(5), 1153–1171. </w:t>
      </w:r>
      <w:hyperlink r:id="rId14" w:tgtFrame="_new" w:history="1">
        <w:r w:rsidRPr="00BF4551">
          <w:rPr>
            <w:rStyle w:val="Hipervnculo"/>
            <w:rFonts w:eastAsia="DengXian" w:cs="Times New Roman"/>
            <w:kern w:val="2"/>
            <w:szCs w:val="24"/>
            <w:lang w:val="es-EC" w:eastAsia="zh-CN"/>
            <w14:ligatures w14:val="standardContextual"/>
          </w:rPr>
          <w:t>https://doi.org/10.1002/hbe2.310</w:t>
        </w:r>
      </w:hyperlink>
      <w:r w:rsidRPr="00BF4551">
        <w:rPr>
          <w:rFonts w:eastAsia="DengXian" w:cs="Times New Roman"/>
          <w:kern w:val="2"/>
          <w:szCs w:val="24"/>
          <w:lang w:val="es-EC" w:eastAsia="zh-CN"/>
          <w14:ligatures w14:val="standardContextual"/>
        </w:rPr>
        <w:t xml:space="preserve"> </w:t>
      </w:r>
    </w:p>
    <w:p w14:paraId="00BC8911"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n-GB" w:eastAsia="zh-CN"/>
          <w14:ligatures w14:val="standardContextual"/>
        </w:rPr>
        <w:t xml:space="preserve">Aslan, R., Crum, J., Escalante, A., Godwin-Jones, R., &amp; Li, M. (2025). Integrating artificial intelligence and extended reality in educational settings: A comprehensive review of multimodal frameworks and learning tools. </w:t>
      </w:r>
      <w:r w:rsidRPr="00BF4551">
        <w:rPr>
          <w:rFonts w:eastAsia="DengXian" w:cs="Times New Roman"/>
          <w:i/>
          <w:iCs/>
          <w:kern w:val="2"/>
          <w:szCs w:val="24"/>
          <w:lang w:val="en-GB" w:eastAsia="zh-CN"/>
          <w14:ligatures w14:val="standardContextual"/>
        </w:rPr>
        <w:t>Journal of Educational Technology Systems, 53</w:t>
      </w:r>
      <w:r w:rsidRPr="00BF4551">
        <w:rPr>
          <w:rFonts w:eastAsia="DengXian" w:cs="Times New Roman"/>
          <w:kern w:val="2"/>
          <w:szCs w:val="24"/>
          <w:lang w:val="en-GB" w:eastAsia="zh-CN"/>
          <w14:ligatures w14:val="standardContextual"/>
        </w:rPr>
        <w:t xml:space="preserve">(3), 210–235. </w:t>
      </w:r>
    </w:p>
    <w:p w14:paraId="5BE2F477"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Bari, M., Khan, A. R., &amp; Chen, Y. (2024). Neuroimaging perspectives on immersive learning: How 3D spatial visualization modulates hippocampal and visual cortex activity.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Neuroscience</w:t>
      </w:r>
      <w:proofErr w:type="spellEnd"/>
      <w:r w:rsidRPr="00BF4551">
        <w:rPr>
          <w:rFonts w:eastAsia="DengXian" w:cs="Times New Roman"/>
          <w:i/>
          <w:iCs/>
          <w:kern w:val="2"/>
          <w:szCs w:val="24"/>
          <w:lang w:val="es-EC" w:eastAsia="zh-CN"/>
          <w14:ligatures w14:val="standardContextual"/>
        </w:rPr>
        <w:t xml:space="preserve"> and Brain </w:t>
      </w:r>
      <w:proofErr w:type="spellStart"/>
      <w:r w:rsidRPr="00BF4551">
        <w:rPr>
          <w:rFonts w:eastAsia="DengXian" w:cs="Times New Roman"/>
          <w:i/>
          <w:iCs/>
          <w:kern w:val="2"/>
          <w:szCs w:val="24"/>
          <w:lang w:val="es-EC" w:eastAsia="zh-CN"/>
          <w14:ligatures w14:val="standardContextual"/>
        </w:rPr>
        <w:t>Research</w:t>
      </w:r>
      <w:proofErr w:type="spellEnd"/>
      <w:r w:rsidRPr="00BF4551">
        <w:rPr>
          <w:rFonts w:eastAsia="DengXian" w:cs="Times New Roman"/>
          <w:i/>
          <w:iCs/>
          <w:kern w:val="2"/>
          <w:szCs w:val="24"/>
          <w:lang w:val="es-EC" w:eastAsia="zh-CN"/>
          <w14:ligatures w14:val="standardContextual"/>
        </w:rPr>
        <w:t>, 18</w:t>
      </w:r>
      <w:r w:rsidRPr="00BF4551">
        <w:rPr>
          <w:rFonts w:eastAsia="DengXian" w:cs="Times New Roman"/>
          <w:kern w:val="2"/>
          <w:szCs w:val="24"/>
          <w:lang w:val="es-EC" w:eastAsia="zh-CN"/>
          <w14:ligatures w14:val="standardContextual"/>
        </w:rPr>
        <w:t xml:space="preserve">(2), 114–131. </w:t>
      </w:r>
    </w:p>
    <w:p w14:paraId="2CC96847"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de-DE" w:eastAsia="zh-CN"/>
          <w14:ligatures w14:val="standardContextual"/>
        </w:rPr>
        <w:t xml:space="preserve">Buchner, J., </w:t>
      </w:r>
      <w:proofErr w:type="spellStart"/>
      <w:r w:rsidRPr="00BF4551">
        <w:rPr>
          <w:rFonts w:eastAsia="DengXian" w:cs="Times New Roman"/>
          <w:kern w:val="2"/>
          <w:szCs w:val="24"/>
          <w:lang w:val="de-DE" w:eastAsia="zh-CN"/>
          <w14:ligatures w14:val="standardContextual"/>
        </w:rPr>
        <w:t>Buntins</w:t>
      </w:r>
      <w:proofErr w:type="spellEnd"/>
      <w:r w:rsidRPr="00BF4551">
        <w:rPr>
          <w:rFonts w:eastAsia="DengXian" w:cs="Times New Roman"/>
          <w:kern w:val="2"/>
          <w:szCs w:val="24"/>
          <w:lang w:val="de-DE" w:eastAsia="zh-CN"/>
          <w14:ligatures w14:val="standardContextual"/>
        </w:rPr>
        <w:t xml:space="preserve">, K., &amp; Kerres, M. (2022). </w:t>
      </w:r>
      <w:r w:rsidRPr="00BF4551">
        <w:rPr>
          <w:rFonts w:eastAsia="DengXian" w:cs="Times New Roman"/>
          <w:kern w:val="2"/>
          <w:szCs w:val="24"/>
          <w:lang w:val="en-GB" w:eastAsia="zh-CN"/>
          <w14:ligatures w14:val="standardContextual"/>
        </w:rPr>
        <w:t xml:space="preserve">The impact of augmented reality on cognitive load and performance: A systematic review. </w:t>
      </w:r>
      <w:r w:rsidRPr="00BF4551">
        <w:rPr>
          <w:rFonts w:eastAsia="DengXian" w:cs="Times New Roman"/>
          <w:i/>
          <w:iCs/>
          <w:kern w:val="2"/>
          <w:szCs w:val="24"/>
          <w:lang w:val="en-GB" w:eastAsia="zh-CN"/>
          <w14:ligatures w14:val="standardContextual"/>
        </w:rPr>
        <w:t>Journal of Computer Assisted Learning, 38</w:t>
      </w:r>
      <w:r w:rsidRPr="00BF4551">
        <w:rPr>
          <w:rFonts w:eastAsia="DengXian" w:cs="Times New Roman"/>
          <w:kern w:val="2"/>
          <w:szCs w:val="24"/>
          <w:lang w:val="en-GB" w:eastAsia="zh-CN"/>
          <w14:ligatures w14:val="standardContextual"/>
        </w:rPr>
        <w:t xml:space="preserve">(1), 285–303. </w:t>
      </w:r>
      <w:hyperlink r:id="rId15" w:tgtFrame="_new" w:history="1">
        <w:r w:rsidRPr="00BF4551">
          <w:rPr>
            <w:rStyle w:val="Hipervnculo"/>
            <w:rFonts w:eastAsia="DengXian" w:cs="Times New Roman"/>
            <w:kern w:val="2"/>
            <w:szCs w:val="24"/>
            <w:lang w:val="en-GB" w:eastAsia="zh-CN"/>
            <w14:ligatures w14:val="standardContextual"/>
          </w:rPr>
          <w:t>https://doi.org/10.1111/jcal.12617</w:t>
        </w:r>
      </w:hyperlink>
      <w:r w:rsidRPr="00BF4551">
        <w:rPr>
          <w:rFonts w:eastAsia="DengXian" w:cs="Times New Roman"/>
          <w:kern w:val="2"/>
          <w:szCs w:val="24"/>
          <w:lang w:val="en-GB" w:eastAsia="zh-CN"/>
          <w14:ligatures w14:val="standardContextual"/>
        </w:rPr>
        <w:t xml:space="preserve"> </w:t>
      </w:r>
    </w:p>
    <w:p w14:paraId="45B23213"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Cabero-Almenara, J., Vázquez-Cano, E., Villota-Oyarvide, W. R., &amp; López-Meneses, E. (2021). La innovación en el aula universitaria a través de la realidad aumentada: Análisis desde la perspectiva del estudiantado español y latinoamericano. </w:t>
      </w:r>
      <w:r w:rsidRPr="00BF4551">
        <w:rPr>
          <w:rFonts w:eastAsia="DengXian" w:cs="Times New Roman"/>
          <w:i/>
          <w:iCs/>
          <w:kern w:val="2"/>
          <w:szCs w:val="24"/>
          <w:lang w:val="es-EC" w:eastAsia="zh-CN"/>
          <w14:ligatures w14:val="standardContextual"/>
        </w:rPr>
        <w:t>Revista de Investigación y Evaluación Educativa, 8</w:t>
      </w:r>
      <w:r w:rsidRPr="00BF4551">
        <w:rPr>
          <w:rFonts w:eastAsia="DengXian" w:cs="Times New Roman"/>
          <w:kern w:val="2"/>
          <w:szCs w:val="24"/>
          <w:lang w:val="es-EC" w:eastAsia="zh-CN"/>
          <w14:ligatures w14:val="standardContextual"/>
        </w:rPr>
        <w:t xml:space="preserve">(1), 4–17. </w:t>
      </w:r>
    </w:p>
    <w:p w14:paraId="6037EB47"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Chandaka, S. (2025). </w:t>
      </w:r>
      <w:r w:rsidRPr="00BF4551">
        <w:rPr>
          <w:rFonts w:eastAsia="DengXian" w:cs="Times New Roman"/>
          <w:i/>
          <w:iCs/>
          <w:kern w:val="2"/>
          <w:szCs w:val="24"/>
          <w:lang w:val="en-GB" w:eastAsia="zh-CN"/>
          <w14:ligatures w14:val="standardContextual"/>
        </w:rPr>
        <w:t>Bridging worlds: Flutter, Kotlin, and Swift—A unified path for modern app developers</w:t>
      </w:r>
      <w:r w:rsidRPr="00BF4551">
        <w:rPr>
          <w:rFonts w:eastAsia="DengXian" w:cs="Times New Roman"/>
          <w:kern w:val="2"/>
          <w:szCs w:val="24"/>
          <w:lang w:val="en-GB" w:eastAsia="zh-CN"/>
          <w14:ligatures w14:val="standardContextual"/>
        </w:rPr>
        <w:t xml:space="preserve">. </w:t>
      </w:r>
      <w:r w:rsidRPr="00BF4551">
        <w:rPr>
          <w:rFonts w:eastAsia="DengXian" w:cs="Times New Roman"/>
          <w:kern w:val="2"/>
          <w:szCs w:val="24"/>
          <w:lang w:val="es-EC" w:eastAsia="zh-CN"/>
          <w14:ligatures w14:val="standardContextual"/>
        </w:rPr>
        <w:t xml:space="preserve">Medium </w:t>
      </w:r>
      <w:proofErr w:type="spellStart"/>
      <w:r w:rsidRPr="00BF4551">
        <w:rPr>
          <w:rFonts w:eastAsia="DengXian" w:cs="Times New Roman"/>
          <w:kern w:val="2"/>
          <w:szCs w:val="24"/>
          <w:lang w:val="es-EC" w:eastAsia="zh-CN"/>
          <w14:ligatures w14:val="standardContextual"/>
        </w:rPr>
        <w:t>Engineering</w:t>
      </w:r>
      <w:proofErr w:type="spellEnd"/>
      <w:r w:rsidRPr="00BF4551">
        <w:rPr>
          <w:rFonts w:eastAsia="DengXian" w:cs="Times New Roman"/>
          <w:kern w:val="2"/>
          <w:szCs w:val="24"/>
          <w:lang w:val="es-EC" w:eastAsia="zh-CN"/>
          <w14:ligatures w14:val="standardContextual"/>
        </w:rPr>
        <w:t xml:space="preserve"> Press. </w:t>
      </w:r>
    </w:p>
    <w:p w14:paraId="5C49DD9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de-DE" w:eastAsia="zh-CN"/>
          <w14:ligatures w14:val="standardContextual"/>
        </w:rPr>
        <w:t xml:space="preserve">Chen, L., Chen, P., &amp; Lin, Z. (2020). </w:t>
      </w:r>
      <w:r w:rsidRPr="00BF4551">
        <w:rPr>
          <w:rFonts w:eastAsia="DengXian" w:cs="Times New Roman"/>
          <w:kern w:val="2"/>
          <w:szCs w:val="24"/>
          <w:lang w:val="en-GB" w:eastAsia="zh-CN"/>
          <w14:ligatures w14:val="standardContextual"/>
        </w:rPr>
        <w:t xml:space="preserve">Artificial intelligence in education: A review. </w:t>
      </w:r>
      <w:r w:rsidRPr="00BF4551">
        <w:rPr>
          <w:rFonts w:eastAsia="DengXian" w:cs="Times New Roman"/>
          <w:i/>
          <w:iCs/>
          <w:kern w:val="2"/>
          <w:szCs w:val="24"/>
          <w:lang w:val="es-EC" w:eastAsia="zh-CN"/>
          <w14:ligatures w14:val="standardContextual"/>
        </w:rPr>
        <w:t>IEEE Access, 8</w:t>
      </w:r>
      <w:r w:rsidRPr="00BF4551">
        <w:rPr>
          <w:rFonts w:eastAsia="DengXian" w:cs="Times New Roman"/>
          <w:kern w:val="2"/>
          <w:szCs w:val="24"/>
          <w:lang w:val="es-EC" w:eastAsia="zh-CN"/>
          <w14:ligatures w14:val="standardContextual"/>
        </w:rPr>
        <w:t xml:space="preserve">, 75264–75278. </w:t>
      </w:r>
      <w:hyperlink r:id="rId16" w:tgtFrame="_new" w:history="1">
        <w:r w:rsidRPr="00BF4551">
          <w:rPr>
            <w:rStyle w:val="Hipervnculo"/>
            <w:rFonts w:eastAsia="DengXian" w:cs="Times New Roman"/>
            <w:kern w:val="2"/>
            <w:szCs w:val="24"/>
            <w:lang w:val="es-EC" w:eastAsia="zh-CN"/>
            <w14:ligatures w14:val="standardContextual"/>
          </w:rPr>
          <w:t>https://doi.org/10.1109/ACCESS.2020.2988510</w:t>
        </w:r>
      </w:hyperlink>
      <w:r w:rsidRPr="00BF4551">
        <w:rPr>
          <w:rFonts w:eastAsia="DengXian" w:cs="Times New Roman"/>
          <w:kern w:val="2"/>
          <w:szCs w:val="24"/>
          <w:lang w:val="es-EC" w:eastAsia="zh-CN"/>
          <w14:ligatures w14:val="standardContextual"/>
        </w:rPr>
        <w:t xml:space="preserve"> </w:t>
      </w:r>
    </w:p>
    <w:p w14:paraId="18C762D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lastRenderedPageBreak/>
        <w:t xml:space="preserve">Cheng, L., Min, M., Sun, H., &amp; Sun, Y. (2022). A meta-analysis of mobile learning in science: A pedagogical role perspective.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31</w:t>
      </w:r>
      <w:r w:rsidRPr="00BF4551">
        <w:rPr>
          <w:rFonts w:eastAsia="DengXian" w:cs="Times New Roman"/>
          <w:kern w:val="2"/>
          <w:szCs w:val="24"/>
          <w:lang w:val="es-EC" w:eastAsia="zh-CN"/>
          <w14:ligatures w14:val="standardContextual"/>
        </w:rPr>
        <w:t xml:space="preserve">(3), 373–386. </w:t>
      </w:r>
    </w:p>
    <w:p w14:paraId="3427C2A6"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n-GB" w:eastAsia="zh-CN"/>
          <w14:ligatures w14:val="standardContextual"/>
        </w:rPr>
        <w:t xml:space="preserve">Cheng, L., Min, M., Sun, H., &amp; Sun, Y. (2024). Exploring the effectiveness of artificial intelligence chatbots in STEM education: A step-by-step guidance approach. </w:t>
      </w:r>
      <w:r w:rsidRPr="00BF4551">
        <w:rPr>
          <w:rFonts w:eastAsia="DengXian" w:cs="Times New Roman"/>
          <w:i/>
          <w:iCs/>
          <w:kern w:val="2"/>
          <w:szCs w:val="24"/>
          <w:lang w:val="en-GB" w:eastAsia="zh-CN"/>
          <w14:ligatures w14:val="standardContextual"/>
        </w:rPr>
        <w:t>Journal of Science Education and Technology, 33</w:t>
      </w:r>
      <w:r w:rsidRPr="00BF4551">
        <w:rPr>
          <w:rFonts w:eastAsia="DengXian" w:cs="Times New Roman"/>
          <w:kern w:val="2"/>
          <w:szCs w:val="24"/>
          <w:lang w:val="en-GB" w:eastAsia="zh-CN"/>
          <w14:ligatures w14:val="standardContextual"/>
        </w:rPr>
        <w:t xml:space="preserve">(2), 215–231. </w:t>
      </w:r>
    </w:p>
    <w:p w14:paraId="74632D66"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Dunleavy, M., &amp; Dede, C. (2014). Augmented reality teaching and learning. In J. M. Spector, M. D. Merrill, J. Elen, &amp; M. J. Bishop (Eds.), </w:t>
      </w:r>
      <w:r w:rsidRPr="00BF4551">
        <w:rPr>
          <w:rFonts w:eastAsia="DengXian" w:cs="Times New Roman"/>
          <w:i/>
          <w:iCs/>
          <w:kern w:val="2"/>
          <w:szCs w:val="24"/>
          <w:lang w:val="en-GB" w:eastAsia="zh-CN"/>
          <w14:ligatures w14:val="standardContextual"/>
        </w:rPr>
        <w:t>Handbook of research on educational communications and technology</w:t>
      </w:r>
      <w:r w:rsidRPr="00BF4551">
        <w:rPr>
          <w:rFonts w:eastAsia="DengXian" w:cs="Times New Roman"/>
          <w:kern w:val="2"/>
          <w:szCs w:val="24"/>
          <w:lang w:val="en-GB" w:eastAsia="zh-CN"/>
          <w14:ligatures w14:val="standardContextual"/>
        </w:rPr>
        <w:t xml:space="preserve"> (4th ed., pp. 735–745). </w:t>
      </w:r>
      <w:r w:rsidRPr="00BF4551">
        <w:rPr>
          <w:rFonts w:eastAsia="DengXian" w:cs="Times New Roman"/>
          <w:kern w:val="2"/>
          <w:szCs w:val="24"/>
          <w:lang w:val="es-EC" w:eastAsia="zh-CN"/>
          <w14:ligatures w14:val="standardContextual"/>
        </w:rPr>
        <w:t xml:space="preserve">Springer. </w:t>
      </w:r>
    </w:p>
    <w:p w14:paraId="1BD18CC1"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García-Martínez, I., Montenegro-Rueda, M., Fernández-Cerero, J., &amp; Fernández-</w:t>
      </w:r>
      <w:proofErr w:type="spellStart"/>
      <w:r w:rsidRPr="00BF4551">
        <w:rPr>
          <w:rFonts w:eastAsia="DengXian" w:cs="Times New Roman"/>
          <w:kern w:val="2"/>
          <w:szCs w:val="24"/>
          <w:lang w:val="en-GB" w:eastAsia="zh-CN"/>
          <w14:ligatures w14:val="standardContextual"/>
        </w:rPr>
        <w:t>Batanero</w:t>
      </w:r>
      <w:proofErr w:type="spellEnd"/>
      <w:r w:rsidRPr="00BF4551">
        <w:rPr>
          <w:rFonts w:eastAsia="DengXian" w:cs="Times New Roman"/>
          <w:kern w:val="2"/>
          <w:szCs w:val="24"/>
          <w:lang w:val="en-GB" w:eastAsia="zh-CN"/>
          <w14:ligatures w14:val="standardContextual"/>
        </w:rPr>
        <w:t xml:space="preserve">, J. M. (2024). Mobile learning, academic achievement, and critical thinking in contemporary education: A systematic literature review. </w:t>
      </w:r>
      <w:proofErr w:type="spellStart"/>
      <w:r w:rsidRPr="00BF4551">
        <w:rPr>
          <w:rFonts w:eastAsia="DengXian" w:cs="Times New Roman"/>
          <w:i/>
          <w:iCs/>
          <w:kern w:val="2"/>
          <w:szCs w:val="24"/>
          <w:lang w:val="es-EC" w:eastAsia="zh-CN"/>
          <w14:ligatures w14:val="standardContextual"/>
        </w:rPr>
        <w:t>Applied</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Sciences</w:t>
      </w:r>
      <w:proofErr w:type="spellEnd"/>
      <w:r w:rsidRPr="00BF4551">
        <w:rPr>
          <w:rFonts w:eastAsia="DengXian" w:cs="Times New Roman"/>
          <w:i/>
          <w:iCs/>
          <w:kern w:val="2"/>
          <w:szCs w:val="24"/>
          <w:lang w:val="es-EC" w:eastAsia="zh-CN"/>
          <w14:ligatures w14:val="standardContextual"/>
        </w:rPr>
        <w:t>, 14</w:t>
      </w:r>
      <w:r w:rsidRPr="00BF4551">
        <w:rPr>
          <w:rFonts w:eastAsia="DengXian" w:cs="Times New Roman"/>
          <w:kern w:val="2"/>
          <w:szCs w:val="24"/>
          <w:lang w:val="es-EC" w:eastAsia="zh-CN"/>
          <w14:ligatures w14:val="standardContextual"/>
        </w:rPr>
        <w:t xml:space="preserve">(3),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1245. </w:t>
      </w:r>
    </w:p>
    <w:p w14:paraId="511194C4"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García-</w:t>
      </w:r>
      <w:proofErr w:type="spellStart"/>
      <w:r w:rsidRPr="00BF4551">
        <w:rPr>
          <w:rFonts w:eastAsia="DengXian" w:cs="Times New Roman"/>
          <w:kern w:val="2"/>
          <w:szCs w:val="24"/>
          <w:lang w:val="en-GB" w:eastAsia="zh-CN"/>
          <w14:ligatures w14:val="standardContextual"/>
        </w:rPr>
        <w:t>Peñalvo</w:t>
      </w:r>
      <w:proofErr w:type="spellEnd"/>
      <w:r w:rsidRPr="00BF4551">
        <w:rPr>
          <w:rFonts w:eastAsia="DengXian" w:cs="Times New Roman"/>
          <w:kern w:val="2"/>
          <w:szCs w:val="24"/>
          <w:lang w:val="en-GB" w:eastAsia="zh-CN"/>
          <w14:ligatures w14:val="standardContextual"/>
        </w:rPr>
        <w:t xml:space="preserve">, F. J., Mendes, A. J., &amp; Conde, M. Á. (2024). Chatbots in education: A systematic review and future research directions.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Technologies, 29</w:t>
      </w:r>
      <w:r w:rsidRPr="00BF4551">
        <w:rPr>
          <w:rFonts w:eastAsia="DengXian" w:cs="Times New Roman"/>
          <w:kern w:val="2"/>
          <w:szCs w:val="24"/>
          <w:lang w:val="es-EC" w:eastAsia="zh-CN"/>
          <w14:ligatures w14:val="standardContextual"/>
        </w:rPr>
        <w:t xml:space="preserve">(1), 1–28. </w:t>
      </w:r>
    </w:p>
    <w:p w14:paraId="2A84F613"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Garzón, J., Gutiérrez, J., &amp; Lampropoulos, G. (2024). </w:t>
      </w:r>
      <w:r w:rsidRPr="00BF4551">
        <w:rPr>
          <w:rFonts w:eastAsia="DengXian" w:cs="Times New Roman"/>
          <w:kern w:val="2"/>
          <w:szCs w:val="24"/>
          <w:lang w:val="en-GB" w:eastAsia="zh-CN"/>
          <w14:ligatures w14:val="standardContextual"/>
        </w:rPr>
        <w:t xml:space="preserve">Integrating augmented reality into intelligent tutoring systems to enhance science education outcomes.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Technologies, 30</w:t>
      </w:r>
      <w:r w:rsidRPr="00BF4551">
        <w:rPr>
          <w:rFonts w:eastAsia="DengXian" w:cs="Times New Roman"/>
          <w:kern w:val="2"/>
          <w:szCs w:val="24"/>
          <w:lang w:val="es-EC" w:eastAsia="zh-CN"/>
          <w14:ligatures w14:val="standardContextual"/>
        </w:rPr>
        <w:t xml:space="preserve">(4), 1–22. </w:t>
      </w:r>
    </w:p>
    <w:p w14:paraId="49E10CB2"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s-EC" w:eastAsia="zh-CN"/>
          <w14:ligatures w14:val="standardContextual"/>
        </w:rPr>
        <w:t xml:space="preserve">Garzón, J., Kinshuk, </w:t>
      </w:r>
      <w:proofErr w:type="spellStart"/>
      <w:r w:rsidRPr="00BF4551">
        <w:rPr>
          <w:rFonts w:eastAsia="DengXian" w:cs="Times New Roman"/>
          <w:kern w:val="2"/>
          <w:szCs w:val="24"/>
          <w:lang w:val="es-EC" w:eastAsia="zh-CN"/>
          <w14:ligatures w14:val="standardContextual"/>
        </w:rPr>
        <w:t>Baldiris</w:t>
      </w:r>
      <w:proofErr w:type="spellEnd"/>
      <w:r w:rsidRPr="00BF4551">
        <w:rPr>
          <w:rFonts w:eastAsia="DengXian" w:cs="Times New Roman"/>
          <w:kern w:val="2"/>
          <w:szCs w:val="24"/>
          <w:lang w:val="es-EC" w:eastAsia="zh-CN"/>
          <w14:ligatures w14:val="standardContextual"/>
        </w:rPr>
        <w:t xml:space="preserve">, S., Gutiérrez, J., &amp; Pavón, J. (2020). </w:t>
      </w:r>
      <w:r w:rsidRPr="00BF4551">
        <w:rPr>
          <w:rFonts w:eastAsia="DengXian" w:cs="Times New Roman"/>
          <w:kern w:val="2"/>
          <w:szCs w:val="24"/>
          <w:lang w:val="en-GB" w:eastAsia="zh-CN"/>
          <w14:ligatures w14:val="standardContextual"/>
        </w:rPr>
        <w:t xml:space="preserve">How do pedagogical approaches affect the impact of augmented reality on education? A meta-analysis and research synthesis. </w:t>
      </w:r>
      <w:r w:rsidRPr="00BF4551">
        <w:rPr>
          <w:rFonts w:eastAsia="DengXian" w:cs="Times New Roman"/>
          <w:i/>
          <w:iCs/>
          <w:kern w:val="2"/>
          <w:szCs w:val="24"/>
          <w:lang w:val="en-GB" w:eastAsia="zh-CN"/>
          <w14:ligatures w14:val="standardContextual"/>
        </w:rPr>
        <w:t>Educational Research Review, 31</w:t>
      </w:r>
      <w:r w:rsidRPr="00BF4551">
        <w:rPr>
          <w:rFonts w:eastAsia="DengXian" w:cs="Times New Roman"/>
          <w:kern w:val="2"/>
          <w:szCs w:val="24"/>
          <w:lang w:val="en-GB" w:eastAsia="zh-CN"/>
          <w14:ligatures w14:val="standardContextual"/>
        </w:rPr>
        <w:t xml:space="preserve">, 100334. </w:t>
      </w:r>
      <w:hyperlink r:id="rId17" w:tgtFrame="_new" w:history="1">
        <w:r w:rsidRPr="00BF4551">
          <w:rPr>
            <w:rStyle w:val="Hipervnculo"/>
            <w:rFonts w:eastAsia="DengXian" w:cs="Times New Roman"/>
            <w:kern w:val="2"/>
            <w:szCs w:val="24"/>
            <w:lang w:val="en-GB" w:eastAsia="zh-CN"/>
            <w14:ligatures w14:val="standardContextual"/>
          </w:rPr>
          <w:t>https://doi.org/10.1016/j.edurev.2020.100334</w:t>
        </w:r>
      </w:hyperlink>
      <w:r w:rsidRPr="00BF4551">
        <w:rPr>
          <w:rFonts w:eastAsia="DengXian" w:cs="Times New Roman"/>
          <w:kern w:val="2"/>
          <w:szCs w:val="24"/>
          <w:lang w:val="en-GB" w:eastAsia="zh-CN"/>
          <w14:ligatures w14:val="standardContextual"/>
        </w:rPr>
        <w:t xml:space="preserve"> </w:t>
      </w:r>
    </w:p>
    <w:p w14:paraId="59B0E1AD"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n-GB" w:eastAsia="zh-CN"/>
          <w14:ligatures w14:val="standardContextual"/>
        </w:rPr>
        <w:t xml:space="preserve">Gemini Team. (2024). </w:t>
      </w:r>
      <w:r w:rsidRPr="00BF4551">
        <w:rPr>
          <w:rFonts w:eastAsia="DengXian" w:cs="Times New Roman"/>
          <w:i/>
          <w:iCs/>
          <w:kern w:val="2"/>
          <w:szCs w:val="24"/>
          <w:lang w:val="en-GB" w:eastAsia="zh-CN"/>
          <w14:ligatures w14:val="standardContextual"/>
        </w:rPr>
        <w:t>Gemini 1.5: Unlocking multimodal understanding across millions of tokens of context</w:t>
      </w:r>
      <w:r w:rsidRPr="00BF4551">
        <w:rPr>
          <w:rFonts w:eastAsia="DengXian" w:cs="Times New Roman"/>
          <w:kern w:val="2"/>
          <w:szCs w:val="24"/>
          <w:lang w:val="en-GB" w:eastAsia="zh-CN"/>
          <w14:ligatures w14:val="standardContextual"/>
        </w:rPr>
        <w:t xml:space="preserve"> (arXiv:2403.05530v1). </w:t>
      </w:r>
      <w:proofErr w:type="spellStart"/>
      <w:r w:rsidRPr="00BF4551">
        <w:rPr>
          <w:rFonts w:eastAsia="DengXian" w:cs="Times New Roman"/>
          <w:kern w:val="2"/>
          <w:szCs w:val="24"/>
          <w:lang w:val="en-GB" w:eastAsia="zh-CN"/>
          <w14:ligatures w14:val="standardContextual"/>
        </w:rPr>
        <w:t>arXiv</w:t>
      </w:r>
      <w:proofErr w:type="spellEnd"/>
      <w:r w:rsidRPr="00BF4551">
        <w:rPr>
          <w:rFonts w:eastAsia="DengXian" w:cs="Times New Roman"/>
          <w:kern w:val="2"/>
          <w:szCs w:val="24"/>
          <w:lang w:val="en-GB" w:eastAsia="zh-CN"/>
          <w14:ligatures w14:val="standardContextual"/>
        </w:rPr>
        <w:t xml:space="preserve">. </w:t>
      </w:r>
    </w:p>
    <w:p w14:paraId="71CEA1F4"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proofErr w:type="spellStart"/>
      <w:r w:rsidRPr="00BF4551">
        <w:rPr>
          <w:rFonts w:eastAsia="DengXian" w:cs="Times New Roman"/>
          <w:kern w:val="2"/>
          <w:szCs w:val="24"/>
          <w:lang w:val="en-GB" w:eastAsia="zh-CN"/>
          <w14:ligatures w14:val="standardContextual"/>
        </w:rPr>
        <w:t>Groq</w:t>
      </w:r>
      <w:proofErr w:type="spellEnd"/>
      <w:r w:rsidRPr="00BF4551">
        <w:rPr>
          <w:rFonts w:eastAsia="DengXian" w:cs="Times New Roman"/>
          <w:kern w:val="2"/>
          <w:szCs w:val="24"/>
          <w:lang w:val="en-GB" w:eastAsia="zh-CN"/>
          <w14:ligatures w14:val="standardContextual"/>
        </w:rPr>
        <w:t xml:space="preserve">. (2024). </w:t>
      </w:r>
      <w:r w:rsidRPr="00BF4551">
        <w:rPr>
          <w:rFonts w:eastAsia="DengXian" w:cs="Times New Roman"/>
          <w:i/>
          <w:iCs/>
          <w:kern w:val="2"/>
          <w:szCs w:val="24"/>
          <w:lang w:val="en-GB" w:eastAsia="zh-CN"/>
          <w14:ligatures w14:val="standardContextual"/>
        </w:rPr>
        <w:t>Language processing units (LPUs) and the future of high-speed sequential inference</w:t>
      </w:r>
      <w:r w:rsidRPr="00BF4551">
        <w:rPr>
          <w:rFonts w:eastAsia="DengXian" w:cs="Times New Roman"/>
          <w:kern w:val="2"/>
          <w:szCs w:val="24"/>
          <w:lang w:val="en-GB" w:eastAsia="zh-CN"/>
          <w14:ligatures w14:val="standardContextual"/>
        </w:rPr>
        <w:t xml:space="preserve">. </w:t>
      </w:r>
      <w:proofErr w:type="spellStart"/>
      <w:r w:rsidRPr="00BF4551">
        <w:rPr>
          <w:rFonts w:eastAsia="DengXian" w:cs="Times New Roman"/>
          <w:kern w:val="2"/>
          <w:szCs w:val="24"/>
          <w:lang w:val="en-GB" w:eastAsia="zh-CN"/>
          <w14:ligatures w14:val="standardContextual"/>
        </w:rPr>
        <w:t>Groq</w:t>
      </w:r>
      <w:proofErr w:type="spellEnd"/>
      <w:r w:rsidRPr="00BF4551">
        <w:rPr>
          <w:rFonts w:eastAsia="DengXian" w:cs="Times New Roman"/>
          <w:kern w:val="2"/>
          <w:szCs w:val="24"/>
          <w:lang w:val="en-GB" w:eastAsia="zh-CN"/>
          <w14:ligatures w14:val="standardContextual"/>
        </w:rPr>
        <w:t xml:space="preserve"> Whitepaper Series. </w:t>
      </w:r>
    </w:p>
    <w:p w14:paraId="1F28145D"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de-DE" w:eastAsia="zh-CN"/>
          <w14:ligatures w14:val="standardContextual"/>
        </w:rPr>
        <w:t xml:space="preserve">Huang, R., Ritzhaupt, A. D., Sommer, M., Zhu, J., Stephen, A., Valle, N., Hampton, J., &amp; Li, J. (2020). </w:t>
      </w:r>
      <w:r w:rsidRPr="00BF4551">
        <w:rPr>
          <w:rFonts w:eastAsia="DengXian" w:cs="Times New Roman"/>
          <w:kern w:val="2"/>
          <w:szCs w:val="24"/>
          <w:lang w:val="en-GB" w:eastAsia="zh-CN"/>
          <w14:ligatures w14:val="standardContextual"/>
        </w:rPr>
        <w:t xml:space="preserve">The impact of gamification in educational settings on student learning outcomes: A meta-analysis.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Research</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Development</w:t>
      </w:r>
      <w:proofErr w:type="spellEnd"/>
      <w:r w:rsidRPr="00BF4551">
        <w:rPr>
          <w:rFonts w:eastAsia="DengXian" w:cs="Times New Roman"/>
          <w:i/>
          <w:iCs/>
          <w:kern w:val="2"/>
          <w:szCs w:val="24"/>
          <w:lang w:val="es-EC" w:eastAsia="zh-CN"/>
          <w14:ligatures w14:val="standardContextual"/>
        </w:rPr>
        <w:t>, 68</w:t>
      </w:r>
      <w:r w:rsidRPr="00BF4551">
        <w:rPr>
          <w:rFonts w:eastAsia="DengXian" w:cs="Times New Roman"/>
          <w:kern w:val="2"/>
          <w:szCs w:val="24"/>
          <w:lang w:val="es-EC" w:eastAsia="zh-CN"/>
          <w14:ligatures w14:val="standardContextual"/>
        </w:rPr>
        <w:t xml:space="preserve">(4), 1875–1901. </w:t>
      </w:r>
      <w:hyperlink r:id="rId18" w:tgtFrame="_new" w:history="1">
        <w:r w:rsidRPr="00BF4551">
          <w:rPr>
            <w:rStyle w:val="Hipervnculo"/>
            <w:rFonts w:eastAsia="DengXian" w:cs="Times New Roman"/>
            <w:kern w:val="2"/>
            <w:szCs w:val="24"/>
            <w:lang w:val="es-EC" w:eastAsia="zh-CN"/>
            <w14:ligatures w14:val="standardContextual"/>
          </w:rPr>
          <w:t>https://doi.org/10.1007/s11423-020-09807-z</w:t>
        </w:r>
      </w:hyperlink>
      <w:r w:rsidRPr="00BF4551">
        <w:rPr>
          <w:rFonts w:eastAsia="DengXian" w:cs="Times New Roman"/>
          <w:kern w:val="2"/>
          <w:szCs w:val="24"/>
          <w:lang w:val="es-EC" w:eastAsia="zh-CN"/>
          <w14:ligatures w14:val="standardContextual"/>
        </w:rPr>
        <w:t xml:space="preserve"> </w:t>
      </w:r>
    </w:p>
    <w:p w14:paraId="5FA1FE0A"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fr-FR" w:eastAsia="zh-CN"/>
          <w14:ligatures w14:val="standardContextual"/>
        </w:rPr>
        <w:t xml:space="preserve">Hwang, G.-J., Tu, Y.-F., &amp; Lin, C.-J. (2021). </w:t>
      </w:r>
      <w:r w:rsidRPr="00BF4551">
        <w:rPr>
          <w:rFonts w:eastAsia="DengXian" w:cs="Times New Roman"/>
          <w:kern w:val="2"/>
          <w:szCs w:val="24"/>
          <w:lang w:val="en-GB" w:eastAsia="zh-CN"/>
          <w14:ligatures w14:val="standardContextual"/>
        </w:rPr>
        <w:t xml:space="preserve">Advancements and hot research topics of artificial intelligence in mobile learning: A review of journal publications from 1995 to 2019. </w:t>
      </w:r>
      <w:r w:rsidRPr="00BF4551">
        <w:rPr>
          <w:rFonts w:eastAsia="DengXian" w:cs="Times New Roman"/>
          <w:i/>
          <w:iCs/>
          <w:kern w:val="2"/>
          <w:szCs w:val="24"/>
          <w:lang w:val="es-EC" w:eastAsia="zh-CN"/>
          <w14:ligatures w14:val="standardContextual"/>
        </w:rPr>
        <w:t xml:space="preserve">International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Mobile </w:t>
      </w:r>
      <w:proofErr w:type="spellStart"/>
      <w:r w:rsidRPr="00BF4551">
        <w:rPr>
          <w:rFonts w:eastAsia="DengXian" w:cs="Times New Roman"/>
          <w:i/>
          <w:iCs/>
          <w:kern w:val="2"/>
          <w:szCs w:val="24"/>
          <w:lang w:val="es-EC" w:eastAsia="zh-CN"/>
          <w14:ligatures w14:val="standardContextual"/>
        </w:rPr>
        <w:t>Learning</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Organisation</w:t>
      </w:r>
      <w:proofErr w:type="spellEnd"/>
      <w:r w:rsidRPr="00BF4551">
        <w:rPr>
          <w:rFonts w:eastAsia="DengXian" w:cs="Times New Roman"/>
          <w:i/>
          <w:iCs/>
          <w:kern w:val="2"/>
          <w:szCs w:val="24"/>
          <w:lang w:val="es-EC" w:eastAsia="zh-CN"/>
          <w14:ligatures w14:val="standardContextual"/>
        </w:rPr>
        <w:t>, 15</w:t>
      </w:r>
      <w:r w:rsidRPr="00BF4551">
        <w:rPr>
          <w:rFonts w:eastAsia="DengXian" w:cs="Times New Roman"/>
          <w:kern w:val="2"/>
          <w:szCs w:val="24"/>
          <w:lang w:val="es-EC" w:eastAsia="zh-CN"/>
          <w14:ligatures w14:val="standardContextual"/>
        </w:rPr>
        <w:t xml:space="preserve">(4), 427–447. </w:t>
      </w:r>
    </w:p>
    <w:p w14:paraId="649B9FB2"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de-DE" w:eastAsia="zh-CN"/>
          <w14:ligatures w14:val="standardContextual"/>
        </w:rPr>
        <w:t xml:space="preserve">Hwang, G.-J., Xie, H., Wah, B. W., &amp; Gašević, D. (2020). </w:t>
      </w:r>
      <w:r w:rsidRPr="00BF4551">
        <w:rPr>
          <w:rFonts w:eastAsia="DengXian" w:cs="Times New Roman"/>
          <w:kern w:val="2"/>
          <w:szCs w:val="24"/>
          <w:lang w:val="en-GB" w:eastAsia="zh-CN"/>
          <w14:ligatures w14:val="standardContextual"/>
        </w:rPr>
        <w:t xml:space="preserve">Vision, challenges, roles and research issues of artificial intelligence in education. </w:t>
      </w:r>
      <w:proofErr w:type="spellStart"/>
      <w:r w:rsidRPr="00BF4551">
        <w:rPr>
          <w:rFonts w:eastAsia="DengXian" w:cs="Times New Roman"/>
          <w:i/>
          <w:iCs/>
          <w:kern w:val="2"/>
          <w:szCs w:val="24"/>
          <w:lang w:val="es-EC" w:eastAsia="zh-CN"/>
          <w14:ligatures w14:val="standardContextual"/>
        </w:rPr>
        <w:t>Computers</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Artificial </w:t>
      </w:r>
      <w:proofErr w:type="spellStart"/>
      <w:r w:rsidRPr="00BF4551">
        <w:rPr>
          <w:rFonts w:eastAsia="DengXian" w:cs="Times New Roman"/>
          <w:i/>
          <w:iCs/>
          <w:kern w:val="2"/>
          <w:szCs w:val="24"/>
          <w:lang w:val="es-EC" w:eastAsia="zh-CN"/>
          <w14:ligatures w14:val="standardContextual"/>
        </w:rPr>
        <w:t>Intelligence</w:t>
      </w:r>
      <w:proofErr w:type="spellEnd"/>
      <w:r w:rsidRPr="00BF4551">
        <w:rPr>
          <w:rFonts w:eastAsia="DengXian" w:cs="Times New Roman"/>
          <w:i/>
          <w:iCs/>
          <w:kern w:val="2"/>
          <w:szCs w:val="24"/>
          <w:lang w:val="es-EC" w:eastAsia="zh-CN"/>
          <w14:ligatures w14:val="standardContextual"/>
        </w:rPr>
        <w:t>, 1</w:t>
      </w:r>
      <w:r w:rsidRPr="00BF4551">
        <w:rPr>
          <w:rFonts w:eastAsia="DengXian" w:cs="Times New Roman"/>
          <w:kern w:val="2"/>
          <w:szCs w:val="24"/>
          <w:lang w:val="es-EC" w:eastAsia="zh-CN"/>
          <w14:ligatures w14:val="standardContextual"/>
        </w:rPr>
        <w:t xml:space="preserve">, 100001. </w:t>
      </w:r>
    </w:p>
    <w:p w14:paraId="414A563E"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de-DE" w:eastAsia="zh-CN"/>
          <w14:ligatures w14:val="standardContextual"/>
        </w:rPr>
        <w:t xml:space="preserve">Hwang, G.-J., &amp; Chang, C.-Y. (2026). </w:t>
      </w:r>
      <w:r w:rsidRPr="00BF4551">
        <w:rPr>
          <w:rFonts w:eastAsia="DengXian" w:cs="Times New Roman"/>
          <w:kern w:val="2"/>
          <w:szCs w:val="24"/>
          <w:lang w:val="en-GB" w:eastAsia="zh-CN"/>
          <w14:ligatures w14:val="standardContextual"/>
        </w:rPr>
        <w:t xml:space="preserve">Conversational agents as cognitive partners in virtual science laboratories: Trends, architecture and pedagogical implications. </w:t>
      </w:r>
      <w:r w:rsidRPr="00BF4551">
        <w:rPr>
          <w:rFonts w:eastAsia="DengXian" w:cs="Times New Roman"/>
          <w:i/>
          <w:iCs/>
          <w:kern w:val="2"/>
          <w:szCs w:val="24"/>
          <w:lang w:val="en-GB" w:eastAsia="zh-CN"/>
          <w14:ligatures w14:val="standardContextual"/>
        </w:rPr>
        <w:t>Computers &amp; Education: Artificial Intelligence, 8</w:t>
      </w:r>
      <w:r w:rsidRPr="00BF4551">
        <w:rPr>
          <w:rFonts w:eastAsia="DengXian" w:cs="Times New Roman"/>
          <w:kern w:val="2"/>
          <w:szCs w:val="24"/>
          <w:lang w:val="en-GB" w:eastAsia="zh-CN"/>
          <w14:ligatures w14:val="standardContextual"/>
        </w:rPr>
        <w:t xml:space="preserve">, Article 100290. </w:t>
      </w:r>
    </w:p>
    <w:p w14:paraId="5BDB558C"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n-GB" w:eastAsia="zh-CN"/>
          <w14:ligatures w14:val="standardContextual"/>
        </w:rPr>
        <w:t xml:space="preserve">Kamińska, D., </w:t>
      </w:r>
      <w:proofErr w:type="spellStart"/>
      <w:r w:rsidRPr="00BF4551">
        <w:rPr>
          <w:rFonts w:eastAsia="DengXian" w:cs="Times New Roman"/>
          <w:kern w:val="2"/>
          <w:szCs w:val="24"/>
          <w:lang w:val="en-GB" w:eastAsia="zh-CN"/>
          <w14:ligatures w14:val="standardContextual"/>
        </w:rPr>
        <w:t>Zwoliński</w:t>
      </w:r>
      <w:proofErr w:type="spellEnd"/>
      <w:r w:rsidRPr="00BF4551">
        <w:rPr>
          <w:rFonts w:eastAsia="DengXian" w:cs="Times New Roman"/>
          <w:kern w:val="2"/>
          <w:szCs w:val="24"/>
          <w:lang w:val="en-GB" w:eastAsia="zh-CN"/>
          <w14:ligatures w14:val="standardContextual"/>
        </w:rPr>
        <w:t>, G., Laska-</w:t>
      </w:r>
      <w:proofErr w:type="spellStart"/>
      <w:r w:rsidRPr="00BF4551">
        <w:rPr>
          <w:rFonts w:eastAsia="DengXian" w:cs="Times New Roman"/>
          <w:kern w:val="2"/>
          <w:szCs w:val="24"/>
          <w:lang w:val="en-GB" w:eastAsia="zh-CN"/>
          <w14:ligatures w14:val="standardContextual"/>
        </w:rPr>
        <w:t>Leśniewicz</w:t>
      </w:r>
      <w:proofErr w:type="spellEnd"/>
      <w:r w:rsidRPr="00BF4551">
        <w:rPr>
          <w:rFonts w:eastAsia="DengXian" w:cs="Times New Roman"/>
          <w:kern w:val="2"/>
          <w:szCs w:val="24"/>
          <w:lang w:val="en-GB" w:eastAsia="zh-CN"/>
          <w14:ligatures w14:val="standardContextual"/>
        </w:rPr>
        <w:t xml:space="preserve">, A., Raposo, R., </w:t>
      </w:r>
      <w:proofErr w:type="spellStart"/>
      <w:r w:rsidRPr="00BF4551">
        <w:rPr>
          <w:rFonts w:eastAsia="DengXian" w:cs="Times New Roman"/>
          <w:kern w:val="2"/>
          <w:szCs w:val="24"/>
          <w:lang w:val="en-GB" w:eastAsia="zh-CN"/>
          <w14:ligatures w14:val="standardContextual"/>
        </w:rPr>
        <w:t>Vairinhos</w:t>
      </w:r>
      <w:proofErr w:type="spellEnd"/>
      <w:r w:rsidRPr="00BF4551">
        <w:rPr>
          <w:rFonts w:eastAsia="DengXian" w:cs="Times New Roman"/>
          <w:kern w:val="2"/>
          <w:szCs w:val="24"/>
          <w:lang w:val="en-GB" w:eastAsia="zh-CN"/>
          <w14:ligatures w14:val="standardContextual"/>
        </w:rPr>
        <w:t xml:space="preserve">, M., Reis, R., &amp; Oliveira, M. (2023). Augmented reality: Current and new trends in education. </w:t>
      </w:r>
      <w:r w:rsidRPr="00BF4551">
        <w:rPr>
          <w:rFonts w:eastAsia="DengXian" w:cs="Times New Roman"/>
          <w:i/>
          <w:iCs/>
          <w:kern w:val="2"/>
          <w:szCs w:val="24"/>
          <w:lang w:val="en-GB" w:eastAsia="zh-CN"/>
          <w14:ligatures w14:val="standardContextual"/>
        </w:rPr>
        <w:t>Electronics, 12</w:t>
      </w:r>
      <w:r w:rsidRPr="00BF4551">
        <w:rPr>
          <w:rFonts w:eastAsia="DengXian" w:cs="Times New Roman"/>
          <w:kern w:val="2"/>
          <w:szCs w:val="24"/>
          <w:lang w:val="en-GB" w:eastAsia="zh-CN"/>
          <w14:ligatures w14:val="standardContextual"/>
        </w:rPr>
        <w:t xml:space="preserve">(16), Article 3531. </w:t>
      </w:r>
    </w:p>
    <w:p w14:paraId="086DD193"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de-DE" w:eastAsia="zh-CN"/>
          <w14:ligatures w14:val="standardContextual"/>
        </w:rPr>
        <w:lastRenderedPageBreak/>
        <w:t>Kasneci</w:t>
      </w:r>
      <w:proofErr w:type="spellEnd"/>
      <w:r w:rsidRPr="00BF4551">
        <w:rPr>
          <w:rFonts w:eastAsia="DengXian" w:cs="Times New Roman"/>
          <w:kern w:val="2"/>
          <w:szCs w:val="24"/>
          <w:lang w:val="de-DE" w:eastAsia="zh-CN"/>
          <w14:ligatures w14:val="standardContextual"/>
        </w:rPr>
        <w:t xml:space="preserve">, E., </w:t>
      </w:r>
      <w:proofErr w:type="spellStart"/>
      <w:r w:rsidRPr="00BF4551">
        <w:rPr>
          <w:rFonts w:eastAsia="DengXian" w:cs="Times New Roman"/>
          <w:kern w:val="2"/>
          <w:szCs w:val="24"/>
          <w:lang w:val="de-DE" w:eastAsia="zh-CN"/>
          <w14:ligatures w14:val="standardContextual"/>
        </w:rPr>
        <w:t>Küchemann</w:t>
      </w:r>
      <w:proofErr w:type="spellEnd"/>
      <w:r w:rsidRPr="00BF4551">
        <w:rPr>
          <w:rFonts w:eastAsia="DengXian" w:cs="Times New Roman"/>
          <w:kern w:val="2"/>
          <w:szCs w:val="24"/>
          <w:lang w:val="de-DE" w:eastAsia="zh-CN"/>
          <w14:ligatures w14:val="standardContextual"/>
        </w:rPr>
        <w:t xml:space="preserve">, S., &amp; Fischer, F. (2025). </w:t>
      </w:r>
      <w:r w:rsidRPr="00BF4551">
        <w:rPr>
          <w:rFonts w:eastAsia="DengXian" w:cs="Times New Roman"/>
          <w:kern w:val="2"/>
          <w:szCs w:val="24"/>
          <w:lang w:val="en-GB" w:eastAsia="zh-CN"/>
          <w14:ligatures w14:val="standardContextual"/>
        </w:rPr>
        <w:t xml:space="preserve">Generative artificial intelligence and large language models in schooling ecosystems: A milestone review of pedagogical roles, challenges, and future research directions.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Psychology</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Review</w:t>
      </w:r>
      <w:proofErr w:type="spellEnd"/>
      <w:r w:rsidRPr="00BF4551">
        <w:rPr>
          <w:rFonts w:eastAsia="DengXian" w:cs="Times New Roman"/>
          <w:i/>
          <w:iCs/>
          <w:kern w:val="2"/>
          <w:szCs w:val="24"/>
          <w:lang w:val="es-EC" w:eastAsia="zh-CN"/>
          <w14:ligatures w14:val="standardContextual"/>
        </w:rPr>
        <w:t>, 37</w:t>
      </w:r>
      <w:r w:rsidRPr="00BF4551">
        <w:rPr>
          <w:rFonts w:eastAsia="DengXian" w:cs="Times New Roman"/>
          <w:kern w:val="2"/>
          <w:szCs w:val="24"/>
          <w:lang w:val="es-EC" w:eastAsia="zh-CN"/>
          <w14:ligatures w14:val="standardContextual"/>
        </w:rPr>
        <w:t xml:space="preserve">(1), 45–68. </w:t>
      </w:r>
    </w:p>
    <w:p w14:paraId="780DB596"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de-DE" w:eastAsia="zh-CN"/>
          <w14:ligatures w14:val="standardContextual"/>
        </w:rPr>
        <w:t>Kasneci</w:t>
      </w:r>
      <w:proofErr w:type="spellEnd"/>
      <w:r w:rsidRPr="00BF4551">
        <w:rPr>
          <w:rFonts w:eastAsia="DengXian" w:cs="Times New Roman"/>
          <w:kern w:val="2"/>
          <w:szCs w:val="24"/>
          <w:lang w:val="de-DE" w:eastAsia="zh-CN"/>
          <w14:ligatures w14:val="standardContextual"/>
        </w:rPr>
        <w:t xml:space="preserve">, E., Seßler, K., </w:t>
      </w:r>
      <w:proofErr w:type="spellStart"/>
      <w:r w:rsidRPr="00BF4551">
        <w:rPr>
          <w:rFonts w:eastAsia="DengXian" w:cs="Times New Roman"/>
          <w:kern w:val="2"/>
          <w:szCs w:val="24"/>
          <w:lang w:val="de-DE" w:eastAsia="zh-CN"/>
          <w14:ligatures w14:val="standardContextual"/>
        </w:rPr>
        <w:t>Küchemann</w:t>
      </w:r>
      <w:proofErr w:type="spellEnd"/>
      <w:r w:rsidRPr="00BF4551">
        <w:rPr>
          <w:rFonts w:eastAsia="DengXian" w:cs="Times New Roman"/>
          <w:kern w:val="2"/>
          <w:szCs w:val="24"/>
          <w:lang w:val="de-DE" w:eastAsia="zh-CN"/>
          <w14:ligatures w14:val="standardContextual"/>
        </w:rPr>
        <w:t xml:space="preserve">, S., Bannert, M., Dementieva, D., Fischer, F., Gasser, U., Groh, G., </w:t>
      </w:r>
      <w:proofErr w:type="spellStart"/>
      <w:r w:rsidRPr="00BF4551">
        <w:rPr>
          <w:rFonts w:eastAsia="DengXian" w:cs="Times New Roman"/>
          <w:kern w:val="2"/>
          <w:szCs w:val="24"/>
          <w:lang w:val="de-DE" w:eastAsia="zh-CN"/>
          <w14:ligatures w14:val="standardContextual"/>
        </w:rPr>
        <w:t>Günnemann</w:t>
      </w:r>
      <w:proofErr w:type="spellEnd"/>
      <w:r w:rsidRPr="00BF4551">
        <w:rPr>
          <w:rFonts w:eastAsia="DengXian" w:cs="Times New Roman"/>
          <w:kern w:val="2"/>
          <w:szCs w:val="24"/>
          <w:lang w:val="de-DE" w:eastAsia="zh-CN"/>
          <w14:ligatures w14:val="standardContextual"/>
        </w:rPr>
        <w:t xml:space="preserve">, S., </w:t>
      </w:r>
      <w:proofErr w:type="spellStart"/>
      <w:r w:rsidRPr="00BF4551">
        <w:rPr>
          <w:rFonts w:eastAsia="DengXian" w:cs="Times New Roman"/>
          <w:kern w:val="2"/>
          <w:szCs w:val="24"/>
          <w:lang w:val="de-DE" w:eastAsia="zh-CN"/>
          <w14:ligatures w14:val="standardContextual"/>
        </w:rPr>
        <w:t>Hüllermeier</w:t>
      </w:r>
      <w:proofErr w:type="spellEnd"/>
      <w:r w:rsidRPr="00BF4551">
        <w:rPr>
          <w:rFonts w:eastAsia="DengXian" w:cs="Times New Roman"/>
          <w:kern w:val="2"/>
          <w:szCs w:val="24"/>
          <w:lang w:val="de-DE" w:eastAsia="zh-CN"/>
          <w14:ligatures w14:val="standardContextual"/>
        </w:rPr>
        <w:t xml:space="preserve">, E., Kruber, S., Kuber, G., Sachs, S., Shepperd, M., Stadler, M., Stürmer, K., &amp; Wachter, S. (2023). </w:t>
      </w:r>
      <w:r w:rsidRPr="00BF4551">
        <w:rPr>
          <w:rFonts w:eastAsia="DengXian" w:cs="Times New Roman"/>
          <w:kern w:val="2"/>
          <w:szCs w:val="24"/>
          <w:lang w:val="en-GB" w:eastAsia="zh-CN"/>
          <w14:ligatures w14:val="standardContextual"/>
        </w:rPr>
        <w:t xml:space="preserve">ChatGPT for good? On opportunities and challenges of large language models for education. </w:t>
      </w:r>
      <w:proofErr w:type="spellStart"/>
      <w:r w:rsidRPr="00BF4551">
        <w:rPr>
          <w:rFonts w:eastAsia="DengXian" w:cs="Times New Roman"/>
          <w:i/>
          <w:iCs/>
          <w:kern w:val="2"/>
          <w:szCs w:val="24"/>
          <w:lang w:val="es-EC" w:eastAsia="zh-CN"/>
          <w14:ligatures w14:val="standardContextual"/>
        </w:rPr>
        <w:t>Learning</w:t>
      </w:r>
      <w:proofErr w:type="spellEnd"/>
      <w:r w:rsidRPr="00BF4551">
        <w:rPr>
          <w:rFonts w:eastAsia="DengXian" w:cs="Times New Roman"/>
          <w:i/>
          <w:iCs/>
          <w:kern w:val="2"/>
          <w:szCs w:val="24"/>
          <w:lang w:val="es-EC" w:eastAsia="zh-CN"/>
          <w14:ligatures w14:val="standardContextual"/>
        </w:rPr>
        <w:t xml:space="preserve"> and Individual </w:t>
      </w:r>
      <w:proofErr w:type="spellStart"/>
      <w:r w:rsidRPr="00BF4551">
        <w:rPr>
          <w:rFonts w:eastAsia="DengXian" w:cs="Times New Roman"/>
          <w:i/>
          <w:iCs/>
          <w:kern w:val="2"/>
          <w:szCs w:val="24"/>
          <w:lang w:val="es-EC" w:eastAsia="zh-CN"/>
          <w14:ligatures w14:val="standardContextual"/>
        </w:rPr>
        <w:t>Differences</w:t>
      </w:r>
      <w:proofErr w:type="spellEnd"/>
      <w:r w:rsidRPr="00BF4551">
        <w:rPr>
          <w:rFonts w:eastAsia="DengXian" w:cs="Times New Roman"/>
          <w:i/>
          <w:iCs/>
          <w:kern w:val="2"/>
          <w:szCs w:val="24"/>
          <w:lang w:val="es-EC" w:eastAsia="zh-CN"/>
          <w14:ligatures w14:val="standardContextual"/>
        </w:rPr>
        <w:t>, 103</w:t>
      </w:r>
      <w:r w:rsidRPr="00BF4551">
        <w:rPr>
          <w:rFonts w:eastAsia="DengXian" w:cs="Times New Roman"/>
          <w:kern w:val="2"/>
          <w:szCs w:val="24"/>
          <w:lang w:val="es-EC" w:eastAsia="zh-CN"/>
          <w14:ligatures w14:val="standardContextual"/>
        </w:rPr>
        <w:t xml:space="preserve">, 102274. </w:t>
      </w:r>
      <w:hyperlink r:id="rId19" w:tgtFrame="_new" w:history="1">
        <w:r w:rsidRPr="00BF4551">
          <w:rPr>
            <w:rStyle w:val="Hipervnculo"/>
            <w:rFonts w:eastAsia="DengXian" w:cs="Times New Roman"/>
            <w:kern w:val="2"/>
            <w:szCs w:val="24"/>
            <w:lang w:val="es-EC" w:eastAsia="zh-CN"/>
            <w14:ligatures w14:val="standardContextual"/>
          </w:rPr>
          <w:t>https://doi.org/10.1016/j.lindif.2023.102274</w:t>
        </w:r>
      </w:hyperlink>
      <w:r w:rsidRPr="00BF4551">
        <w:rPr>
          <w:rFonts w:eastAsia="DengXian" w:cs="Times New Roman"/>
          <w:kern w:val="2"/>
          <w:szCs w:val="24"/>
          <w:lang w:val="es-EC" w:eastAsia="zh-CN"/>
          <w14:ligatures w14:val="standardContextual"/>
        </w:rPr>
        <w:t xml:space="preserve"> </w:t>
      </w:r>
    </w:p>
    <w:p w14:paraId="40FC3CBE"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Kim, T., &amp; Park, J. (2024). A study of learning environment for initiating Flutter app development using Docker.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15</w:t>
      </w:r>
      <w:r w:rsidRPr="00BF4551">
        <w:rPr>
          <w:rFonts w:eastAsia="DengXian" w:cs="Times New Roman"/>
          <w:kern w:val="2"/>
          <w:szCs w:val="24"/>
          <w:lang w:val="es-EC" w:eastAsia="zh-CN"/>
          <w14:ligatures w14:val="standardContextual"/>
        </w:rPr>
        <w:t xml:space="preserve">(4),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191. </w:t>
      </w:r>
    </w:p>
    <w:p w14:paraId="27B32B9A"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es-EC" w:eastAsia="zh-CN"/>
          <w14:ligatures w14:val="standardContextual"/>
        </w:rPr>
        <w:t>Kuhail</w:t>
      </w:r>
      <w:proofErr w:type="spellEnd"/>
      <w:r w:rsidRPr="00BF4551">
        <w:rPr>
          <w:rFonts w:eastAsia="DengXian" w:cs="Times New Roman"/>
          <w:kern w:val="2"/>
          <w:szCs w:val="24"/>
          <w:lang w:val="es-EC" w:eastAsia="zh-CN"/>
          <w14:ligatures w14:val="standardContextual"/>
        </w:rPr>
        <w:t xml:space="preserve">, M. A., </w:t>
      </w:r>
      <w:proofErr w:type="spellStart"/>
      <w:r w:rsidRPr="00BF4551">
        <w:rPr>
          <w:rFonts w:eastAsia="DengXian" w:cs="Times New Roman"/>
          <w:kern w:val="2"/>
          <w:szCs w:val="24"/>
          <w:lang w:val="es-EC" w:eastAsia="zh-CN"/>
          <w14:ligatures w14:val="standardContextual"/>
        </w:rPr>
        <w:t>Alturki</w:t>
      </w:r>
      <w:proofErr w:type="spellEnd"/>
      <w:r w:rsidRPr="00BF4551">
        <w:rPr>
          <w:rFonts w:eastAsia="DengXian" w:cs="Times New Roman"/>
          <w:kern w:val="2"/>
          <w:szCs w:val="24"/>
          <w:lang w:val="es-EC" w:eastAsia="zh-CN"/>
          <w14:ligatures w14:val="standardContextual"/>
        </w:rPr>
        <w:t xml:space="preserve">, N., </w:t>
      </w:r>
      <w:proofErr w:type="spellStart"/>
      <w:r w:rsidRPr="00BF4551">
        <w:rPr>
          <w:rFonts w:eastAsia="DengXian" w:cs="Times New Roman"/>
          <w:kern w:val="2"/>
          <w:szCs w:val="24"/>
          <w:lang w:val="es-EC" w:eastAsia="zh-CN"/>
          <w14:ligatures w14:val="standardContextual"/>
        </w:rPr>
        <w:t>Alramlawi</w:t>
      </w:r>
      <w:proofErr w:type="spellEnd"/>
      <w:r w:rsidRPr="00BF4551">
        <w:rPr>
          <w:rFonts w:eastAsia="DengXian" w:cs="Times New Roman"/>
          <w:kern w:val="2"/>
          <w:szCs w:val="24"/>
          <w:lang w:val="es-EC" w:eastAsia="zh-CN"/>
          <w14:ligatures w14:val="standardContextual"/>
        </w:rPr>
        <w:t xml:space="preserve">, S., &amp; </w:t>
      </w:r>
      <w:proofErr w:type="spellStart"/>
      <w:r w:rsidRPr="00BF4551">
        <w:rPr>
          <w:rFonts w:eastAsia="DengXian" w:cs="Times New Roman"/>
          <w:kern w:val="2"/>
          <w:szCs w:val="24"/>
          <w:lang w:val="es-EC" w:eastAsia="zh-CN"/>
          <w14:ligatures w14:val="standardContextual"/>
        </w:rPr>
        <w:t>Alhejori</w:t>
      </w:r>
      <w:proofErr w:type="spellEnd"/>
      <w:r w:rsidRPr="00BF4551">
        <w:rPr>
          <w:rFonts w:eastAsia="DengXian" w:cs="Times New Roman"/>
          <w:kern w:val="2"/>
          <w:szCs w:val="24"/>
          <w:lang w:val="es-EC" w:eastAsia="zh-CN"/>
          <w14:ligatures w14:val="standardContextual"/>
        </w:rPr>
        <w:t xml:space="preserve">, K. (2023). </w:t>
      </w:r>
      <w:r w:rsidRPr="00BF4551">
        <w:rPr>
          <w:rFonts w:eastAsia="DengXian" w:cs="Times New Roman"/>
          <w:kern w:val="2"/>
          <w:szCs w:val="24"/>
          <w:lang w:val="en-GB" w:eastAsia="zh-CN"/>
          <w14:ligatures w14:val="standardContextual"/>
        </w:rPr>
        <w:t xml:space="preserve">Interacting with educational chatbots: A systematic review. </w:t>
      </w:r>
      <w:r w:rsidRPr="00BF4551">
        <w:rPr>
          <w:rFonts w:eastAsia="DengXian" w:cs="Times New Roman"/>
          <w:i/>
          <w:iCs/>
          <w:kern w:val="2"/>
          <w:szCs w:val="24"/>
          <w:lang w:val="en-GB" w:eastAsia="zh-CN"/>
          <w14:ligatures w14:val="standardContextual"/>
        </w:rPr>
        <w:t>Education and Information Technologies, 28</w:t>
      </w:r>
      <w:r w:rsidRPr="00BF4551">
        <w:rPr>
          <w:rFonts w:eastAsia="DengXian" w:cs="Times New Roman"/>
          <w:kern w:val="2"/>
          <w:szCs w:val="24"/>
          <w:lang w:val="en-GB" w:eastAsia="zh-CN"/>
          <w14:ligatures w14:val="standardContextual"/>
        </w:rPr>
        <w:t xml:space="preserve">(1), 973–1018. </w:t>
      </w:r>
      <w:hyperlink r:id="rId20" w:tgtFrame="_new" w:history="1">
        <w:r w:rsidRPr="00BF4551">
          <w:rPr>
            <w:rStyle w:val="Hipervnculo"/>
            <w:rFonts w:eastAsia="DengXian" w:cs="Times New Roman"/>
            <w:kern w:val="2"/>
            <w:szCs w:val="24"/>
            <w:lang w:val="es-EC" w:eastAsia="zh-CN"/>
            <w14:ligatures w14:val="standardContextual"/>
          </w:rPr>
          <w:t>https://doi.org/10.1007/s10639-022-11177-3</w:t>
        </w:r>
      </w:hyperlink>
      <w:r w:rsidRPr="00BF4551">
        <w:rPr>
          <w:rFonts w:eastAsia="DengXian" w:cs="Times New Roman"/>
          <w:kern w:val="2"/>
          <w:szCs w:val="24"/>
          <w:lang w:val="es-EC" w:eastAsia="zh-CN"/>
          <w14:ligatures w14:val="standardContextual"/>
        </w:rPr>
        <w:t xml:space="preserve"> </w:t>
      </w:r>
    </w:p>
    <w:p w14:paraId="1F9C7FF9"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Kumar, R., &amp; Singh, A. (2024). Design, integration, and deployment of a Flutter–Firebase mobile commerce application at Berlian Tech.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xml:space="preserve"> and Management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System</w:t>
      </w:r>
      <w:proofErr w:type="spellEnd"/>
      <w:r w:rsidRPr="00BF4551">
        <w:rPr>
          <w:rFonts w:eastAsia="DengXian" w:cs="Times New Roman"/>
          <w:i/>
          <w:iCs/>
          <w:kern w:val="2"/>
          <w:szCs w:val="24"/>
          <w:lang w:val="es-EC" w:eastAsia="zh-CN"/>
          <w14:ligatures w14:val="standardContextual"/>
        </w:rPr>
        <w:t xml:space="preserve"> (TMIT), 3</w:t>
      </w:r>
      <w:r w:rsidRPr="00BF4551">
        <w:rPr>
          <w:rFonts w:eastAsia="DengXian" w:cs="Times New Roman"/>
          <w:kern w:val="2"/>
          <w:szCs w:val="24"/>
          <w:lang w:val="es-EC" w:eastAsia="zh-CN"/>
          <w14:ligatures w14:val="standardContextual"/>
        </w:rPr>
        <w:t xml:space="preserve">(2), 45–58. </w:t>
      </w:r>
    </w:p>
    <w:p w14:paraId="51E642CE"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Kumar, R., &amp; Singh, A. (2024). Human-computer latency benchmarks: Empirical analysis of user retention and task completion rates in conversational mobile interfaces. </w:t>
      </w:r>
      <w:r w:rsidRPr="00BF4551">
        <w:rPr>
          <w:rFonts w:eastAsia="DengXian" w:cs="Times New Roman"/>
          <w:i/>
          <w:iCs/>
          <w:kern w:val="2"/>
          <w:szCs w:val="24"/>
          <w:lang w:val="es-EC" w:eastAsia="zh-CN"/>
          <w14:ligatures w14:val="standardContextual"/>
        </w:rPr>
        <w:t xml:space="preserve">International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Mobile Human-</w:t>
      </w:r>
      <w:proofErr w:type="spellStart"/>
      <w:r w:rsidRPr="00BF4551">
        <w:rPr>
          <w:rFonts w:eastAsia="DengXian" w:cs="Times New Roman"/>
          <w:i/>
          <w:iCs/>
          <w:kern w:val="2"/>
          <w:szCs w:val="24"/>
          <w:lang w:val="es-EC" w:eastAsia="zh-CN"/>
          <w14:ligatures w14:val="standardContextual"/>
        </w:rPr>
        <w:t>Computer</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Interaction</w:t>
      </w:r>
      <w:proofErr w:type="spellEnd"/>
      <w:r w:rsidRPr="00BF4551">
        <w:rPr>
          <w:rFonts w:eastAsia="DengXian" w:cs="Times New Roman"/>
          <w:i/>
          <w:iCs/>
          <w:kern w:val="2"/>
          <w:szCs w:val="24"/>
          <w:lang w:val="es-EC" w:eastAsia="zh-CN"/>
          <w14:ligatures w14:val="standardContextual"/>
        </w:rPr>
        <w:t>, 16</w:t>
      </w:r>
      <w:r w:rsidRPr="00BF4551">
        <w:rPr>
          <w:rFonts w:eastAsia="DengXian" w:cs="Times New Roman"/>
          <w:kern w:val="2"/>
          <w:szCs w:val="24"/>
          <w:lang w:val="es-EC" w:eastAsia="zh-CN"/>
          <w14:ligatures w14:val="standardContextual"/>
        </w:rPr>
        <w:t xml:space="preserve">(2), 102–119. </w:t>
      </w:r>
    </w:p>
    <w:p w14:paraId="099DC064"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pt-PT" w:eastAsia="zh-CN"/>
          <w14:ligatures w14:val="standardContextual"/>
        </w:rPr>
        <w:t xml:space="preserve">Lampropoulos, G., Keramopoulos, E., Diamantaras, K., &amp; Evangelidis, G. (2022). </w:t>
      </w:r>
      <w:r w:rsidRPr="00BF4551">
        <w:rPr>
          <w:rFonts w:eastAsia="DengXian" w:cs="Times New Roman"/>
          <w:kern w:val="2"/>
          <w:szCs w:val="24"/>
          <w:lang w:val="en-GB" w:eastAsia="zh-CN"/>
          <w14:ligatures w14:val="standardContextual"/>
        </w:rPr>
        <w:t xml:space="preserve">Augmented reality and gamification in education: A systematic literature review of research, applications, and empirical studies. </w:t>
      </w:r>
      <w:proofErr w:type="spellStart"/>
      <w:r w:rsidRPr="00BF4551">
        <w:rPr>
          <w:rFonts w:eastAsia="DengXian" w:cs="Times New Roman"/>
          <w:i/>
          <w:iCs/>
          <w:kern w:val="2"/>
          <w:szCs w:val="24"/>
          <w:lang w:val="es-EC" w:eastAsia="zh-CN"/>
          <w14:ligatures w14:val="standardContextual"/>
        </w:rPr>
        <w:t>Applied</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Sciences</w:t>
      </w:r>
      <w:proofErr w:type="spellEnd"/>
      <w:r w:rsidRPr="00BF4551">
        <w:rPr>
          <w:rFonts w:eastAsia="DengXian" w:cs="Times New Roman"/>
          <w:i/>
          <w:iCs/>
          <w:kern w:val="2"/>
          <w:szCs w:val="24"/>
          <w:lang w:val="es-EC" w:eastAsia="zh-CN"/>
          <w14:ligatures w14:val="standardContextual"/>
        </w:rPr>
        <w:t>, 12</w:t>
      </w:r>
      <w:r w:rsidRPr="00BF4551">
        <w:rPr>
          <w:rFonts w:eastAsia="DengXian" w:cs="Times New Roman"/>
          <w:kern w:val="2"/>
          <w:szCs w:val="24"/>
          <w:lang w:val="es-EC" w:eastAsia="zh-CN"/>
          <w14:ligatures w14:val="standardContextual"/>
        </w:rPr>
        <w:t xml:space="preserve">(13), 6809. </w:t>
      </w:r>
    </w:p>
    <w:p w14:paraId="03EA70D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Lin, F. (2024). </w:t>
      </w:r>
      <w:r w:rsidRPr="00BF4551">
        <w:rPr>
          <w:rFonts w:eastAsia="DengXian" w:cs="Times New Roman"/>
          <w:i/>
          <w:iCs/>
          <w:kern w:val="2"/>
          <w:szCs w:val="24"/>
          <w:lang w:val="en-GB" w:eastAsia="zh-CN"/>
          <w14:ligatures w14:val="standardContextual"/>
        </w:rPr>
        <w:t>A comparative analysis of Flutter and native mobile application development: Performance metrics, resource efficiency, and practical applicability</w:t>
      </w:r>
      <w:r w:rsidRPr="00BF4551">
        <w:rPr>
          <w:rFonts w:eastAsia="DengXian" w:cs="Times New Roman"/>
          <w:kern w:val="2"/>
          <w:szCs w:val="24"/>
          <w:lang w:val="en-GB" w:eastAsia="zh-CN"/>
          <w14:ligatures w14:val="standardContextual"/>
        </w:rPr>
        <w:t xml:space="preserve"> (Master's thesis, University of Amsterdam). </w:t>
      </w:r>
      <w:r w:rsidRPr="00BF4551">
        <w:rPr>
          <w:rFonts w:eastAsia="DengXian" w:cs="Times New Roman"/>
          <w:kern w:val="2"/>
          <w:szCs w:val="24"/>
          <w:lang w:val="es-EC" w:eastAsia="zh-CN"/>
          <w14:ligatures w14:val="standardContextual"/>
        </w:rPr>
        <w:t xml:space="preserve">Staff FNWI </w:t>
      </w:r>
      <w:proofErr w:type="spellStart"/>
      <w:r w:rsidRPr="00BF4551">
        <w:rPr>
          <w:rFonts w:eastAsia="DengXian" w:cs="Times New Roman"/>
          <w:kern w:val="2"/>
          <w:szCs w:val="24"/>
          <w:lang w:val="es-EC" w:eastAsia="zh-CN"/>
          <w14:ligatures w14:val="standardContextual"/>
        </w:rPr>
        <w:t>Repository</w:t>
      </w:r>
      <w:proofErr w:type="spellEnd"/>
      <w:r w:rsidRPr="00BF4551">
        <w:rPr>
          <w:rFonts w:eastAsia="DengXian" w:cs="Times New Roman"/>
          <w:kern w:val="2"/>
          <w:szCs w:val="24"/>
          <w:lang w:val="es-EC" w:eastAsia="zh-CN"/>
          <w14:ligatures w14:val="standardContextual"/>
        </w:rPr>
        <w:t xml:space="preserve">. </w:t>
      </w:r>
    </w:p>
    <w:p w14:paraId="53F841B2"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Lo, C. K. (2023). What is the impact of ChatGPT on education? A rapid review of the literature.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Sciences</w:t>
      </w:r>
      <w:proofErr w:type="spellEnd"/>
      <w:r w:rsidRPr="00BF4551">
        <w:rPr>
          <w:rFonts w:eastAsia="DengXian" w:cs="Times New Roman"/>
          <w:i/>
          <w:iCs/>
          <w:kern w:val="2"/>
          <w:szCs w:val="24"/>
          <w:lang w:val="es-EC" w:eastAsia="zh-CN"/>
          <w14:ligatures w14:val="standardContextual"/>
        </w:rPr>
        <w:t>, 13</w:t>
      </w:r>
      <w:r w:rsidRPr="00BF4551">
        <w:rPr>
          <w:rFonts w:eastAsia="DengXian" w:cs="Times New Roman"/>
          <w:kern w:val="2"/>
          <w:szCs w:val="24"/>
          <w:lang w:val="es-EC" w:eastAsia="zh-CN"/>
          <w14:ligatures w14:val="standardContextual"/>
        </w:rPr>
        <w:t xml:space="preserve">(4), 410. </w:t>
      </w:r>
      <w:hyperlink r:id="rId21" w:tgtFrame="_new" w:history="1">
        <w:r w:rsidRPr="00BF4551">
          <w:rPr>
            <w:rStyle w:val="Hipervnculo"/>
            <w:rFonts w:eastAsia="DengXian" w:cs="Times New Roman"/>
            <w:kern w:val="2"/>
            <w:szCs w:val="24"/>
            <w:lang w:val="es-EC" w:eastAsia="zh-CN"/>
            <w14:ligatures w14:val="standardContextual"/>
          </w:rPr>
          <w:t>https://doi.org/10.3390/educsci13040410</w:t>
        </w:r>
      </w:hyperlink>
      <w:r w:rsidRPr="00BF4551">
        <w:rPr>
          <w:rFonts w:eastAsia="DengXian" w:cs="Times New Roman"/>
          <w:kern w:val="2"/>
          <w:szCs w:val="24"/>
          <w:lang w:val="es-EC" w:eastAsia="zh-CN"/>
          <w14:ligatures w14:val="standardContextual"/>
        </w:rPr>
        <w:t xml:space="preserve"> </w:t>
      </w:r>
    </w:p>
    <w:p w14:paraId="75FD3615"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López-Belmonte, J., Pozo-Sánchez, S., Fuentes-Cabrera, A., &amp; Moreno-Guerrero, A.-J. (2024). </w:t>
      </w:r>
      <w:proofErr w:type="spellStart"/>
      <w:r w:rsidRPr="00BF4551">
        <w:rPr>
          <w:rFonts w:eastAsia="DengXian" w:cs="Times New Roman"/>
          <w:kern w:val="2"/>
          <w:szCs w:val="24"/>
          <w:lang w:val="es-EC" w:eastAsia="zh-CN"/>
          <w14:ligatures w14:val="standardContextual"/>
        </w:rPr>
        <w:t>Enhancing</w:t>
      </w:r>
      <w:proofErr w:type="spellEnd"/>
      <w:r w:rsidRPr="00BF4551">
        <w:rPr>
          <w:rFonts w:eastAsia="DengXian" w:cs="Times New Roman"/>
          <w:kern w:val="2"/>
          <w:szCs w:val="24"/>
          <w:lang w:val="es-EC" w:eastAsia="zh-CN"/>
          <w14:ligatures w14:val="standardContextual"/>
        </w:rPr>
        <w:t xml:space="preserve"> digital </w:t>
      </w:r>
      <w:proofErr w:type="spellStart"/>
      <w:r w:rsidRPr="00BF4551">
        <w:rPr>
          <w:rFonts w:eastAsia="DengXian" w:cs="Times New Roman"/>
          <w:kern w:val="2"/>
          <w:szCs w:val="24"/>
          <w:lang w:val="es-EC" w:eastAsia="zh-CN"/>
          <w14:ligatures w14:val="standardContextual"/>
        </w:rPr>
        <w:t>literacy</w:t>
      </w:r>
      <w:proofErr w:type="spellEnd"/>
      <w:r w:rsidRPr="00BF4551">
        <w:rPr>
          <w:rFonts w:eastAsia="DengXian" w:cs="Times New Roman"/>
          <w:kern w:val="2"/>
          <w:szCs w:val="24"/>
          <w:lang w:val="es-EC" w:eastAsia="zh-CN"/>
          <w14:ligatures w14:val="standardContextual"/>
        </w:rPr>
        <w:t xml:space="preserve"> in </w:t>
      </w:r>
      <w:proofErr w:type="spellStart"/>
      <w:r w:rsidRPr="00BF4551">
        <w:rPr>
          <w:rFonts w:eastAsia="DengXian" w:cs="Times New Roman"/>
          <w:kern w:val="2"/>
          <w:szCs w:val="24"/>
          <w:lang w:val="es-EC" w:eastAsia="zh-CN"/>
          <w14:ligatures w14:val="standardContextual"/>
        </w:rPr>
        <w:t>primary</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education</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through</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augmented</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reality-integrated</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mobile</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applications</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Frontiers</w:t>
      </w:r>
      <w:proofErr w:type="spellEnd"/>
      <w:r w:rsidRPr="00BF4551">
        <w:rPr>
          <w:rFonts w:eastAsia="DengXian" w:cs="Times New Roman"/>
          <w:i/>
          <w:iCs/>
          <w:kern w:val="2"/>
          <w:szCs w:val="24"/>
          <w:lang w:val="es-EC" w:eastAsia="zh-CN"/>
          <w14:ligatures w14:val="standardContextual"/>
        </w:rPr>
        <w:t xml:space="preserve"> in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9</w:t>
      </w:r>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1390491. </w:t>
      </w:r>
    </w:p>
    <w:p w14:paraId="0E10BD77"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López-Faican, L., </w:t>
      </w:r>
      <w:proofErr w:type="spellStart"/>
      <w:r w:rsidRPr="00BF4551">
        <w:rPr>
          <w:rFonts w:eastAsia="DengXian" w:cs="Times New Roman"/>
          <w:kern w:val="2"/>
          <w:szCs w:val="24"/>
          <w:lang w:val="es-EC" w:eastAsia="zh-CN"/>
          <w14:ligatures w14:val="standardContextual"/>
        </w:rPr>
        <w:t>Jaen</w:t>
      </w:r>
      <w:proofErr w:type="spellEnd"/>
      <w:r w:rsidRPr="00BF4551">
        <w:rPr>
          <w:rFonts w:eastAsia="DengXian" w:cs="Times New Roman"/>
          <w:kern w:val="2"/>
          <w:szCs w:val="24"/>
          <w:lang w:val="es-EC" w:eastAsia="zh-CN"/>
          <w14:ligatures w14:val="standardContextual"/>
        </w:rPr>
        <w:t xml:space="preserve">, J., &amp; Vargas, P. (2024). </w:t>
      </w:r>
      <w:r w:rsidRPr="00BF4551">
        <w:rPr>
          <w:rFonts w:eastAsia="DengXian" w:cs="Times New Roman"/>
          <w:kern w:val="2"/>
          <w:szCs w:val="24"/>
          <w:lang w:val="en-GB" w:eastAsia="zh-CN"/>
          <w14:ligatures w14:val="standardContextual"/>
        </w:rPr>
        <w:t xml:space="preserve">Mobile learning ecosystem configurations: Defining the boundary conditions of m-learning in low-resource environments. </w:t>
      </w:r>
      <w:proofErr w:type="spellStart"/>
      <w:r w:rsidRPr="00BF4551">
        <w:rPr>
          <w:rFonts w:eastAsia="DengXian" w:cs="Times New Roman"/>
          <w:i/>
          <w:iCs/>
          <w:kern w:val="2"/>
          <w:szCs w:val="24"/>
          <w:lang w:val="es-EC" w:eastAsia="zh-CN"/>
          <w14:ligatures w14:val="standardContextual"/>
        </w:rPr>
        <w:t>Computers</w:t>
      </w:r>
      <w:proofErr w:type="spellEnd"/>
      <w:r w:rsidRPr="00BF4551">
        <w:rPr>
          <w:rFonts w:eastAsia="DengXian" w:cs="Times New Roman"/>
          <w:i/>
          <w:iCs/>
          <w:kern w:val="2"/>
          <w:szCs w:val="24"/>
          <w:lang w:val="es-EC" w:eastAsia="zh-CN"/>
          <w14:ligatures w14:val="standardContextual"/>
        </w:rPr>
        <w:t xml:space="preserve"> &amp;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210</w:t>
      </w:r>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104950. </w:t>
      </w:r>
    </w:p>
    <w:p w14:paraId="33413F32"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López-Goyes, M. A., Solís-Castillo, J. F., &amp; Viteri-Naranjo, E. R. (2025). Implementación y efectividad de plataformas digitales en la educación ecuatoriana: Un análisis de sostenibilidad en contextos de vulnerabilidad. </w:t>
      </w:r>
      <w:r w:rsidRPr="00BF4551">
        <w:rPr>
          <w:rFonts w:eastAsia="DengXian" w:cs="Times New Roman"/>
          <w:i/>
          <w:iCs/>
          <w:kern w:val="2"/>
          <w:szCs w:val="24"/>
          <w:lang w:val="es-EC" w:eastAsia="zh-CN"/>
          <w14:ligatures w14:val="standardContextual"/>
        </w:rPr>
        <w:t>Revista de Educación y Tecnologías Emergentes, 4</w:t>
      </w:r>
      <w:r w:rsidRPr="00BF4551">
        <w:rPr>
          <w:rFonts w:eastAsia="DengXian" w:cs="Times New Roman"/>
          <w:kern w:val="2"/>
          <w:szCs w:val="24"/>
          <w:lang w:val="es-EC" w:eastAsia="zh-CN"/>
          <w14:ligatures w14:val="standardContextual"/>
        </w:rPr>
        <w:t xml:space="preserve">(2), 89–10. </w:t>
      </w:r>
    </w:p>
    <w:p w14:paraId="69222725"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Lugo, M. T. (2020). Políticas digitales en educación en tiempos de pandemia: Desafíos y oportunidades para América Latina. </w:t>
      </w:r>
      <w:proofErr w:type="spellStart"/>
      <w:r w:rsidRPr="00BF4551">
        <w:rPr>
          <w:rFonts w:eastAsia="DengXian" w:cs="Times New Roman"/>
          <w:i/>
          <w:iCs/>
          <w:kern w:val="2"/>
          <w:szCs w:val="24"/>
          <w:lang w:val="es-EC" w:eastAsia="zh-CN"/>
          <w14:ligatures w14:val="standardContextual"/>
        </w:rPr>
        <w:t>Edutec</w:t>
      </w:r>
      <w:proofErr w:type="spellEnd"/>
      <w:r w:rsidRPr="00BF4551">
        <w:rPr>
          <w:rFonts w:eastAsia="DengXian" w:cs="Times New Roman"/>
          <w:i/>
          <w:iCs/>
          <w:kern w:val="2"/>
          <w:szCs w:val="24"/>
          <w:lang w:val="es-EC" w:eastAsia="zh-CN"/>
          <w14:ligatures w14:val="standardContextual"/>
        </w:rPr>
        <w:t>. Revista Electrónica de Tecnología Educativa</w:t>
      </w:r>
      <w:r w:rsidRPr="00BF4551">
        <w:rPr>
          <w:rFonts w:eastAsia="DengXian" w:cs="Times New Roman"/>
          <w:kern w:val="2"/>
          <w:szCs w:val="24"/>
          <w:lang w:val="es-EC" w:eastAsia="zh-CN"/>
          <w14:ligatures w14:val="standardContextual"/>
        </w:rPr>
        <w:t xml:space="preserve">, (73), 23–36. </w:t>
      </w:r>
    </w:p>
    <w:p w14:paraId="5E44A94E"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Martínez-Sánchez, M., Cebrián-Robles, D., &amp; Ruiz-Palmero, J. (2023). El sesgo lingüístico en las aplicaciones de realidad aumentada para la enseñanza de las ciencias: Un obstáculo para la inclusión digital en Iberoamérica. </w:t>
      </w:r>
      <w:r w:rsidRPr="00BF4551">
        <w:rPr>
          <w:rFonts w:eastAsia="DengXian" w:cs="Times New Roman"/>
          <w:i/>
          <w:iCs/>
          <w:kern w:val="2"/>
          <w:szCs w:val="24"/>
          <w:lang w:val="es-EC" w:eastAsia="zh-CN"/>
          <w14:ligatures w14:val="standardContextual"/>
        </w:rPr>
        <w:t>Revista Iberoamericana de Educación a Distancia, 26</w:t>
      </w:r>
      <w:r w:rsidRPr="00BF4551">
        <w:rPr>
          <w:rFonts w:eastAsia="DengXian" w:cs="Times New Roman"/>
          <w:kern w:val="2"/>
          <w:szCs w:val="24"/>
          <w:lang w:val="es-EC" w:eastAsia="zh-CN"/>
          <w14:ligatures w14:val="standardContextual"/>
        </w:rPr>
        <w:t xml:space="preserve">(2), 145–164. </w:t>
      </w:r>
    </w:p>
    <w:p w14:paraId="0B2000A3"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proofErr w:type="spellStart"/>
      <w:r w:rsidRPr="00BF4551">
        <w:rPr>
          <w:rFonts w:eastAsia="DengXian" w:cs="Times New Roman"/>
          <w:kern w:val="2"/>
          <w:szCs w:val="24"/>
          <w:lang w:val="fr-FR" w:eastAsia="zh-CN"/>
          <w14:ligatures w14:val="standardContextual"/>
        </w:rPr>
        <w:lastRenderedPageBreak/>
        <w:t>Mystakidis</w:t>
      </w:r>
      <w:proofErr w:type="spellEnd"/>
      <w:r w:rsidRPr="00BF4551">
        <w:rPr>
          <w:rFonts w:eastAsia="DengXian" w:cs="Times New Roman"/>
          <w:kern w:val="2"/>
          <w:szCs w:val="24"/>
          <w:lang w:val="fr-FR" w:eastAsia="zh-CN"/>
          <w14:ligatures w14:val="standardContextual"/>
        </w:rPr>
        <w:t xml:space="preserve">, S., Christopoulos, A., &amp; Pellas, N. (2022). </w:t>
      </w:r>
      <w:r w:rsidRPr="00BF4551">
        <w:rPr>
          <w:rFonts w:eastAsia="DengXian" w:cs="Times New Roman"/>
          <w:kern w:val="2"/>
          <w:szCs w:val="24"/>
          <w:lang w:val="en-GB" w:eastAsia="zh-CN"/>
          <w14:ligatures w14:val="standardContextual"/>
        </w:rPr>
        <w:t xml:space="preserve">A systematic mapping review of augmented reality applications to support STEM learning in higher education. </w:t>
      </w:r>
      <w:r w:rsidRPr="00BF4551">
        <w:rPr>
          <w:rFonts w:eastAsia="DengXian" w:cs="Times New Roman"/>
          <w:i/>
          <w:iCs/>
          <w:kern w:val="2"/>
          <w:szCs w:val="24"/>
          <w:lang w:val="en-GB" w:eastAsia="zh-CN"/>
          <w14:ligatures w14:val="standardContextual"/>
        </w:rPr>
        <w:t>Education and Information Technologies, 27</w:t>
      </w:r>
      <w:r w:rsidRPr="00BF4551">
        <w:rPr>
          <w:rFonts w:eastAsia="DengXian" w:cs="Times New Roman"/>
          <w:kern w:val="2"/>
          <w:szCs w:val="24"/>
          <w:lang w:val="en-GB" w:eastAsia="zh-CN"/>
          <w14:ligatures w14:val="standardContextual"/>
        </w:rPr>
        <w:t xml:space="preserve">(2), 1883–1927. </w:t>
      </w:r>
    </w:p>
    <w:p w14:paraId="65C524E2" w14:textId="77777777" w:rsidR="00BF4551" w:rsidRPr="00BF4551" w:rsidRDefault="00BF4551" w:rsidP="00BF4551">
      <w:pPr>
        <w:numPr>
          <w:ilvl w:val="0"/>
          <w:numId w:val="13"/>
        </w:numPr>
        <w:spacing w:after="0" w:line="240" w:lineRule="auto"/>
        <w:jc w:val="both"/>
        <w:rPr>
          <w:rFonts w:eastAsia="DengXian" w:cs="Times New Roman"/>
          <w:kern w:val="2"/>
          <w:szCs w:val="24"/>
          <w:lang w:val="en-GB" w:eastAsia="zh-CN"/>
          <w14:ligatures w14:val="standardContextual"/>
        </w:rPr>
      </w:pPr>
      <w:r w:rsidRPr="00BF4551">
        <w:rPr>
          <w:rFonts w:eastAsia="DengXian" w:cs="Times New Roman"/>
          <w:kern w:val="2"/>
          <w:szCs w:val="24"/>
          <w:lang w:val="en-GB" w:eastAsia="zh-CN"/>
          <w14:ligatures w14:val="standardContextual"/>
        </w:rPr>
        <w:t xml:space="preserve">Ng, O.-L., Chan, T.-H., &amp; Wang, Y. (2023). Intelligent augmented reality in mathematics education: Designing personalized and immersive learning environments. </w:t>
      </w:r>
      <w:r w:rsidRPr="00BF4551">
        <w:rPr>
          <w:rFonts w:eastAsia="DengXian" w:cs="Times New Roman"/>
          <w:i/>
          <w:iCs/>
          <w:kern w:val="2"/>
          <w:szCs w:val="24"/>
          <w:lang w:val="en-GB" w:eastAsia="zh-CN"/>
          <w14:ligatures w14:val="standardContextual"/>
        </w:rPr>
        <w:t>Journal of Educational Computing Research, 61</w:t>
      </w:r>
      <w:r w:rsidRPr="00BF4551">
        <w:rPr>
          <w:rFonts w:eastAsia="DengXian" w:cs="Times New Roman"/>
          <w:kern w:val="2"/>
          <w:szCs w:val="24"/>
          <w:lang w:val="en-GB" w:eastAsia="zh-CN"/>
          <w14:ligatures w14:val="standardContextual"/>
        </w:rPr>
        <w:t xml:space="preserve">(4), 843–868. </w:t>
      </w:r>
    </w:p>
    <w:p w14:paraId="5724F0B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Okonkwo, C. W., &amp; Ade-Ibijola, A. (2023). </w:t>
      </w:r>
      <w:r w:rsidRPr="00BF4551">
        <w:rPr>
          <w:rFonts w:eastAsia="DengXian" w:cs="Times New Roman"/>
          <w:kern w:val="2"/>
          <w:szCs w:val="24"/>
          <w:lang w:val="en-GB" w:eastAsia="zh-CN"/>
          <w14:ligatures w14:val="standardContextual"/>
        </w:rPr>
        <w:t xml:space="preserve">Chatbots applications in education: A systematic review. </w:t>
      </w:r>
      <w:proofErr w:type="spellStart"/>
      <w:r w:rsidRPr="00BF4551">
        <w:rPr>
          <w:rFonts w:eastAsia="DengXian" w:cs="Times New Roman"/>
          <w:i/>
          <w:iCs/>
          <w:kern w:val="2"/>
          <w:szCs w:val="24"/>
          <w:lang w:val="es-EC" w:eastAsia="zh-CN"/>
          <w14:ligatures w14:val="standardContextual"/>
        </w:rPr>
        <w:t>Computers</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Artificial </w:t>
      </w:r>
      <w:proofErr w:type="spellStart"/>
      <w:r w:rsidRPr="00BF4551">
        <w:rPr>
          <w:rFonts w:eastAsia="DengXian" w:cs="Times New Roman"/>
          <w:i/>
          <w:iCs/>
          <w:kern w:val="2"/>
          <w:szCs w:val="24"/>
          <w:lang w:val="es-EC" w:eastAsia="zh-CN"/>
          <w14:ligatures w14:val="standardContextual"/>
        </w:rPr>
        <w:t>Intelligence</w:t>
      </w:r>
      <w:proofErr w:type="spellEnd"/>
      <w:r w:rsidRPr="00BF4551">
        <w:rPr>
          <w:rFonts w:eastAsia="DengXian" w:cs="Times New Roman"/>
          <w:i/>
          <w:iCs/>
          <w:kern w:val="2"/>
          <w:szCs w:val="24"/>
          <w:lang w:val="es-EC" w:eastAsia="zh-CN"/>
          <w14:ligatures w14:val="standardContextual"/>
        </w:rPr>
        <w:t>, 2</w:t>
      </w:r>
      <w:r w:rsidRPr="00BF4551">
        <w:rPr>
          <w:rFonts w:eastAsia="DengXian" w:cs="Times New Roman"/>
          <w:kern w:val="2"/>
          <w:szCs w:val="24"/>
          <w:lang w:val="es-EC" w:eastAsia="zh-CN"/>
          <w14:ligatures w14:val="standardContextual"/>
        </w:rPr>
        <w:t xml:space="preserve">, 100033. </w:t>
      </w:r>
      <w:hyperlink r:id="rId22" w:tgtFrame="_new" w:history="1">
        <w:r w:rsidRPr="00BF4551">
          <w:rPr>
            <w:rStyle w:val="Hipervnculo"/>
            <w:rFonts w:eastAsia="DengXian" w:cs="Times New Roman"/>
            <w:kern w:val="2"/>
            <w:szCs w:val="24"/>
            <w:lang w:val="es-EC" w:eastAsia="zh-CN"/>
            <w14:ligatures w14:val="standardContextual"/>
          </w:rPr>
          <w:t>https://doi.org/10.1016/j.caeai.2023.100033</w:t>
        </w:r>
      </w:hyperlink>
      <w:r w:rsidRPr="00BF4551">
        <w:rPr>
          <w:rFonts w:eastAsia="DengXian" w:cs="Times New Roman"/>
          <w:kern w:val="2"/>
          <w:szCs w:val="24"/>
          <w:lang w:val="es-EC" w:eastAsia="zh-CN"/>
          <w14:ligatures w14:val="standardContextual"/>
        </w:rPr>
        <w:t xml:space="preserve"> </w:t>
      </w:r>
    </w:p>
    <w:p w14:paraId="3F340EB9"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OpenAI. (2025). </w:t>
      </w:r>
      <w:r w:rsidRPr="00BF4551">
        <w:rPr>
          <w:rFonts w:eastAsia="DengXian" w:cs="Times New Roman"/>
          <w:i/>
          <w:iCs/>
          <w:kern w:val="2"/>
          <w:szCs w:val="24"/>
          <w:lang w:val="en-GB" w:eastAsia="zh-CN"/>
          <w14:ligatures w14:val="standardContextual"/>
        </w:rPr>
        <w:t>Introducing GPT-OSS: Open-weight reasoning models for low-latency specialized inference</w:t>
      </w:r>
      <w:r w:rsidRPr="00BF4551">
        <w:rPr>
          <w:rFonts w:eastAsia="DengXian" w:cs="Times New Roman"/>
          <w:kern w:val="2"/>
          <w:szCs w:val="24"/>
          <w:lang w:val="en-GB" w:eastAsia="zh-CN"/>
          <w14:ligatures w14:val="standardContextual"/>
        </w:rPr>
        <w:t xml:space="preserve">. </w:t>
      </w:r>
      <w:proofErr w:type="spellStart"/>
      <w:r w:rsidRPr="00BF4551">
        <w:rPr>
          <w:rFonts w:eastAsia="DengXian" w:cs="Times New Roman"/>
          <w:kern w:val="2"/>
          <w:szCs w:val="24"/>
          <w:lang w:val="es-EC" w:eastAsia="zh-CN"/>
          <w14:ligatures w14:val="standardContextual"/>
        </w:rPr>
        <w:t>OpenAI</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Research</w:t>
      </w:r>
      <w:proofErr w:type="spellEnd"/>
      <w:r w:rsidRPr="00BF4551">
        <w:rPr>
          <w:rFonts w:eastAsia="DengXian" w:cs="Times New Roman"/>
          <w:kern w:val="2"/>
          <w:szCs w:val="24"/>
          <w:lang w:val="es-EC" w:eastAsia="zh-CN"/>
          <w14:ligatures w14:val="standardContextual"/>
        </w:rPr>
        <w:t xml:space="preserve">. </w:t>
      </w:r>
    </w:p>
    <w:p w14:paraId="4B25B269"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Pellas, N., Dengel, A., &amp; Christopoulos, A. (2020). </w:t>
      </w:r>
      <w:r w:rsidRPr="00BF4551">
        <w:rPr>
          <w:rFonts w:eastAsia="DengXian" w:cs="Times New Roman"/>
          <w:kern w:val="2"/>
          <w:szCs w:val="24"/>
          <w:lang w:val="en-GB" w:eastAsia="zh-CN"/>
          <w14:ligatures w14:val="standardContextual"/>
        </w:rPr>
        <w:t xml:space="preserve">A scoping review of immersive virtual reality in STEM education. </w:t>
      </w:r>
      <w:r w:rsidRPr="00BF4551">
        <w:rPr>
          <w:rFonts w:eastAsia="DengXian" w:cs="Times New Roman"/>
          <w:i/>
          <w:iCs/>
          <w:kern w:val="2"/>
          <w:szCs w:val="24"/>
          <w:lang w:val="es-EC" w:eastAsia="zh-CN"/>
          <w14:ligatures w14:val="standardContextual"/>
        </w:rPr>
        <w:t xml:space="preserve">IEEE </w:t>
      </w:r>
      <w:proofErr w:type="spellStart"/>
      <w:r w:rsidRPr="00BF4551">
        <w:rPr>
          <w:rFonts w:eastAsia="DengXian" w:cs="Times New Roman"/>
          <w:i/>
          <w:iCs/>
          <w:kern w:val="2"/>
          <w:szCs w:val="24"/>
          <w:lang w:val="es-EC" w:eastAsia="zh-CN"/>
          <w14:ligatures w14:val="standardContextual"/>
        </w:rPr>
        <w:t>Transactions</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on</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Learning</w:t>
      </w:r>
      <w:proofErr w:type="spellEnd"/>
      <w:r w:rsidRPr="00BF4551">
        <w:rPr>
          <w:rFonts w:eastAsia="DengXian" w:cs="Times New Roman"/>
          <w:i/>
          <w:iCs/>
          <w:kern w:val="2"/>
          <w:szCs w:val="24"/>
          <w:lang w:val="es-EC" w:eastAsia="zh-CN"/>
          <w14:ligatures w14:val="standardContextual"/>
        </w:rPr>
        <w:t xml:space="preserve"> Technologies, 13</w:t>
      </w:r>
      <w:r w:rsidRPr="00BF4551">
        <w:rPr>
          <w:rFonts w:eastAsia="DengXian" w:cs="Times New Roman"/>
          <w:kern w:val="2"/>
          <w:szCs w:val="24"/>
          <w:lang w:val="es-EC" w:eastAsia="zh-CN"/>
          <w14:ligatures w14:val="standardContextual"/>
        </w:rPr>
        <w:t xml:space="preserve">(4), 748–761. </w:t>
      </w:r>
    </w:p>
    <w:p w14:paraId="003A52DF"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Pérez-Muñoz, A., Barno, G., Lee, S., &amp; </w:t>
      </w:r>
      <w:proofErr w:type="spellStart"/>
      <w:r w:rsidRPr="00BF4551">
        <w:rPr>
          <w:rFonts w:eastAsia="DengXian" w:cs="Times New Roman"/>
          <w:kern w:val="2"/>
          <w:szCs w:val="24"/>
          <w:lang w:val="es-EC" w:eastAsia="zh-CN"/>
          <w14:ligatures w14:val="standardContextual"/>
        </w:rPr>
        <w:t>Xuefei</w:t>
      </w:r>
      <w:proofErr w:type="spellEnd"/>
      <w:r w:rsidRPr="00BF4551">
        <w:rPr>
          <w:rFonts w:eastAsia="DengXian" w:cs="Times New Roman"/>
          <w:kern w:val="2"/>
          <w:szCs w:val="24"/>
          <w:lang w:val="es-EC" w:eastAsia="zh-CN"/>
          <w14:ligatures w14:val="standardContextual"/>
        </w:rPr>
        <w:t xml:space="preserve">, M. (2024). </w:t>
      </w:r>
      <w:r w:rsidRPr="00BF4551">
        <w:rPr>
          <w:rFonts w:eastAsia="DengXian" w:cs="Times New Roman"/>
          <w:kern w:val="2"/>
          <w:szCs w:val="24"/>
          <w:lang w:val="en-GB" w:eastAsia="zh-CN"/>
          <w14:ligatures w14:val="standardContextual"/>
        </w:rPr>
        <w:t xml:space="preserve">Emerging technologies and curriculum integration: A systematic review of AI, VR, and LLM applications in schools.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Technologies, 29</w:t>
      </w:r>
      <w:r w:rsidRPr="00BF4551">
        <w:rPr>
          <w:rFonts w:eastAsia="DengXian" w:cs="Times New Roman"/>
          <w:kern w:val="2"/>
          <w:szCs w:val="24"/>
          <w:lang w:val="es-EC" w:eastAsia="zh-CN"/>
          <w14:ligatures w14:val="standardContextual"/>
        </w:rPr>
        <w:t xml:space="preserve">(8), 10115–10142. </w:t>
      </w:r>
    </w:p>
    <w:p w14:paraId="5889D7A1"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Sáez-López, J.-M., Buceta-Orosa, H., &amp; De-Lara-Bueno, M. (2020). La realidad aumentada en la enseñanza de la biología celular en educación secundaria: Impacto en la motivación y el aprendizaje. </w:t>
      </w:r>
      <w:r w:rsidRPr="00BF4551">
        <w:rPr>
          <w:rFonts w:eastAsia="DengXian" w:cs="Times New Roman"/>
          <w:i/>
          <w:iCs/>
          <w:kern w:val="2"/>
          <w:szCs w:val="24"/>
          <w:lang w:val="es-EC" w:eastAsia="zh-CN"/>
          <w14:ligatures w14:val="standardContextual"/>
        </w:rPr>
        <w:t>Revista de Educación</w:t>
      </w:r>
      <w:r w:rsidRPr="00BF4551">
        <w:rPr>
          <w:rFonts w:eastAsia="DengXian" w:cs="Times New Roman"/>
          <w:kern w:val="2"/>
          <w:szCs w:val="24"/>
          <w:lang w:val="es-EC" w:eastAsia="zh-CN"/>
          <w14:ligatures w14:val="standardContextual"/>
        </w:rPr>
        <w:t xml:space="preserve">, (389), 11–37. </w:t>
      </w:r>
    </w:p>
    <w:p w14:paraId="3B22122F"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es-EC" w:eastAsia="zh-CN"/>
          <w14:ligatures w14:val="standardContextual"/>
        </w:rPr>
        <w:t>Safitri</w:t>
      </w:r>
      <w:proofErr w:type="spellEnd"/>
      <w:r w:rsidRPr="00BF4551">
        <w:rPr>
          <w:rFonts w:eastAsia="DengXian" w:cs="Times New Roman"/>
          <w:kern w:val="2"/>
          <w:szCs w:val="24"/>
          <w:lang w:val="es-EC" w:eastAsia="zh-CN"/>
          <w14:ligatures w14:val="standardContextual"/>
        </w:rPr>
        <w:t xml:space="preserve">, D., Zubaidah, S., Gofur, A., &amp; </w:t>
      </w:r>
      <w:proofErr w:type="spellStart"/>
      <w:r w:rsidRPr="00BF4551">
        <w:rPr>
          <w:rFonts w:eastAsia="DengXian" w:cs="Times New Roman"/>
          <w:kern w:val="2"/>
          <w:szCs w:val="24"/>
          <w:lang w:val="es-EC" w:eastAsia="zh-CN"/>
          <w14:ligatures w14:val="standardContextual"/>
        </w:rPr>
        <w:t>Lestari</w:t>
      </w:r>
      <w:proofErr w:type="spellEnd"/>
      <w:r w:rsidRPr="00BF4551">
        <w:rPr>
          <w:rFonts w:eastAsia="DengXian" w:cs="Times New Roman"/>
          <w:kern w:val="2"/>
          <w:szCs w:val="24"/>
          <w:lang w:val="es-EC" w:eastAsia="zh-CN"/>
          <w14:ligatures w14:val="standardContextual"/>
        </w:rPr>
        <w:t xml:space="preserve">, S. R. (2024). </w:t>
      </w:r>
      <w:r w:rsidRPr="00BF4551">
        <w:rPr>
          <w:rFonts w:eastAsia="DengXian" w:cs="Times New Roman"/>
          <w:kern w:val="2"/>
          <w:szCs w:val="24"/>
          <w:lang w:val="en-GB" w:eastAsia="zh-CN"/>
          <w14:ligatures w14:val="standardContextual"/>
        </w:rPr>
        <w:t xml:space="preserve">The impact of augmented reality on learning cell biology: A quasi-experimental study in secondary education.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Science</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i/>
          <w:iCs/>
          <w:kern w:val="2"/>
          <w:szCs w:val="24"/>
          <w:lang w:val="es-EC" w:eastAsia="zh-CN"/>
          <w14:ligatures w14:val="standardContextual"/>
        </w:rPr>
        <w:t xml:space="preserve"> and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33</w:t>
      </w:r>
      <w:r w:rsidRPr="00BF4551">
        <w:rPr>
          <w:rFonts w:eastAsia="DengXian" w:cs="Times New Roman"/>
          <w:kern w:val="2"/>
          <w:szCs w:val="24"/>
          <w:lang w:val="es-EC" w:eastAsia="zh-CN"/>
          <w14:ligatures w14:val="standardContextual"/>
        </w:rPr>
        <w:t xml:space="preserve">(4), 512–527. </w:t>
      </w:r>
    </w:p>
    <w:p w14:paraId="25205D02"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Sailer, M., &amp; </w:t>
      </w:r>
      <w:proofErr w:type="spellStart"/>
      <w:r w:rsidRPr="00BF4551">
        <w:rPr>
          <w:rFonts w:eastAsia="DengXian" w:cs="Times New Roman"/>
          <w:kern w:val="2"/>
          <w:szCs w:val="24"/>
          <w:lang w:val="en-GB" w:eastAsia="zh-CN"/>
          <w14:ligatures w14:val="standardContextual"/>
        </w:rPr>
        <w:t>Homner</w:t>
      </w:r>
      <w:proofErr w:type="spellEnd"/>
      <w:r w:rsidRPr="00BF4551">
        <w:rPr>
          <w:rFonts w:eastAsia="DengXian" w:cs="Times New Roman"/>
          <w:kern w:val="2"/>
          <w:szCs w:val="24"/>
          <w:lang w:val="en-GB" w:eastAsia="zh-CN"/>
          <w14:ligatures w14:val="standardContextual"/>
        </w:rPr>
        <w:t xml:space="preserve">, L. (2020). The gamification of learning: A meta-analysis.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Psychology</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Review</w:t>
      </w:r>
      <w:proofErr w:type="spellEnd"/>
      <w:r w:rsidRPr="00BF4551">
        <w:rPr>
          <w:rFonts w:eastAsia="DengXian" w:cs="Times New Roman"/>
          <w:i/>
          <w:iCs/>
          <w:kern w:val="2"/>
          <w:szCs w:val="24"/>
          <w:lang w:val="es-EC" w:eastAsia="zh-CN"/>
          <w14:ligatures w14:val="standardContextual"/>
        </w:rPr>
        <w:t>, 32</w:t>
      </w:r>
      <w:r w:rsidRPr="00BF4551">
        <w:rPr>
          <w:rFonts w:eastAsia="DengXian" w:cs="Times New Roman"/>
          <w:kern w:val="2"/>
          <w:szCs w:val="24"/>
          <w:lang w:val="es-EC" w:eastAsia="zh-CN"/>
          <w14:ligatures w14:val="standardContextual"/>
        </w:rPr>
        <w:t xml:space="preserve">(1), 77–112. </w:t>
      </w:r>
      <w:hyperlink r:id="rId23" w:tgtFrame="_new" w:history="1">
        <w:r w:rsidRPr="00BF4551">
          <w:rPr>
            <w:rStyle w:val="Hipervnculo"/>
            <w:rFonts w:eastAsia="DengXian" w:cs="Times New Roman"/>
            <w:kern w:val="2"/>
            <w:szCs w:val="24"/>
            <w:lang w:val="es-EC" w:eastAsia="zh-CN"/>
            <w14:ligatures w14:val="standardContextual"/>
          </w:rPr>
          <w:t>https://doi.org/10.1007/s10648-019-09498-w</w:t>
        </w:r>
      </w:hyperlink>
      <w:r w:rsidRPr="00BF4551">
        <w:rPr>
          <w:rFonts w:eastAsia="DengXian" w:cs="Times New Roman"/>
          <w:kern w:val="2"/>
          <w:szCs w:val="24"/>
          <w:lang w:val="es-EC" w:eastAsia="zh-CN"/>
          <w14:ligatures w14:val="standardContextual"/>
        </w:rPr>
        <w:t xml:space="preserve"> </w:t>
      </w:r>
    </w:p>
    <w:p w14:paraId="659CD796"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Sánchez-Prieto, J. C., Trujillo-Torres, J. M., Aznar-Díaz, I., &amp; Gómez-García, G. (2024). </w:t>
      </w:r>
      <w:r w:rsidRPr="00BF4551">
        <w:rPr>
          <w:rFonts w:eastAsia="DengXian" w:cs="Times New Roman"/>
          <w:kern w:val="2"/>
          <w:szCs w:val="24"/>
          <w:lang w:val="en-GB" w:eastAsia="zh-CN"/>
          <w14:ligatures w14:val="standardContextual"/>
        </w:rPr>
        <w:t xml:space="preserve">Research trends on mobile learning in primary and secondary education: A PRISMA systematic review of </w:t>
      </w:r>
      <w:proofErr w:type="spellStart"/>
      <w:r w:rsidRPr="00BF4551">
        <w:rPr>
          <w:rFonts w:eastAsia="DengXian" w:cs="Times New Roman"/>
          <w:kern w:val="2"/>
          <w:szCs w:val="24"/>
          <w:lang w:val="en-GB" w:eastAsia="zh-CN"/>
          <w14:ligatures w14:val="standardContextual"/>
        </w:rPr>
        <w:t>WoS</w:t>
      </w:r>
      <w:proofErr w:type="spellEnd"/>
      <w:r w:rsidRPr="00BF4551">
        <w:rPr>
          <w:rFonts w:eastAsia="DengXian" w:cs="Times New Roman"/>
          <w:kern w:val="2"/>
          <w:szCs w:val="24"/>
          <w:lang w:val="en-GB" w:eastAsia="zh-CN"/>
          <w14:ligatures w14:val="standardContextual"/>
        </w:rPr>
        <w:t xml:space="preserve"> and Scopus literature. </w:t>
      </w:r>
      <w:r w:rsidRPr="00BF4551">
        <w:rPr>
          <w:rFonts w:eastAsia="DengXian" w:cs="Times New Roman"/>
          <w:i/>
          <w:iCs/>
          <w:kern w:val="2"/>
          <w:szCs w:val="24"/>
          <w:lang w:val="es-EC" w:eastAsia="zh-CN"/>
          <w14:ligatures w14:val="standardContextual"/>
        </w:rPr>
        <w:t xml:space="preserve">Contemporary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16</w:t>
      </w:r>
      <w:r w:rsidRPr="00BF4551">
        <w:rPr>
          <w:rFonts w:eastAsia="DengXian" w:cs="Times New Roman"/>
          <w:kern w:val="2"/>
          <w:szCs w:val="24"/>
          <w:lang w:val="es-EC" w:eastAsia="zh-CN"/>
          <w14:ligatures w14:val="standardContextual"/>
        </w:rPr>
        <w:t xml:space="preserve">(2),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ep498. </w:t>
      </w:r>
    </w:p>
    <w:p w14:paraId="4D0788B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Sánchez-Rivas, E., Ruiz-Palmero, J., Colomo-Magaña, E., &amp; Sánchez-Rodríguez, J. (2026). Teachers' perceptions of the challenges in integrating augmented reality, virtual reality, and extended reality into education. </w:t>
      </w:r>
      <w:r w:rsidRPr="00BF4551">
        <w:rPr>
          <w:rFonts w:eastAsia="DengXian" w:cs="Times New Roman"/>
          <w:i/>
          <w:iCs/>
          <w:kern w:val="2"/>
          <w:szCs w:val="24"/>
          <w:lang w:val="es-EC" w:eastAsia="zh-CN"/>
          <w14:ligatures w14:val="standardContextual"/>
        </w:rPr>
        <w:t xml:space="preserve">Contemporary </w:t>
      </w:r>
      <w:proofErr w:type="spellStart"/>
      <w:r w:rsidRPr="00BF4551">
        <w:rPr>
          <w:rFonts w:eastAsia="DengXian" w:cs="Times New Roman"/>
          <w:i/>
          <w:iCs/>
          <w:kern w:val="2"/>
          <w:szCs w:val="24"/>
          <w:lang w:val="es-EC" w:eastAsia="zh-CN"/>
          <w14:ligatures w14:val="standardContextual"/>
        </w:rPr>
        <w:t>Educational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Technology</w:t>
      </w:r>
      <w:proofErr w:type="spellEnd"/>
      <w:r w:rsidRPr="00BF4551">
        <w:rPr>
          <w:rFonts w:eastAsia="DengXian" w:cs="Times New Roman"/>
          <w:i/>
          <w:iCs/>
          <w:kern w:val="2"/>
          <w:szCs w:val="24"/>
          <w:lang w:val="es-EC" w:eastAsia="zh-CN"/>
          <w14:ligatures w14:val="standardContextual"/>
        </w:rPr>
        <w:t>, 18</w:t>
      </w:r>
      <w:r w:rsidRPr="00BF4551">
        <w:rPr>
          <w:rFonts w:eastAsia="DengXian" w:cs="Times New Roman"/>
          <w:kern w:val="2"/>
          <w:szCs w:val="24"/>
          <w:lang w:val="es-EC" w:eastAsia="zh-CN"/>
          <w14:ligatures w14:val="standardContextual"/>
        </w:rPr>
        <w:t xml:space="preserve">(4),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ep532. </w:t>
      </w:r>
    </w:p>
    <w:p w14:paraId="351555B6"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Sánchez-Rivas, E., Ruiz-Palmero, J., &amp; Sánchez-Rodríguez, J. (2023). Artificial </w:t>
      </w:r>
      <w:proofErr w:type="spellStart"/>
      <w:r w:rsidRPr="00BF4551">
        <w:rPr>
          <w:rFonts w:eastAsia="DengXian" w:cs="Times New Roman"/>
          <w:kern w:val="2"/>
          <w:szCs w:val="24"/>
          <w:lang w:val="es-EC" w:eastAsia="zh-CN"/>
          <w14:ligatures w14:val="standardContextual"/>
        </w:rPr>
        <w:t>intelligence</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augmented</w:t>
      </w:r>
      <w:proofErr w:type="spellEnd"/>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reality</w:t>
      </w:r>
      <w:proofErr w:type="spellEnd"/>
      <w:r w:rsidRPr="00BF4551">
        <w:rPr>
          <w:rFonts w:eastAsia="DengXian" w:cs="Times New Roman"/>
          <w:kern w:val="2"/>
          <w:szCs w:val="24"/>
          <w:lang w:val="es-EC" w:eastAsia="zh-CN"/>
          <w14:ligatures w14:val="standardContextual"/>
        </w:rPr>
        <w:t xml:space="preserve"> and </w:t>
      </w:r>
      <w:proofErr w:type="spellStart"/>
      <w:r w:rsidRPr="00BF4551">
        <w:rPr>
          <w:rFonts w:eastAsia="DengXian" w:cs="Times New Roman"/>
          <w:kern w:val="2"/>
          <w:szCs w:val="24"/>
          <w:lang w:val="es-EC" w:eastAsia="zh-CN"/>
          <w14:ligatures w14:val="standardContextual"/>
        </w:rPr>
        <w:t>education</w:t>
      </w:r>
      <w:proofErr w:type="spellEnd"/>
      <w:r w:rsidRPr="00BF4551">
        <w:rPr>
          <w:rFonts w:eastAsia="DengXian" w:cs="Times New Roman"/>
          <w:kern w:val="2"/>
          <w:szCs w:val="24"/>
          <w:lang w:val="es-EC" w:eastAsia="zh-CN"/>
          <w14:ligatures w14:val="standardContextual"/>
        </w:rPr>
        <w:t xml:space="preserve">. In J. Ruiz-Palmero, E. Sánchez-Rivas, &amp; J. Sánchez-Rodríguez (Eds.), </w:t>
      </w:r>
      <w:r w:rsidRPr="00BF4551">
        <w:rPr>
          <w:rFonts w:eastAsia="DengXian" w:cs="Times New Roman"/>
          <w:i/>
          <w:iCs/>
          <w:kern w:val="2"/>
          <w:szCs w:val="24"/>
          <w:lang w:val="es-EC" w:eastAsia="zh-CN"/>
          <w14:ligatures w14:val="standardContextual"/>
        </w:rPr>
        <w:t xml:space="preserve">Disruptive </w:t>
      </w:r>
      <w:proofErr w:type="spellStart"/>
      <w:r w:rsidRPr="00BF4551">
        <w:rPr>
          <w:rFonts w:eastAsia="DengXian" w:cs="Times New Roman"/>
          <w:i/>
          <w:iCs/>
          <w:kern w:val="2"/>
          <w:szCs w:val="24"/>
          <w:lang w:val="es-EC" w:eastAsia="zh-CN"/>
          <w14:ligatures w14:val="standardContextual"/>
        </w:rPr>
        <w:t>technologies</w:t>
      </w:r>
      <w:proofErr w:type="spellEnd"/>
      <w:r w:rsidRPr="00BF4551">
        <w:rPr>
          <w:rFonts w:eastAsia="DengXian" w:cs="Times New Roman"/>
          <w:i/>
          <w:iCs/>
          <w:kern w:val="2"/>
          <w:szCs w:val="24"/>
          <w:lang w:val="es-EC" w:eastAsia="zh-CN"/>
          <w14:ligatures w14:val="standardContextual"/>
        </w:rPr>
        <w:t xml:space="preserve"> and Web 3.0 in </w:t>
      </w:r>
      <w:proofErr w:type="spellStart"/>
      <w:r w:rsidRPr="00BF4551">
        <w:rPr>
          <w:rFonts w:eastAsia="DengXian" w:cs="Times New Roman"/>
          <w:i/>
          <w:iCs/>
          <w:kern w:val="2"/>
          <w:szCs w:val="24"/>
          <w:lang w:val="es-EC" w:eastAsia="zh-CN"/>
          <w14:ligatures w14:val="standardContextual"/>
        </w:rPr>
        <w:t>education</w:t>
      </w:r>
      <w:proofErr w:type="spellEnd"/>
      <w:r w:rsidRPr="00BF4551">
        <w:rPr>
          <w:rFonts w:eastAsia="DengXian" w:cs="Times New Roman"/>
          <w:kern w:val="2"/>
          <w:szCs w:val="24"/>
          <w:lang w:val="es-EC" w:eastAsia="zh-CN"/>
          <w14:ligatures w14:val="standardContextual"/>
        </w:rPr>
        <w:t xml:space="preserve"> (pp. 85–99). Springer. </w:t>
      </w:r>
    </w:p>
    <w:p w14:paraId="0E85F08D"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Sharma, S., &amp; Das, P. (2025). </w:t>
      </w:r>
      <w:r w:rsidRPr="00BF4551">
        <w:rPr>
          <w:rFonts w:eastAsia="DengXian" w:cs="Times New Roman"/>
          <w:i/>
          <w:iCs/>
          <w:kern w:val="2"/>
          <w:szCs w:val="24"/>
          <w:lang w:val="en-GB" w:eastAsia="zh-CN"/>
          <w14:ligatures w14:val="standardContextual"/>
        </w:rPr>
        <w:t>Optimizing Flutter architectures for low-resource environments: Package size mitigation, dependency tree management, and APK reduction strategies</w:t>
      </w:r>
      <w:r w:rsidRPr="00BF4551">
        <w:rPr>
          <w:rFonts w:eastAsia="DengXian" w:cs="Times New Roman"/>
          <w:kern w:val="2"/>
          <w:szCs w:val="24"/>
          <w:lang w:val="en-GB"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Academic</w:t>
      </w:r>
      <w:proofErr w:type="spellEnd"/>
      <w:r w:rsidRPr="00BF4551">
        <w:rPr>
          <w:rFonts w:eastAsia="DengXian" w:cs="Times New Roman"/>
          <w:kern w:val="2"/>
          <w:szCs w:val="24"/>
          <w:lang w:val="es-EC" w:eastAsia="zh-CN"/>
          <w14:ligatures w14:val="standardContextual"/>
        </w:rPr>
        <w:t xml:space="preserve"> Press. </w:t>
      </w:r>
    </w:p>
    <w:p w14:paraId="436A0500"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Singh, A., &amp; </w:t>
      </w:r>
      <w:proofErr w:type="spellStart"/>
      <w:r w:rsidRPr="00BF4551">
        <w:rPr>
          <w:rFonts w:eastAsia="DengXian" w:cs="Times New Roman"/>
          <w:kern w:val="2"/>
          <w:szCs w:val="24"/>
          <w:lang w:val="en-GB" w:eastAsia="zh-CN"/>
          <w14:ligatures w14:val="standardContextual"/>
        </w:rPr>
        <w:t>Bhadani</w:t>
      </w:r>
      <w:proofErr w:type="spellEnd"/>
      <w:r w:rsidRPr="00BF4551">
        <w:rPr>
          <w:rFonts w:eastAsia="DengXian" w:cs="Times New Roman"/>
          <w:kern w:val="2"/>
          <w:szCs w:val="24"/>
          <w:lang w:val="en-GB" w:eastAsia="zh-CN"/>
          <w14:ligatures w14:val="standardContextual"/>
        </w:rPr>
        <w:t xml:space="preserve">, R. (2020). </w:t>
      </w:r>
      <w:r w:rsidRPr="00BF4551">
        <w:rPr>
          <w:rFonts w:eastAsia="DengXian" w:cs="Times New Roman"/>
          <w:i/>
          <w:iCs/>
          <w:kern w:val="2"/>
          <w:szCs w:val="24"/>
          <w:lang w:val="en-GB" w:eastAsia="zh-CN"/>
          <w14:ligatures w14:val="standardContextual"/>
        </w:rPr>
        <w:t>Mobile deep learning with TensorFlow Lite, ML Kit and Flutter: Build scalable real-world projects to implement end-to-end neural networks on Android and iOS</w:t>
      </w:r>
      <w:r w:rsidRPr="00BF4551">
        <w:rPr>
          <w:rFonts w:eastAsia="DengXian" w:cs="Times New Roman"/>
          <w:kern w:val="2"/>
          <w:szCs w:val="24"/>
          <w:lang w:val="en-GB" w:eastAsia="zh-CN"/>
          <w14:ligatures w14:val="standardContextual"/>
        </w:rPr>
        <w:t xml:space="preserve">. </w:t>
      </w:r>
      <w:proofErr w:type="spellStart"/>
      <w:r w:rsidRPr="00BF4551">
        <w:rPr>
          <w:rFonts w:eastAsia="DengXian" w:cs="Times New Roman"/>
          <w:kern w:val="2"/>
          <w:szCs w:val="24"/>
          <w:lang w:val="es-EC" w:eastAsia="zh-CN"/>
          <w14:ligatures w14:val="standardContextual"/>
        </w:rPr>
        <w:t>Packt</w:t>
      </w:r>
      <w:proofErr w:type="spellEnd"/>
      <w:r w:rsidRPr="00BF4551">
        <w:rPr>
          <w:rFonts w:eastAsia="DengXian" w:cs="Times New Roman"/>
          <w:kern w:val="2"/>
          <w:szCs w:val="24"/>
          <w:lang w:val="es-EC" w:eastAsia="zh-CN"/>
          <w14:ligatures w14:val="standardContextual"/>
        </w:rPr>
        <w:t xml:space="preserve"> Publishing. </w:t>
      </w:r>
    </w:p>
    <w:p w14:paraId="554E982E"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Snap Inc. (2022). </w:t>
      </w:r>
      <w:r w:rsidRPr="00BF4551">
        <w:rPr>
          <w:rFonts w:eastAsia="DengXian" w:cs="Times New Roman"/>
          <w:i/>
          <w:iCs/>
          <w:kern w:val="2"/>
          <w:szCs w:val="24"/>
          <w:lang w:val="es-EC" w:eastAsia="zh-CN"/>
          <w14:ligatures w14:val="standardContextual"/>
        </w:rPr>
        <w:t>Realidad aumentada será utilizada por el 75% de los smartphones en 2025</w:t>
      </w:r>
      <w:r w:rsidRPr="00BF4551">
        <w:rPr>
          <w:rFonts w:eastAsia="DengXian" w:cs="Times New Roman"/>
          <w:kern w:val="2"/>
          <w:szCs w:val="24"/>
          <w:lang w:val="es-EC" w:eastAsia="zh-CN"/>
          <w14:ligatures w14:val="standardContextual"/>
        </w:rPr>
        <w:t xml:space="preserve">. Global Media </w:t>
      </w:r>
      <w:proofErr w:type="spellStart"/>
      <w:r w:rsidRPr="00BF4551">
        <w:rPr>
          <w:rFonts w:eastAsia="DengXian" w:cs="Times New Roman"/>
          <w:kern w:val="2"/>
          <w:szCs w:val="24"/>
          <w:lang w:val="es-EC" w:eastAsia="zh-CN"/>
          <w14:ligatures w14:val="standardContextual"/>
        </w:rPr>
        <w:t>Report</w:t>
      </w:r>
      <w:proofErr w:type="spellEnd"/>
      <w:r w:rsidRPr="00BF4551">
        <w:rPr>
          <w:rFonts w:eastAsia="DengXian" w:cs="Times New Roman"/>
          <w:kern w:val="2"/>
          <w:szCs w:val="24"/>
          <w:lang w:val="es-EC" w:eastAsia="zh-CN"/>
          <w14:ligatures w14:val="standardContextual"/>
        </w:rPr>
        <w:t xml:space="preserve"> &amp; </w:t>
      </w:r>
      <w:proofErr w:type="spellStart"/>
      <w:r w:rsidRPr="00BF4551">
        <w:rPr>
          <w:rFonts w:eastAsia="DengXian" w:cs="Times New Roman"/>
          <w:kern w:val="2"/>
          <w:szCs w:val="24"/>
          <w:lang w:val="es-EC" w:eastAsia="zh-CN"/>
          <w14:ligatures w14:val="standardContextual"/>
        </w:rPr>
        <w:t>Platforms</w:t>
      </w:r>
      <w:proofErr w:type="spellEnd"/>
      <w:r w:rsidRPr="00BF4551">
        <w:rPr>
          <w:rFonts w:eastAsia="DengXian" w:cs="Times New Roman"/>
          <w:kern w:val="2"/>
          <w:szCs w:val="24"/>
          <w:lang w:val="es-EC" w:eastAsia="zh-CN"/>
          <w14:ligatures w14:val="standardContextual"/>
        </w:rPr>
        <w:t xml:space="preserve"> Alliance. </w:t>
      </w:r>
    </w:p>
    <w:p w14:paraId="43310BF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lastRenderedPageBreak/>
        <w:t xml:space="preserve">Soto-Carrión, J., Martínez-García, L., &amp; Ruiz-Vargas, P. (2025). Arquitecturas neurocognitivas del aprendizaje inmersivo: Un análisis transdisciplinar de la carga cognitiva y la retención a largo plazo en la educación secundaria. </w:t>
      </w:r>
      <w:r w:rsidRPr="00BF4551">
        <w:rPr>
          <w:rFonts w:eastAsia="DengXian" w:cs="Times New Roman"/>
          <w:i/>
          <w:iCs/>
          <w:kern w:val="2"/>
          <w:szCs w:val="24"/>
          <w:lang w:val="es-EC" w:eastAsia="zh-CN"/>
          <w14:ligatures w14:val="standardContextual"/>
        </w:rPr>
        <w:t>Revista Iberoamericana de Neuroeducación y Tecnologías de Aprendizaje, 5</w:t>
      </w:r>
      <w:r w:rsidRPr="00BF4551">
        <w:rPr>
          <w:rFonts w:eastAsia="DengXian" w:cs="Times New Roman"/>
          <w:kern w:val="2"/>
          <w:szCs w:val="24"/>
          <w:lang w:val="es-EC" w:eastAsia="zh-CN"/>
          <w14:ligatures w14:val="standardContextual"/>
        </w:rPr>
        <w:t xml:space="preserve">(1), 45–63. </w:t>
      </w:r>
    </w:p>
    <w:p w14:paraId="4BA56BE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Taçgın, Z., &amp; Dalgarno, B. (2021). Building an instructional design model for immersive virtual reality learning environments. In Z. </w:t>
      </w:r>
      <w:proofErr w:type="spellStart"/>
      <w:r w:rsidRPr="00BF4551">
        <w:rPr>
          <w:rFonts w:eastAsia="DengXian" w:cs="Times New Roman"/>
          <w:kern w:val="2"/>
          <w:szCs w:val="24"/>
          <w:lang w:val="en-GB" w:eastAsia="zh-CN"/>
          <w14:ligatures w14:val="standardContextual"/>
        </w:rPr>
        <w:t>Taçgın</w:t>
      </w:r>
      <w:proofErr w:type="spellEnd"/>
      <w:r w:rsidRPr="00BF4551">
        <w:rPr>
          <w:rFonts w:eastAsia="DengXian" w:cs="Times New Roman"/>
          <w:kern w:val="2"/>
          <w:szCs w:val="24"/>
          <w:lang w:val="en-GB" w:eastAsia="zh-CN"/>
          <w14:ligatures w14:val="standardContextual"/>
        </w:rPr>
        <w:t xml:space="preserve"> (Ed.), </w:t>
      </w:r>
      <w:r w:rsidRPr="00BF4551">
        <w:rPr>
          <w:rFonts w:eastAsia="DengXian" w:cs="Times New Roman"/>
          <w:i/>
          <w:iCs/>
          <w:kern w:val="2"/>
          <w:szCs w:val="24"/>
          <w:lang w:val="en-GB" w:eastAsia="zh-CN"/>
          <w14:ligatures w14:val="standardContextual"/>
        </w:rPr>
        <w:t>Designing, deploying, and evaluating virtual and augmented reality in education</w:t>
      </w:r>
      <w:r w:rsidRPr="00BF4551">
        <w:rPr>
          <w:rFonts w:eastAsia="DengXian" w:cs="Times New Roman"/>
          <w:kern w:val="2"/>
          <w:szCs w:val="24"/>
          <w:lang w:val="en-GB" w:eastAsia="zh-CN"/>
          <w14:ligatures w14:val="standardContextual"/>
        </w:rPr>
        <w:t xml:space="preserve"> (pp. 56–82). </w:t>
      </w:r>
      <w:r w:rsidRPr="00BF4551">
        <w:rPr>
          <w:rFonts w:eastAsia="DengXian" w:cs="Times New Roman"/>
          <w:kern w:val="2"/>
          <w:szCs w:val="24"/>
          <w:lang w:val="es-EC" w:eastAsia="zh-CN"/>
          <w14:ligatures w14:val="standardContextual"/>
        </w:rPr>
        <w:t xml:space="preserve">IGI Global. </w:t>
      </w:r>
    </w:p>
    <w:p w14:paraId="24298750"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Toda, A. M., Klock, A. C. T., Oliveira, W., Palomino, P. T., </w:t>
      </w:r>
      <w:proofErr w:type="spellStart"/>
      <w:r w:rsidRPr="00BF4551">
        <w:rPr>
          <w:rFonts w:eastAsia="DengXian" w:cs="Times New Roman"/>
          <w:kern w:val="2"/>
          <w:szCs w:val="24"/>
          <w:lang w:val="es-EC" w:eastAsia="zh-CN"/>
          <w14:ligatures w14:val="standardContextual"/>
        </w:rPr>
        <w:t>Rodrigues</w:t>
      </w:r>
      <w:proofErr w:type="spellEnd"/>
      <w:r w:rsidRPr="00BF4551">
        <w:rPr>
          <w:rFonts w:eastAsia="DengXian" w:cs="Times New Roman"/>
          <w:kern w:val="2"/>
          <w:szCs w:val="24"/>
          <w:lang w:val="es-EC" w:eastAsia="zh-CN"/>
          <w14:ligatures w14:val="standardContextual"/>
        </w:rPr>
        <w:t xml:space="preserve">, L., Shi, L., Bittencourt, I., Gasparini, I., </w:t>
      </w:r>
      <w:proofErr w:type="spellStart"/>
      <w:r w:rsidRPr="00BF4551">
        <w:rPr>
          <w:rFonts w:eastAsia="DengXian" w:cs="Times New Roman"/>
          <w:kern w:val="2"/>
          <w:szCs w:val="24"/>
          <w:lang w:val="es-EC" w:eastAsia="zh-CN"/>
          <w14:ligatures w14:val="standardContextual"/>
        </w:rPr>
        <w:t>Isotani</w:t>
      </w:r>
      <w:proofErr w:type="spellEnd"/>
      <w:r w:rsidRPr="00BF4551">
        <w:rPr>
          <w:rFonts w:eastAsia="DengXian" w:cs="Times New Roman"/>
          <w:kern w:val="2"/>
          <w:szCs w:val="24"/>
          <w:lang w:val="es-EC" w:eastAsia="zh-CN"/>
          <w14:ligatures w14:val="standardContextual"/>
        </w:rPr>
        <w:t xml:space="preserve">, S., &amp; Cristea, A. I. (2019). </w:t>
      </w:r>
      <w:r w:rsidRPr="00BF4551">
        <w:rPr>
          <w:rFonts w:eastAsia="DengXian" w:cs="Times New Roman"/>
          <w:kern w:val="2"/>
          <w:szCs w:val="24"/>
          <w:lang w:val="en-GB" w:eastAsia="zh-CN"/>
          <w14:ligatures w14:val="standardContextual"/>
        </w:rPr>
        <w:t xml:space="preserve">Analysing gamification elements in educational environments using an existing gamification taxonomy. </w:t>
      </w:r>
      <w:r w:rsidRPr="00BF4551">
        <w:rPr>
          <w:rFonts w:eastAsia="DengXian" w:cs="Times New Roman"/>
          <w:i/>
          <w:iCs/>
          <w:kern w:val="2"/>
          <w:szCs w:val="24"/>
          <w:lang w:val="es-EC" w:eastAsia="zh-CN"/>
          <w14:ligatures w14:val="standardContextual"/>
        </w:rPr>
        <w:t xml:space="preserve">Smart </w:t>
      </w:r>
      <w:proofErr w:type="spellStart"/>
      <w:r w:rsidRPr="00BF4551">
        <w:rPr>
          <w:rFonts w:eastAsia="DengXian" w:cs="Times New Roman"/>
          <w:i/>
          <w:iCs/>
          <w:kern w:val="2"/>
          <w:szCs w:val="24"/>
          <w:lang w:val="es-EC" w:eastAsia="zh-CN"/>
          <w14:ligatures w14:val="standardContextual"/>
        </w:rPr>
        <w:t>Learning</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Environments</w:t>
      </w:r>
      <w:proofErr w:type="spellEnd"/>
      <w:r w:rsidRPr="00BF4551">
        <w:rPr>
          <w:rFonts w:eastAsia="DengXian" w:cs="Times New Roman"/>
          <w:i/>
          <w:iCs/>
          <w:kern w:val="2"/>
          <w:szCs w:val="24"/>
          <w:lang w:val="es-EC" w:eastAsia="zh-CN"/>
          <w14:ligatures w14:val="standardContextual"/>
        </w:rPr>
        <w:t>, 6</w:t>
      </w:r>
      <w:r w:rsidRPr="00BF4551">
        <w:rPr>
          <w:rFonts w:eastAsia="DengXian" w:cs="Times New Roman"/>
          <w:kern w:val="2"/>
          <w:szCs w:val="24"/>
          <w:lang w:val="es-EC" w:eastAsia="zh-CN"/>
          <w14:ligatures w14:val="standardContextual"/>
        </w:rPr>
        <w:t xml:space="preserve">(1), 1–14. </w:t>
      </w:r>
    </w:p>
    <w:p w14:paraId="6838CE5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Trucco, D., &amp; Palma, A. (2020). </w:t>
      </w:r>
      <w:r w:rsidRPr="00BF4551">
        <w:rPr>
          <w:rFonts w:eastAsia="DengXian" w:cs="Times New Roman"/>
          <w:i/>
          <w:iCs/>
          <w:kern w:val="2"/>
          <w:szCs w:val="24"/>
          <w:lang w:val="es-EC" w:eastAsia="zh-CN"/>
          <w14:ligatures w14:val="standardContextual"/>
        </w:rPr>
        <w:t xml:space="preserve">Infancia y adolescencia en la era digital: Un informe comparativo de los estudios de Global </w:t>
      </w:r>
      <w:proofErr w:type="spellStart"/>
      <w:r w:rsidRPr="00BF4551">
        <w:rPr>
          <w:rFonts w:eastAsia="DengXian" w:cs="Times New Roman"/>
          <w:i/>
          <w:iCs/>
          <w:kern w:val="2"/>
          <w:szCs w:val="24"/>
          <w:lang w:val="es-EC" w:eastAsia="zh-CN"/>
          <w14:ligatures w14:val="standardContextual"/>
        </w:rPr>
        <w:t>Kids</w:t>
      </w:r>
      <w:proofErr w:type="spellEnd"/>
      <w:r w:rsidRPr="00BF4551">
        <w:rPr>
          <w:rFonts w:eastAsia="DengXian" w:cs="Times New Roman"/>
          <w:i/>
          <w:iCs/>
          <w:kern w:val="2"/>
          <w:szCs w:val="24"/>
          <w:lang w:val="es-EC" w:eastAsia="zh-CN"/>
          <w14:ligatures w14:val="standardContextual"/>
        </w:rPr>
        <w:t xml:space="preserve"> Online en el Brasil, el Uruguay, Chile y Costa Rica</w:t>
      </w:r>
      <w:r w:rsidRPr="00BF4551">
        <w:rPr>
          <w:rFonts w:eastAsia="DengXian" w:cs="Times New Roman"/>
          <w:kern w:val="2"/>
          <w:szCs w:val="24"/>
          <w:lang w:val="es-EC" w:eastAsia="zh-CN"/>
          <w14:ligatures w14:val="standardContextual"/>
        </w:rPr>
        <w:t xml:space="preserve">. Comisión Económica para América Latina y el Caribe (CEPAL). </w:t>
      </w:r>
    </w:p>
    <w:p w14:paraId="6650EE5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s-EC" w:eastAsia="zh-CN"/>
          <w14:ligatures w14:val="standardContextual"/>
        </w:rPr>
        <w:t xml:space="preserve">UNESCO. (2024). </w:t>
      </w:r>
      <w:r w:rsidRPr="00BF4551">
        <w:rPr>
          <w:rFonts w:eastAsia="DengXian" w:cs="Times New Roman"/>
          <w:i/>
          <w:iCs/>
          <w:kern w:val="2"/>
          <w:szCs w:val="24"/>
          <w:lang w:val="es-EC" w:eastAsia="zh-CN"/>
          <w14:ligatures w14:val="standardContextual"/>
        </w:rPr>
        <w:t>Políticas digitales y el estado de la educación a distancia en América Latina y el Caribe: Desafíos pendientes de infraestructura y equidad</w:t>
      </w:r>
      <w:r w:rsidRPr="00BF4551">
        <w:rPr>
          <w:rFonts w:eastAsia="DengXian" w:cs="Times New Roman"/>
          <w:kern w:val="2"/>
          <w:szCs w:val="24"/>
          <w:lang w:val="es-EC" w:eastAsia="zh-CN"/>
          <w14:ligatures w14:val="standardContextual"/>
        </w:rPr>
        <w:t xml:space="preserve">. Organización de las Naciones Unidas para la Educación, la Ciencia y la Cultura. </w:t>
      </w:r>
    </w:p>
    <w:p w14:paraId="49D480C8"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proofErr w:type="spellStart"/>
      <w:r w:rsidRPr="00BF4551">
        <w:rPr>
          <w:rFonts w:eastAsia="DengXian" w:cs="Times New Roman"/>
          <w:kern w:val="2"/>
          <w:szCs w:val="24"/>
          <w:lang w:val="es-EC" w:eastAsia="zh-CN"/>
          <w14:ligatures w14:val="standardContextual"/>
        </w:rPr>
        <w:t>Windmill</w:t>
      </w:r>
      <w:proofErr w:type="spellEnd"/>
      <w:r w:rsidRPr="00BF4551">
        <w:rPr>
          <w:rFonts w:eastAsia="DengXian" w:cs="Times New Roman"/>
          <w:kern w:val="2"/>
          <w:szCs w:val="24"/>
          <w:lang w:val="es-EC" w:eastAsia="zh-CN"/>
          <w14:ligatures w14:val="standardContextual"/>
        </w:rPr>
        <w:t xml:space="preserve">, E., &amp; </w:t>
      </w:r>
      <w:proofErr w:type="spellStart"/>
      <w:r w:rsidRPr="00BF4551">
        <w:rPr>
          <w:rFonts w:eastAsia="DengXian" w:cs="Times New Roman"/>
          <w:kern w:val="2"/>
          <w:szCs w:val="24"/>
          <w:lang w:val="es-EC" w:eastAsia="zh-CN"/>
          <w14:ligatures w14:val="standardContextual"/>
        </w:rPr>
        <w:t>Rischpater</w:t>
      </w:r>
      <w:proofErr w:type="spellEnd"/>
      <w:r w:rsidRPr="00BF4551">
        <w:rPr>
          <w:rFonts w:eastAsia="DengXian" w:cs="Times New Roman"/>
          <w:kern w:val="2"/>
          <w:szCs w:val="24"/>
          <w:lang w:val="es-EC" w:eastAsia="zh-CN"/>
          <w14:ligatures w14:val="standardContextual"/>
        </w:rPr>
        <w:t xml:space="preserve">, R. (2020). </w:t>
      </w:r>
      <w:proofErr w:type="spellStart"/>
      <w:r w:rsidRPr="00BF4551">
        <w:rPr>
          <w:rFonts w:eastAsia="DengXian" w:cs="Times New Roman"/>
          <w:i/>
          <w:iCs/>
          <w:kern w:val="2"/>
          <w:szCs w:val="24"/>
          <w:lang w:val="es-EC" w:eastAsia="zh-CN"/>
          <w14:ligatures w14:val="standardContextual"/>
        </w:rPr>
        <w:t>Flutter</w:t>
      </w:r>
      <w:proofErr w:type="spellEnd"/>
      <w:r w:rsidRPr="00BF4551">
        <w:rPr>
          <w:rFonts w:eastAsia="DengXian" w:cs="Times New Roman"/>
          <w:i/>
          <w:iCs/>
          <w:kern w:val="2"/>
          <w:szCs w:val="24"/>
          <w:lang w:val="es-EC" w:eastAsia="zh-CN"/>
          <w14:ligatures w14:val="standardContextual"/>
        </w:rPr>
        <w:t xml:space="preserve"> in </w:t>
      </w:r>
      <w:proofErr w:type="spellStart"/>
      <w:r w:rsidRPr="00BF4551">
        <w:rPr>
          <w:rFonts w:eastAsia="DengXian" w:cs="Times New Roman"/>
          <w:i/>
          <w:iCs/>
          <w:kern w:val="2"/>
          <w:szCs w:val="24"/>
          <w:lang w:val="es-EC" w:eastAsia="zh-CN"/>
          <w14:ligatures w14:val="standardContextual"/>
        </w:rPr>
        <w:t>action</w:t>
      </w:r>
      <w:proofErr w:type="spellEnd"/>
      <w:r w:rsidRPr="00BF4551">
        <w:rPr>
          <w:rFonts w:eastAsia="DengXian" w:cs="Times New Roman"/>
          <w:kern w:val="2"/>
          <w:szCs w:val="24"/>
          <w:lang w:val="es-EC" w:eastAsia="zh-CN"/>
          <w14:ligatures w14:val="standardContextual"/>
        </w:rPr>
        <w:t xml:space="preserve">. Manning. </w:t>
      </w:r>
    </w:p>
    <w:p w14:paraId="785D5830"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de-DE" w:eastAsia="zh-CN"/>
          <w14:ligatures w14:val="standardContextual"/>
        </w:rPr>
        <w:t xml:space="preserve">Wollny, S., Schneider, J., Di Mitri, D., Weidlich, J., Rittberger, M., &amp; </w:t>
      </w:r>
      <w:proofErr w:type="spellStart"/>
      <w:r w:rsidRPr="00BF4551">
        <w:rPr>
          <w:rFonts w:eastAsia="DengXian" w:cs="Times New Roman"/>
          <w:kern w:val="2"/>
          <w:szCs w:val="24"/>
          <w:lang w:val="de-DE" w:eastAsia="zh-CN"/>
          <w14:ligatures w14:val="standardContextual"/>
        </w:rPr>
        <w:t>Drachsler</w:t>
      </w:r>
      <w:proofErr w:type="spellEnd"/>
      <w:r w:rsidRPr="00BF4551">
        <w:rPr>
          <w:rFonts w:eastAsia="DengXian" w:cs="Times New Roman"/>
          <w:kern w:val="2"/>
          <w:szCs w:val="24"/>
          <w:lang w:val="de-DE" w:eastAsia="zh-CN"/>
          <w14:ligatures w14:val="standardContextual"/>
        </w:rPr>
        <w:t xml:space="preserve">, H. (2021). </w:t>
      </w:r>
      <w:r w:rsidRPr="00BF4551">
        <w:rPr>
          <w:rFonts w:eastAsia="DengXian" w:cs="Times New Roman"/>
          <w:kern w:val="2"/>
          <w:szCs w:val="24"/>
          <w:lang w:val="en-GB" w:eastAsia="zh-CN"/>
          <w14:ligatures w14:val="standardContextual"/>
        </w:rPr>
        <w:t xml:space="preserve">Are we there yet? A systematic literature review on chatbots in education. </w:t>
      </w:r>
      <w:proofErr w:type="spellStart"/>
      <w:r w:rsidRPr="00BF4551">
        <w:rPr>
          <w:rFonts w:eastAsia="DengXian" w:cs="Times New Roman"/>
          <w:i/>
          <w:iCs/>
          <w:kern w:val="2"/>
          <w:szCs w:val="24"/>
          <w:lang w:val="es-EC" w:eastAsia="zh-CN"/>
          <w14:ligatures w14:val="standardContextual"/>
        </w:rPr>
        <w:t>Frontiers</w:t>
      </w:r>
      <w:proofErr w:type="spellEnd"/>
      <w:r w:rsidRPr="00BF4551">
        <w:rPr>
          <w:rFonts w:eastAsia="DengXian" w:cs="Times New Roman"/>
          <w:i/>
          <w:iCs/>
          <w:kern w:val="2"/>
          <w:szCs w:val="24"/>
          <w:lang w:val="es-EC" w:eastAsia="zh-CN"/>
          <w14:ligatures w14:val="standardContextual"/>
        </w:rPr>
        <w:t xml:space="preserve"> in Artificial </w:t>
      </w:r>
      <w:proofErr w:type="spellStart"/>
      <w:r w:rsidRPr="00BF4551">
        <w:rPr>
          <w:rFonts w:eastAsia="DengXian" w:cs="Times New Roman"/>
          <w:i/>
          <w:iCs/>
          <w:kern w:val="2"/>
          <w:szCs w:val="24"/>
          <w:lang w:val="es-EC" w:eastAsia="zh-CN"/>
          <w14:ligatures w14:val="standardContextual"/>
        </w:rPr>
        <w:t>Intelligence</w:t>
      </w:r>
      <w:proofErr w:type="spellEnd"/>
      <w:r w:rsidRPr="00BF4551">
        <w:rPr>
          <w:rFonts w:eastAsia="DengXian" w:cs="Times New Roman"/>
          <w:i/>
          <w:iCs/>
          <w:kern w:val="2"/>
          <w:szCs w:val="24"/>
          <w:lang w:val="es-EC" w:eastAsia="zh-CN"/>
          <w14:ligatures w14:val="standardContextual"/>
        </w:rPr>
        <w:t>, 4</w:t>
      </w:r>
      <w:r w:rsidRPr="00BF4551">
        <w:rPr>
          <w:rFonts w:eastAsia="DengXian" w:cs="Times New Roman"/>
          <w:kern w:val="2"/>
          <w:szCs w:val="24"/>
          <w:lang w:val="es-EC" w:eastAsia="zh-CN"/>
          <w14:ligatures w14:val="standardContextual"/>
        </w:rPr>
        <w:t xml:space="preserve">, </w:t>
      </w:r>
      <w:proofErr w:type="spellStart"/>
      <w:r w:rsidRPr="00BF4551">
        <w:rPr>
          <w:rFonts w:eastAsia="DengXian" w:cs="Times New Roman"/>
          <w:kern w:val="2"/>
          <w:szCs w:val="24"/>
          <w:lang w:val="es-EC" w:eastAsia="zh-CN"/>
          <w14:ligatures w14:val="standardContextual"/>
        </w:rPr>
        <w:t>Article</w:t>
      </w:r>
      <w:proofErr w:type="spellEnd"/>
      <w:r w:rsidRPr="00BF4551">
        <w:rPr>
          <w:rFonts w:eastAsia="DengXian" w:cs="Times New Roman"/>
          <w:kern w:val="2"/>
          <w:szCs w:val="24"/>
          <w:lang w:val="es-EC" w:eastAsia="zh-CN"/>
          <w14:ligatures w14:val="standardContextual"/>
        </w:rPr>
        <w:t xml:space="preserve"> 654924. </w:t>
      </w:r>
    </w:p>
    <w:p w14:paraId="300D19FB" w14:textId="77777777" w:rsidR="00BF4551" w:rsidRPr="00BF4551" w:rsidRDefault="00BF4551" w:rsidP="00BF4551">
      <w:pPr>
        <w:numPr>
          <w:ilvl w:val="0"/>
          <w:numId w:val="13"/>
        </w:numPr>
        <w:spacing w:after="0" w:line="240" w:lineRule="auto"/>
        <w:jc w:val="both"/>
        <w:rPr>
          <w:rFonts w:eastAsia="DengXian" w:cs="Times New Roman"/>
          <w:kern w:val="2"/>
          <w:szCs w:val="24"/>
          <w:lang w:val="es-EC" w:eastAsia="zh-CN"/>
          <w14:ligatures w14:val="standardContextual"/>
        </w:rPr>
      </w:pPr>
      <w:r w:rsidRPr="00BF4551">
        <w:rPr>
          <w:rFonts w:eastAsia="DengXian" w:cs="Times New Roman"/>
          <w:kern w:val="2"/>
          <w:szCs w:val="24"/>
          <w:lang w:val="en-GB" w:eastAsia="zh-CN"/>
          <w14:ligatures w14:val="standardContextual"/>
        </w:rPr>
        <w:t xml:space="preserve">Xi, N., &amp; Hamari, J. (2019). Does gamification satisfy needs? A study on the relationship between gamification features and intrinsic need satisfaction. </w:t>
      </w:r>
      <w:r w:rsidRPr="00BF4551">
        <w:rPr>
          <w:rFonts w:eastAsia="DengXian" w:cs="Times New Roman"/>
          <w:i/>
          <w:iCs/>
          <w:kern w:val="2"/>
          <w:szCs w:val="24"/>
          <w:lang w:val="es-EC" w:eastAsia="zh-CN"/>
          <w14:ligatures w14:val="standardContextual"/>
        </w:rPr>
        <w:t xml:space="preserve">International </w:t>
      </w:r>
      <w:proofErr w:type="spellStart"/>
      <w:r w:rsidRPr="00BF4551">
        <w:rPr>
          <w:rFonts w:eastAsia="DengXian" w:cs="Times New Roman"/>
          <w:i/>
          <w:iCs/>
          <w:kern w:val="2"/>
          <w:szCs w:val="24"/>
          <w:lang w:val="es-EC" w:eastAsia="zh-CN"/>
          <w14:ligatures w14:val="standardContextual"/>
        </w:rPr>
        <w:t>Journal</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of</w:t>
      </w:r>
      <w:proofErr w:type="spellEnd"/>
      <w:r w:rsidRPr="00BF4551">
        <w:rPr>
          <w:rFonts w:eastAsia="DengXian" w:cs="Times New Roman"/>
          <w:i/>
          <w:iCs/>
          <w:kern w:val="2"/>
          <w:szCs w:val="24"/>
          <w:lang w:val="es-EC" w:eastAsia="zh-CN"/>
          <w14:ligatures w14:val="standardContextual"/>
        </w:rPr>
        <w:t xml:space="preserve"> </w:t>
      </w:r>
      <w:proofErr w:type="spellStart"/>
      <w:r w:rsidRPr="00BF4551">
        <w:rPr>
          <w:rFonts w:eastAsia="DengXian" w:cs="Times New Roman"/>
          <w:i/>
          <w:iCs/>
          <w:kern w:val="2"/>
          <w:szCs w:val="24"/>
          <w:lang w:val="es-EC" w:eastAsia="zh-CN"/>
          <w14:ligatures w14:val="standardContextual"/>
        </w:rPr>
        <w:t>Information</w:t>
      </w:r>
      <w:proofErr w:type="spellEnd"/>
      <w:r w:rsidRPr="00BF4551">
        <w:rPr>
          <w:rFonts w:eastAsia="DengXian" w:cs="Times New Roman"/>
          <w:i/>
          <w:iCs/>
          <w:kern w:val="2"/>
          <w:szCs w:val="24"/>
          <w:lang w:val="es-EC" w:eastAsia="zh-CN"/>
          <w14:ligatures w14:val="standardContextual"/>
        </w:rPr>
        <w:t xml:space="preserve"> Management, 46</w:t>
      </w:r>
      <w:r w:rsidRPr="00BF4551">
        <w:rPr>
          <w:rFonts w:eastAsia="DengXian" w:cs="Times New Roman"/>
          <w:kern w:val="2"/>
          <w:szCs w:val="24"/>
          <w:lang w:val="es-EC" w:eastAsia="zh-CN"/>
          <w14:ligatures w14:val="standardContextual"/>
        </w:rPr>
        <w:t xml:space="preserve">, 210–221. </w:t>
      </w:r>
      <w:hyperlink r:id="rId24" w:tgtFrame="_new" w:history="1">
        <w:r w:rsidRPr="00BF4551">
          <w:rPr>
            <w:rStyle w:val="Hipervnculo"/>
            <w:rFonts w:eastAsia="DengXian" w:cs="Times New Roman"/>
            <w:kern w:val="2"/>
            <w:szCs w:val="24"/>
            <w:lang w:val="es-EC" w:eastAsia="zh-CN"/>
            <w14:ligatures w14:val="standardContextual"/>
          </w:rPr>
          <w:t>https://doi.org/10.1016/j.ijinfomgt.2018.12.002</w:t>
        </w:r>
      </w:hyperlink>
    </w:p>
    <w:p w14:paraId="01AA856F" w14:textId="77777777" w:rsidR="00BF4551" w:rsidRPr="00BF4551" w:rsidRDefault="00BF4551" w:rsidP="00BF4551">
      <w:pPr>
        <w:spacing w:after="0" w:line="240" w:lineRule="auto"/>
        <w:jc w:val="both"/>
        <w:rPr>
          <w:rFonts w:eastAsia="DengXian" w:cs="Times New Roman"/>
          <w:kern w:val="2"/>
          <w:szCs w:val="24"/>
          <w:lang w:val="es-EC" w:eastAsia="zh-CN"/>
          <w14:ligatures w14:val="standardContextual"/>
        </w:rPr>
      </w:pPr>
    </w:p>
    <w:p w14:paraId="27A677FD" w14:textId="77777777" w:rsidR="0008489A" w:rsidRPr="007179CA" w:rsidRDefault="0008489A" w:rsidP="00BF4551">
      <w:pPr>
        <w:spacing w:after="0" w:line="240" w:lineRule="auto"/>
        <w:jc w:val="both"/>
      </w:pPr>
    </w:p>
    <w:sectPr w:rsidR="0008489A" w:rsidRPr="007179CA" w:rsidSect="00A4695F">
      <w:headerReference w:type="default" r:id="rId25"/>
      <w:pgSz w:w="12240" w:h="15840"/>
      <w:pgMar w:top="1949" w:right="1460" w:bottom="1702" w:left="1306" w:header="709"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9587" w14:textId="77777777" w:rsidR="00E21629" w:rsidRDefault="00E21629" w:rsidP="00781846">
      <w:pPr>
        <w:spacing w:after="0" w:line="240" w:lineRule="auto"/>
      </w:pPr>
      <w:r>
        <w:separator/>
      </w:r>
    </w:p>
  </w:endnote>
  <w:endnote w:type="continuationSeparator" w:id="0">
    <w:p w14:paraId="170882F0" w14:textId="77777777" w:rsidR="00E21629" w:rsidRDefault="00E21629" w:rsidP="0078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86E1" w14:textId="77777777" w:rsidR="00E21629" w:rsidRDefault="00E21629" w:rsidP="00781846">
      <w:pPr>
        <w:spacing w:after="0" w:line="240" w:lineRule="auto"/>
      </w:pPr>
      <w:r>
        <w:separator/>
      </w:r>
    </w:p>
  </w:footnote>
  <w:footnote w:type="continuationSeparator" w:id="0">
    <w:p w14:paraId="3996D1F1" w14:textId="77777777" w:rsidR="00E21629" w:rsidRDefault="00E21629" w:rsidP="0078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663142"/>
      <w:docPartObj>
        <w:docPartGallery w:val="Page Numbers (Top of Page)"/>
        <w:docPartUnique/>
      </w:docPartObj>
    </w:sdtPr>
    <w:sdtContent>
      <w:p w14:paraId="6FFE0CE3" w14:textId="77777777" w:rsidR="00AC55EB" w:rsidRDefault="00AC55EB">
        <w:pPr>
          <w:pStyle w:val="Encabezado"/>
          <w:jc w:val="right"/>
        </w:pPr>
        <w:r>
          <w:fldChar w:fldCharType="begin"/>
        </w:r>
        <w:r>
          <w:instrText>PAGE   \* MERGEFORMAT</w:instrText>
        </w:r>
        <w:r>
          <w:fldChar w:fldCharType="separate"/>
        </w:r>
        <w:r>
          <w:rPr>
            <w:lang w:val="es-ES"/>
          </w:rPr>
          <w:t>2</w:t>
        </w:r>
        <w:r>
          <w:fldChar w:fldCharType="end"/>
        </w:r>
      </w:p>
    </w:sdtContent>
  </w:sdt>
  <w:p w14:paraId="00414E2A" w14:textId="77777777" w:rsidR="00AC55EB" w:rsidRDefault="00AC55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7F2"/>
    <w:multiLevelType w:val="hybridMultilevel"/>
    <w:tmpl w:val="7D44110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1F8180E"/>
    <w:multiLevelType w:val="hybridMultilevel"/>
    <w:tmpl w:val="041640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F87324"/>
    <w:multiLevelType w:val="hybridMultilevel"/>
    <w:tmpl w:val="D78E1894"/>
    <w:lvl w:ilvl="0" w:tplc="300A0017">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1B3D29FD"/>
    <w:multiLevelType w:val="hybridMultilevel"/>
    <w:tmpl w:val="FAFAECB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E821F7D"/>
    <w:multiLevelType w:val="hybridMultilevel"/>
    <w:tmpl w:val="45CE648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0DA1187"/>
    <w:multiLevelType w:val="hybridMultilevel"/>
    <w:tmpl w:val="D3BED8DC"/>
    <w:lvl w:ilvl="0" w:tplc="CD06D82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38B961EB"/>
    <w:multiLevelType w:val="hybridMultilevel"/>
    <w:tmpl w:val="77BCFC8E"/>
    <w:lvl w:ilvl="0" w:tplc="976A4DE0">
      <w:numFmt w:val="bullet"/>
      <w:lvlText w:val="-"/>
      <w:lvlJc w:val="left"/>
      <w:pPr>
        <w:ind w:left="106" w:hanging="260"/>
      </w:pPr>
      <w:rPr>
        <w:rFonts w:ascii="Verdana" w:eastAsia="Verdana" w:hAnsi="Verdana" w:cs="Verdana" w:hint="default"/>
        <w:b w:val="0"/>
        <w:bCs w:val="0"/>
        <w:i w:val="0"/>
        <w:iCs w:val="0"/>
        <w:spacing w:val="0"/>
        <w:w w:val="73"/>
        <w:sz w:val="18"/>
        <w:szCs w:val="18"/>
        <w:lang w:val="es-ES" w:eastAsia="en-US" w:bidi="ar-SA"/>
      </w:rPr>
    </w:lvl>
    <w:lvl w:ilvl="1" w:tplc="FDF64F4E">
      <w:numFmt w:val="bullet"/>
      <w:lvlText w:val="•"/>
      <w:lvlJc w:val="left"/>
      <w:pPr>
        <w:ind w:left="367" w:hanging="260"/>
      </w:pPr>
      <w:rPr>
        <w:rFonts w:hint="default"/>
        <w:lang w:val="es-ES" w:eastAsia="en-US" w:bidi="ar-SA"/>
      </w:rPr>
    </w:lvl>
    <w:lvl w:ilvl="2" w:tplc="D6226DD4">
      <w:numFmt w:val="bullet"/>
      <w:lvlText w:val="•"/>
      <w:lvlJc w:val="left"/>
      <w:pPr>
        <w:ind w:left="635" w:hanging="260"/>
      </w:pPr>
      <w:rPr>
        <w:rFonts w:hint="default"/>
        <w:lang w:val="es-ES" w:eastAsia="en-US" w:bidi="ar-SA"/>
      </w:rPr>
    </w:lvl>
    <w:lvl w:ilvl="3" w:tplc="00A628E0">
      <w:numFmt w:val="bullet"/>
      <w:lvlText w:val="•"/>
      <w:lvlJc w:val="left"/>
      <w:pPr>
        <w:ind w:left="902" w:hanging="260"/>
      </w:pPr>
      <w:rPr>
        <w:rFonts w:hint="default"/>
        <w:lang w:val="es-ES" w:eastAsia="en-US" w:bidi="ar-SA"/>
      </w:rPr>
    </w:lvl>
    <w:lvl w:ilvl="4" w:tplc="82E873E6">
      <w:numFmt w:val="bullet"/>
      <w:lvlText w:val="•"/>
      <w:lvlJc w:val="left"/>
      <w:pPr>
        <w:ind w:left="1170" w:hanging="260"/>
      </w:pPr>
      <w:rPr>
        <w:rFonts w:hint="default"/>
        <w:lang w:val="es-ES" w:eastAsia="en-US" w:bidi="ar-SA"/>
      </w:rPr>
    </w:lvl>
    <w:lvl w:ilvl="5" w:tplc="AF2E2960">
      <w:numFmt w:val="bullet"/>
      <w:lvlText w:val="•"/>
      <w:lvlJc w:val="left"/>
      <w:pPr>
        <w:ind w:left="1437" w:hanging="260"/>
      </w:pPr>
      <w:rPr>
        <w:rFonts w:hint="default"/>
        <w:lang w:val="es-ES" w:eastAsia="en-US" w:bidi="ar-SA"/>
      </w:rPr>
    </w:lvl>
    <w:lvl w:ilvl="6" w:tplc="B99AECB6">
      <w:numFmt w:val="bullet"/>
      <w:lvlText w:val="•"/>
      <w:lvlJc w:val="left"/>
      <w:pPr>
        <w:ind w:left="1705" w:hanging="260"/>
      </w:pPr>
      <w:rPr>
        <w:rFonts w:hint="default"/>
        <w:lang w:val="es-ES" w:eastAsia="en-US" w:bidi="ar-SA"/>
      </w:rPr>
    </w:lvl>
    <w:lvl w:ilvl="7" w:tplc="A956F318">
      <w:numFmt w:val="bullet"/>
      <w:lvlText w:val="•"/>
      <w:lvlJc w:val="left"/>
      <w:pPr>
        <w:ind w:left="1972" w:hanging="260"/>
      </w:pPr>
      <w:rPr>
        <w:rFonts w:hint="default"/>
        <w:lang w:val="es-ES" w:eastAsia="en-US" w:bidi="ar-SA"/>
      </w:rPr>
    </w:lvl>
    <w:lvl w:ilvl="8" w:tplc="6FFA6478">
      <w:numFmt w:val="bullet"/>
      <w:lvlText w:val="•"/>
      <w:lvlJc w:val="left"/>
      <w:pPr>
        <w:ind w:left="2240" w:hanging="260"/>
      </w:pPr>
      <w:rPr>
        <w:rFonts w:hint="default"/>
        <w:lang w:val="es-ES" w:eastAsia="en-US" w:bidi="ar-SA"/>
      </w:rPr>
    </w:lvl>
  </w:abstractNum>
  <w:abstractNum w:abstractNumId="7" w15:restartNumberingAfterBreak="0">
    <w:nsid w:val="44BA49BD"/>
    <w:multiLevelType w:val="hybridMultilevel"/>
    <w:tmpl w:val="838E725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46DA58AA"/>
    <w:multiLevelType w:val="multilevel"/>
    <w:tmpl w:val="5D6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639B4"/>
    <w:multiLevelType w:val="hybridMultilevel"/>
    <w:tmpl w:val="729C4CC6"/>
    <w:lvl w:ilvl="0" w:tplc="03F2C4FC">
      <w:start w:val="1"/>
      <w:numFmt w:val="lowerLetter"/>
      <w:lvlText w:val="%1."/>
      <w:lvlJc w:val="left"/>
      <w:pPr>
        <w:ind w:left="1040" w:hanging="360"/>
      </w:pPr>
      <w:rPr>
        <w:rFonts w:hint="default"/>
      </w:rPr>
    </w:lvl>
    <w:lvl w:ilvl="1" w:tplc="300A0019" w:tentative="1">
      <w:start w:val="1"/>
      <w:numFmt w:val="lowerLetter"/>
      <w:lvlText w:val="%2."/>
      <w:lvlJc w:val="left"/>
      <w:pPr>
        <w:ind w:left="1760" w:hanging="360"/>
      </w:pPr>
    </w:lvl>
    <w:lvl w:ilvl="2" w:tplc="300A001B" w:tentative="1">
      <w:start w:val="1"/>
      <w:numFmt w:val="lowerRoman"/>
      <w:lvlText w:val="%3."/>
      <w:lvlJc w:val="right"/>
      <w:pPr>
        <w:ind w:left="2480" w:hanging="180"/>
      </w:pPr>
    </w:lvl>
    <w:lvl w:ilvl="3" w:tplc="300A000F" w:tentative="1">
      <w:start w:val="1"/>
      <w:numFmt w:val="decimal"/>
      <w:lvlText w:val="%4."/>
      <w:lvlJc w:val="left"/>
      <w:pPr>
        <w:ind w:left="3200" w:hanging="360"/>
      </w:pPr>
    </w:lvl>
    <w:lvl w:ilvl="4" w:tplc="300A0019" w:tentative="1">
      <w:start w:val="1"/>
      <w:numFmt w:val="lowerLetter"/>
      <w:lvlText w:val="%5."/>
      <w:lvlJc w:val="left"/>
      <w:pPr>
        <w:ind w:left="3920" w:hanging="360"/>
      </w:pPr>
    </w:lvl>
    <w:lvl w:ilvl="5" w:tplc="300A001B" w:tentative="1">
      <w:start w:val="1"/>
      <w:numFmt w:val="lowerRoman"/>
      <w:lvlText w:val="%6."/>
      <w:lvlJc w:val="right"/>
      <w:pPr>
        <w:ind w:left="4640" w:hanging="180"/>
      </w:pPr>
    </w:lvl>
    <w:lvl w:ilvl="6" w:tplc="300A000F" w:tentative="1">
      <w:start w:val="1"/>
      <w:numFmt w:val="decimal"/>
      <w:lvlText w:val="%7."/>
      <w:lvlJc w:val="left"/>
      <w:pPr>
        <w:ind w:left="5360" w:hanging="360"/>
      </w:pPr>
    </w:lvl>
    <w:lvl w:ilvl="7" w:tplc="300A0019" w:tentative="1">
      <w:start w:val="1"/>
      <w:numFmt w:val="lowerLetter"/>
      <w:lvlText w:val="%8."/>
      <w:lvlJc w:val="left"/>
      <w:pPr>
        <w:ind w:left="6080" w:hanging="360"/>
      </w:pPr>
    </w:lvl>
    <w:lvl w:ilvl="8" w:tplc="300A001B" w:tentative="1">
      <w:start w:val="1"/>
      <w:numFmt w:val="lowerRoman"/>
      <w:lvlText w:val="%9."/>
      <w:lvlJc w:val="right"/>
      <w:pPr>
        <w:ind w:left="6800" w:hanging="180"/>
      </w:pPr>
    </w:lvl>
  </w:abstractNum>
  <w:abstractNum w:abstractNumId="10" w15:restartNumberingAfterBreak="0">
    <w:nsid w:val="75161755"/>
    <w:multiLevelType w:val="multilevel"/>
    <w:tmpl w:val="C7FEDD14"/>
    <w:lvl w:ilvl="0">
      <w:start w:val="1"/>
      <w:numFmt w:val="decimal"/>
      <w:pStyle w:val="Ttulo2"/>
      <w:lvlText w:val="%1."/>
      <w:lvlJc w:val="left"/>
      <w:pPr>
        <w:ind w:left="720" w:hanging="360"/>
      </w:pPr>
      <w:rPr>
        <w:rFonts w:hint="default"/>
        <w:i w:val="0"/>
        <w:iCs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11" w15:restartNumberingAfterBreak="0">
    <w:nsid w:val="7C761A4A"/>
    <w:multiLevelType w:val="hybridMultilevel"/>
    <w:tmpl w:val="F8C41DE6"/>
    <w:lvl w:ilvl="0" w:tplc="79B20FCC">
      <w:start w:val="1"/>
      <w:numFmt w:val="lowerLetter"/>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76756205">
    <w:abstractNumId w:val="5"/>
  </w:num>
  <w:num w:numId="2" w16cid:durableId="158276809">
    <w:abstractNumId w:val="10"/>
  </w:num>
  <w:num w:numId="3" w16cid:durableId="1168518722">
    <w:abstractNumId w:val="10"/>
    <w:lvlOverride w:ilvl="0">
      <w:startOverride w:val="1"/>
    </w:lvlOverride>
  </w:num>
  <w:num w:numId="4" w16cid:durableId="20591161">
    <w:abstractNumId w:val="11"/>
  </w:num>
  <w:num w:numId="5" w16cid:durableId="1958218510">
    <w:abstractNumId w:val="7"/>
  </w:num>
  <w:num w:numId="6" w16cid:durableId="861288802">
    <w:abstractNumId w:val="3"/>
  </w:num>
  <w:num w:numId="7" w16cid:durableId="178813132">
    <w:abstractNumId w:val="9"/>
  </w:num>
  <w:num w:numId="8" w16cid:durableId="104887327">
    <w:abstractNumId w:val="2"/>
  </w:num>
  <w:num w:numId="9" w16cid:durableId="1624994507">
    <w:abstractNumId w:val="6"/>
  </w:num>
  <w:num w:numId="10" w16cid:durableId="1902522344">
    <w:abstractNumId w:val="1"/>
  </w:num>
  <w:num w:numId="11" w16cid:durableId="1690527171">
    <w:abstractNumId w:val="0"/>
  </w:num>
  <w:num w:numId="12" w16cid:durableId="508954996">
    <w:abstractNumId w:val="8"/>
  </w:num>
  <w:num w:numId="13" w16cid:durableId="332299856">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DF"/>
    <w:rsid w:val="00002598"/>
    <w:rsid w:val="00007135"/>
    <w:rsid w:val="00007873"/>
    <w:rsid w:val="00013C0F"/>
    <w:rsid w:val="00015630"/>
    <w:rsid w:val="0002237F"/>
    <w:rsid w:val="00024262"/>
    <w:rsid w:val="000246C1"/>
    <w:rsid w:val="00034FEB"/>
    <w:rsid w:val="000409CC"/>
    <w:rsid w:val="000419AD"/>
    <w:rsid w:val="00053F20"/>
    <w:rsid w:val="000577DD"/>
    <w:rsid w:val="00057B43"/>
    <w:rsid w:val="00057C5D"/>
    <w:rsid w:val="000661DB"/>
    <w:rsid w:val="00067BBB"/>
    <w:rsid w:val="00071100"/>
    <w:rsid w:val="00080A9A"/>
    <w:rsid w:val="0008489A"/>
    <w:rsid w:val="00084A02"/>
    <w:rsid w:val="00087A6F"/>
    <w:rsid w:val="000A42E6"/>
    <w:rsid w:val="000A4652"/>
    <w:rsid w:val="000A673B"/>
    <w:rsid w:val="000B0240"/>
    <w:rsid w:val="000B31CC"/>
    <w:rsid w:val="000B3EF4"/>
    <w:rsid w:val="000B6676"/>
    <w:rsid w:val="000C185D"/>
    <w:rsid w:val="000C549C"/>
    <w:rsid w:val="000C5993"/>
    <w:rsid w:val="000D793E"/>
    <w:rsid w:val="000E0262"/>
    <w:rsid w:val="000E1220"/>
    <w:rsid w:val="000E296B"/>
    <w:rsid w:val="000E6CA9"/>
    <w:rsid w:val="000E7C98"/>
    <w:rsid w:val="000F2B0E"/>
    <w:rsid w:val="000F41AE"/>
    <w:rsid w:val="000F7794"/>
    <w:rsid w:val="00102E9F"/>
    <w:rsid w:val="0010501D"/>
    <w:rsid w:val="00107F24"/>
    <w:rsid w:val="001100EC"/>
    <w:rsid w:val="00111748"/>
    <w:rsid w:val="00111BDC"/>
    <w:rsid w:val="00124C18"/>
    <w:rsid w:val="001271AF"/>
    <w:rsid w:val="0013397E"/>
    <w:rsid w:val="00133ECE"/>
    <w:rsid w:val="0013413E"/>
    <w:rsid w:val="00134151"/>
    <w:rsid w:val="00135307"/>
    <w:rsid w:val="00136C3A"/>
    <w:rsid w:val="001410CE"/>
    <w:rsid w:val="00141A24"/>
    <w:rsid w:val="00143459"/>
    <w:rsid w:val="00144F90"/>
    <w:rsid w:val="001459AF"/>
    <w:rsid w:val="00145BCE"/>
    <w:rsid w:val="00145E95"/>
    <w:rsid w:val="00150E25"/>
    <w:rsid w:val="0015144C"/>
    <w:rsid w:val="00153B8D"/>
    <w:rsid w:val="001544F0"/>
    <w:rsid w:val="00155137"/>
    <w:rsid w:val="001617A6"/>
    <w:rsid w:val="00164A8E"/>
    <w:rsid w:val="00172F18"/>
    <w:rsid w:val="0017557A"/>
    <w:rsid w:val="00176F02"/>
    <w:rsid w:val="0017756E"/>
    <w:rsid w:val="00177C7F"/>
    <w:rsid w:val="00180C39"/>
    <w:rsid w:val="00193934"/>
    <w:rsid w:val="0019719B"/>
    <w:rsid w:val="001A2408"/>
    <w:rsid w:val="001A6903"/>
    <w:rsid w:val="001B222F"/>
    <w:rsid w:val="001C145E"/>
    <w:rsid w:val="001C6F88"/>
    <w:rsid w:val="001D05E7"/>
    <w:rsid w:val="001D23A6"/>
    <w:rsid w:val="001D2D91"/>
    <w:rsid w:val="001D47C0"/>
    <w:rsid w:val="001E0792"/>
    <w:rsid w:val="001E4AEF"/>
    <w:rsid w:val="001F2573"/>
    <w:rsid w:val="001F2D49"/>
    <w:rsid w:val="001F766A"/>
    <w:rsid w:val="001F7DC3"/>
    <w:rsid w:val="00204183"/>
    <w:rsid w:val="002055DE"/>
    <w:rsid w:val="00205630"/>
    <w:rsid w:val="002105DF"/>
    <w:rsid w:val="00212FC3"/>
    <w:rsid w:val="002179EE"/>
    <w:rsid w:val="00217F1A"/>
    <w:rsid w:val="0022059D"/>
    <w:rsid w:val="00220D04"/>
    <w:rsid w:val="00220EDC"/>
    <w:rsid w:val="00223D0E"/>
    <w:rsid w:val="002274B9"/>
    <w:rsid w:val="00230A6F"/>
    <w:rsid w:val="00235B73"/>
    <w:rsid w:val="00236E53"/>
    <w:rsid w:val="00250EB8"/>
    <w:rsid w:val="00252829"/>
    <w:rsid w:val="002600BC"/>
    <w:rsid w:val="0026302C"/>
    <w:rsid w:val="00263D25"/>
    <w:rsid w:val="00272241"/>
    <w:rsid w:val="00273FD5"/>
    <w:rsid w:val="002747A3"/>
    <w:rsid w:val="00274B21"/>
    <w:rsid w:val="00277C5A"/>
    <w:rsid w:val="00282D8B"/>
    <w:rsid w:val="00283479"/>
    <w:rsid w:val="002845D7"/>
    <w:rsid w:val="0028666F"/>
    <w:rsid w:val="0029082E"/>
    <w:rsid w:val="00294E52"/>
    <w:rsid w:val="0029657F"/>
    <w:rsid w:val="0029758D"/>
    <w:rsid w:val="00297C40"/>
    <w:rsid w:val="002A4EEE"/>
    <w:rsid w:val="002A53D7"/>
    <w:rsid w:val="002B199B"/>
    <w:rsid w:val="002B45E1"/>
    <w:rsid w:val="002B6EC8"/>
    <w:rsid w:val="002C34A1"/>
    <w:rsid w:val="002C6153"/>
    <w:rsid w:val="002D4253"/>
    <w:rsid w:val="002D44CB"/>
    <w:rsid w:val="002D5888"/>
    <w:rsid w:val="002E0906"/>
    <w:rsid w:val="002E0C9B"/>
    <w:rsid w:val="002E2AD0"/>
    <w:rsid w:val="002E42B1"/>
    <w:rsid w:val="002E514B"/>
    <w:rsid w:val="002F0536"/>
    <w:rsid w:val="002F5B56"/>
    <w:rsid w:val="003010E3"/>
    <w:rsid w:val="00302491"/>
    <w:rsid w:val="00302EDB"/>
    <w:rsid w:val="003057C0"/>
    <w:rsid w:val="00306EC5"/>
    <w:rsid w:val="0031106B"/>
    <w:rsid w:val="0031274A"/>
    <w:rsid w:val="00314EBD"/>
    <w:rsid w:val="003232D8"/>
    <w:rsid w:val="0032462E"/>
    <w:rsid w:val="003322A7"/>
    <w:rsid w:val="003327B8"/>
    <w:rsid w:val="00334D56"/>
    <w:rsid w:val="00335EE5"/>
    <w:rsid w:val="00337139"/>
    <w:rsid w:val="0035373D"/>
    <w:rsid w:val="00354C26"/>
    <w:rsid w:val="003550AE"/>
    <w:rsid w:val="00367889"/>
    <w:rsid w:val="00371B5A"/>
    <w:rsid w:val="00373DFA"/>
    <w:rsid w:val="00376D04"/>
    <w:rsid w:val="00380AAF"/>
    <w:rsid w:val="00382B6C"/>
    <w:rsid w:val="00382D44"/>
    <w:rsid w:val="003844A6"/>
    <w:rsid w:val="0039039E"/>
    <w:rsid w:val="00390E81"/>
    <w:rsid w:val="0039269B"/>
    <w:rsid w:val="003979F5"/>
    <w:rsid w:val="003A4A14"/>
    <w:rsid w:val="003A6A91"/>
    <w:rsid w:val="003A6FA8"/>
    <w:rsid w:val="003A7D48"/>
    <w:rsid w:val="003B12D5"/>
    <w:rsid w:val="003B20BD"/>
    <w:rsid w:val="003B3E10"/>
    <w:rsid w:val="003B6B67"/>
    <w:rsid w:val="003C0A2A"/>
    <w:rsid w:val="003C25F6"/>
    <w:rsid w:val="003C330C"/>
    <w:rsid w:val="003D04F6"/>
    <w:rsid w:val="003D475D"/>
    <w:rsid w:val="003D6751"/>
    <w:rsid w:val="003D6819"/>
    <w:rsid w:val="003F072E"/>
    <w:rsid w:val="00404B68"/>
    <w:rsid w:val="00404F69"/>
    <w:rsid w:val="0040632E"/>
    <w:rsid w:val="004110AB"/>
    <w:rsid w:val="0042190B"/>
    <w:rsid w:val="00424A8B"/>
    <w:rsid w:val="004323BF"/>
    <w:rsid w:val="004326A5"/>
    <w:rsid w:val="00440962"/>
    <w:rsid w:val="00441275"/>
    <w:rsid w:val="00444354"/>
    <w:rsid w:val="00453191"/>
    <w:rsid w:val="0045489E"/>
    <w:rsid w:val="00454B07"/>
    <w:rsid w:val="004552D1"/>
    <w:rsid w:val="00455334"/>
    <w:rsid w:val="00462D58"/>
    <w:rsid w:val="00464AD6"/>
    <w:rsid w:val="00467F21"/>
    <w:rsid w:val="004801BE"/>
    <w:rsid w:val="00480978"/>
    <w:rsid w:val="00482B54"/>
    <w:rsid w:val="00490015"/>
    <w:rsid w:val="004A118E"/>
    <w:rsid w:val="004A1446"/>
    <w:rsid w:val="004A4E4C"/>
    <w:rsid w:val="004A5034"/>
    <w:rsid w:val="004A523E"/>
    <w:rsid w:val="004A55F3"/>
    <w:rsid w:val="004B10E0"/>
    <w:rsid w:val="004B5B67"/>
    <w:rsid w:val="004C4B4D"/>
    <w:rsid w:val="004C4D0A"/>
    <w:rsid w:val="004D3BC4"/>
    <w:rsid w:val="004E0C43"/>
    <w:rsid w:val="004E293A"/>
    <w:rsid w:val="004F05BC"/>
    <w:rsid w:val="004F1166"/>
    <w:rsid w:val="004F6DB2"/>
    <w:rsid w:val="004F7033"/>
    <w:rsid w:val="00503FB1"/>
    <w:rsid w:val="00504A99"/>
    <w:rsid w:val="00511ACC"/>
    <w:rsid w:val="005176A2"/>
    <w:rsid w:val="00521EB2"/>
    <w:rsid w:val="005221FD"/>
    <w:rsid w:val="00522F66"/>
    <w:rsid w:val="00523C3E"/>
    <w:rsid w:val="00524C39"/>
    <w:rsid w:val="00530162"/>
    <w:rsid w:val="00533C11"/>
    <w:rsid w:val="00536DA0"/>
    <w:rsid w:val="00540535"/>
    <w:rsid w:val="00541107"/>
    <w:rsid w:val="0054578A"/>
    <w:rsid w:val="005502B4"/>
    <w:rsid w:val="00551684"/>
    <w:rsid w:val="0055181B"/>
    <w:rsid w:val="00557116"/>
    <w:rsid w:val="00567910"/>
    <w:rsid w:val="0057245C"/>
    <w:rsid w:val="005735E0"/>
    <w:rsid w:val="005744C8"/>
    <w:rsid w:val="00574B4D"/>
    <w:rsid w:val="005813F7"/>
    <w:rsid w:val="00587376"/>
    <w:rsid w:val="0059120C"/>
    <w:rsid w:val="00592026"/>
    <w:rsid w:val="00596FCD"/>
    <w:rsid w:val="005976F1"/>
    <w:rsid w:val="005A16CB"/>
    <w:rsid w:val="005A2357"/>
    <w:rsid w:val="005A5F2B"/>
    <w:rsid w:val="005B202F"/>
    <w:rsid w:val="005C1724"/>
    <w:rsid w:val="005C3E7F"/>
    <w:rsid w:val="005C5C93"/>
    <w:rsid w:val="005D0749"/>
    <w:rsid w:val="005D1A07"/>
    <w:rsid w:val="005D1ED1"/>
    <w:rsid w:val="005D73FA"/>
    <w:rsid w:val="005D7849"/>
    <w:rsid w:val="005E139F"/>
    <w:rsid w:val="005E3DF2"/>
    <w:rsid w:val="005E6186"/>
    <w:rsid w:val="005E71CB"/>
    <w:rsid w:val="005E7D3F"/>
    <w:rsid w:val="005F152A"/>
    <w:rsid w:val="005F2326"/>
    <w:rsid w:val="005F4926"/>
    <w:rsid w:val="005F7EBF"/>
    <w:rsid w:val="00603240"/>
    <w:rsid w:val="0060417E"/>
    <w:rsid w:val="00611FB5"/>
    <w:rsid w:val="00613918"/>
    <w:rsid w:val="00614E8C"/>
    <w:rsid w:val="006208A3"/>
    <w:rsid w:val="00622E4E"/>
    <w:rsid w:val="006368D3"/>
    <w:rsid w:val="006368DB"/>
    <w:rsid w:val="00637ED1"/>
    <w:rsid w:val="00640620"/>
    <w:rsid w:val="00640DAC"/>
    <w:rsid w:val="00643E46"/>
    <w:rsid w:val="0064629A"/>
    <w:rsid w:val="00647FD6"/>
    <w:rsid w:val="006527F4"/>
    <w:rsid w:val="00661439"/>
    <w:rsid w:val="00661698"/>
    <w:rsid w:val="00663C25"/>
    <w:rsid w:val="00665A14"/>
    <w:rsid w:val="006664E1"/>
    <w:rsid w:val="006716B5"/>
    <w:rsid w:val="0067484B"/>
    <w:rsid w:val="00680590"/>
    <w:rsid w:val="00680A67"/>
    <w:rsid w:val="006874F4"/>
    <w:rsid w:val="00693BCA"/>
    <w:rsid w:val="006947F8"/>
    <w:rsid w:val="006A2E92"/>
    <w:rsid w:val="006B7228"/>
    <w:rsid w:val="006C1672"/>
    <w:rsid w:val="006C668A"/>
    <w:rsid w:val="006D0EE4"/>
    <w:rsid w:val="006D2CF3"/>
    <w:rsid w:val="006D597C"/>
    <w:rsid w:val="006E217C"/>
    <w:rsid w:val="006E6F55"/>
    <w:rsid w:val="006F0FF3"/>
    <w:rsid w:val="006F2FD3"/>
    <w:rsid w:val="006F571D"/>
    <w:rsid w:val="0070096E"/>
    <w:rsid w:val="00713681"/>
    <w:rsid w:val="00713B64"/>
    <w:rsid w:val="007179CA"/>
    <w:rsid w:val="00721000"/>
    <w:rsid w:val="007212C5"/>
    <w:rsid w:val="00722DDB"/>
    <w:rsid w:val="00725D00"/>
    <w:rsid w:val="00725D50"/>
    <w:rsid w:val="007331D8"/>
    <w:rsid w:val="0073489D"/>
    <w:rsid w:val="007362B5"/>
    <w:rsid w:val="00736513"/>
    <w:rsid w:val="00743E2B"/>
    <w:rsid w:val="007444F9"/>
    <w:rsid w:val="00752823"/>
    <w:rsid w:val="00754D52"/>
    <w:rsid w:val="00755E0C"/>
    <w:rsid w:val="00757217"/>
    <w:rsid w:val="007606E8"/>
    <w:rsid w:val="0076316E"/>
    <w:rsid w:val="00764C22"/>
    <w:rsid w:val="00765CCB"/>
    <w:rsid w:val="00773AF2"/>
    <w:rsid w:val="0077776E"/>
    <w:rsid w:val="00781846"/>
    <w:rsid w:val="00785B94"/>
    <w:rsid w:val="00786D93"/>
    <w:rsid w:val="00790153"/>
    <w:rsid w:val="00790635"/>
    <w:rsid w:val="007934B0"/>
    <w:rsid w:val="00796440"/>
    <w:rsid w:val="007A22C6"/>
    <w:rsid w:val="007A5E4E"/>
    <w:rsid w:val="007A6DA0"/>
    <w:rsid w:val="007A7DB4"/>
    <w:rsid w:val="007B1E13"/>
    <w:rsid w:val="007B765B"/>
    <w:rsid w:val="007B774A"/>
    <w:rsid w:val="007C19BE"/>
    <w:rsid w:val="007C212E"/>
    <w:rsid w:val="007C559D"/>
    <w:rsid w:val="007C6CB5"/>
    <w:rsid w:val="007C7D86"/>
    <w:rsid w:val="007E2571"/>
    <w:rsid w:val="007E2D1F"/>
    <w:rsid w:val="007F1559"/>
    <w:rsid w:val="007F4F5B"/>
    <w:rsid w:val="007F57D3"/>
    <w:rsid w:val="008005FD"/>
    <w:rsid w:val="00803E41"/>
    <w:rsid w:val="008225EB"/>
    <w:rsid w:val="0082657F"/>
    <w:rsid w:val="008355B7"/>
    <w:rsid w:val="00854729"/>
    <w:rsid w:val="00856773"/>
    <w:rsid w:val="008661D1"/>
    <w:rsid w:val="00871FCA"/>
    <w:rsid w:val="00874882"/>
    <w:rsid w:val="008776AC"/>
    <w:rsid w:val="0088060C"/>
    <w:rsid w:val="00883F4E"/>
    <w:rsid w:val="0088479B"/>
    <w:rsid w:val="00887DB2"/>
    <w:rsid w:val="00891187"/>
    <w:rsid w:val="00893358"/>
    <w:rsid w:val="0089425C"/>
    <w:rsid w:val="00895EA4"/>
    <w:rsid w:val="008A0F09"/>
    <w:rsid w:val="008A2A68"/>
    <w:rsid w:val="008A3391"/>
    <w:rsid w:val="008A6FDC"/>
    <w:rsid w:val="008B4F9D"/>
    <w:rsid w:val="008C2F9E"/>
    <w:rsid w:val="008C615B"/>
    <w:rsid w:val="008E2B8F"/>
    <w:rsid w:val="008E51AD"/>
    <w:rsid w:val="008F0476"/>
    <w:rsid w:val="008F0A26"/>
    <w:rsid w:val="008F66FB"/>
    <w:rsid w:val="009033CA"/>
    <w:rsid w:val="009061BB"/>
    <w:rsid w:val="00912E4A"/>
    <w:rsid w:val="0092141C"/>
    <w:rsid w:val="00927E31"/>
    <w:rsid w:val="009325FB"/>
    <w:rsid w:val="00937156"/>
    <w:rsid w:val="00940465"/>
    <w:rsid w:val="00941CB9"/>
    <w:rsid w:val="009420E9"/>
    <w:rsid w:val="00942E1E"/>
    <w:rsid w:val="00951D40"/>
    <w:rsid w:val="00952686"/>
    <w:rsid w:val="00963589"/>
    <w:rsid w:val="00963E3B"/>
    <w:rsid w:val="00966CEF"/>
    <w:rsid w:val="00967580"/>
    <w:rsid w:val="00976701"/>
    <w:rsid w:val="00980039"/>
    <w:rsid w:val="00982695"/>
    <w:rsid w:val="00990CB2"/>
    <w:rsid w:val="00993CBB"/>
    <w:rsid w:val="00995873"/>
    <w:rsid w:val="00997480"/>
    <w:rsid w:val="009A3A96"/>
    <w:rsid w:val="009A5F5F"/>
    <w:rsid w:val="009A7AFD"/>
    <w:rsid w:val="009B4945"/>
    <w:rsid w:val="009C50B3"/>
    <w:rsid w:val="009D0B51"/>
    <w:rsid w:val="009D0C66"/>
    <w:rsid w:val="009D6FFE"/>
    <w:rsid w:val="009D759B"/>
    <w:rsid w:val="009D77B3"/>
    <w:rsid w:val="009E6AEA"/>
    <w:rsid w:val="009F14E5"/>
    <w:rsid w:val="009F3FC5"/>
    <w:rsid w:val="009F4998"/>
    <w:rsid w:val="009F68E6"/>
    <w:rsid w:val="00A06BCF"/>
    <w:rsid w:val="00A06DA1"/>
    <w:rsid w:val="00A114DC"/>
    <w:rsid w:val="00A11E23"/>
    <w:rsid w:val="00A1284B"/>
    <w:rsid w:val="00A134F7"/>
    <w:rsid w:val="00A15209"/>
    <w:rsid w:val="00A23FF0"/>
    <w:rsid w:val="00A31906"/>
    <w:rsid w:val="00A329E9"/>
    <w:rsid w:val="00A32D0A"/>
    <w:rsid w:val="00A37448"/>
    <w:rsid w:val="00A37FB5"/>
    <w:rsid w:val="00A37FDF"/>
    <w:rsid w:val="00A4695F"/>
    <w:rsid w:val="00A514A9"/>
    <w:rsid w:val="00A526FD"/>
    <w:rsid w:val="00A52B41"/>
    <w:rsid w:val="00A54763"/>
    <w:rsid w:val="00A62C67"/>
    <w:rsid w:val="00A66BB8"/>
    <w:rsid w:val="00A67024"/>
    <w:rsid w:val="00A721B1"/>
    <w:rsid w:val="00A77558"/>
    <w:rsid w:val="00A803DC"/>
    <w:rsid w:val="00A83D7A"/>
    <w:rsid w:val="00A84CED"/>
    <w:rsid w:val="00A85B00"/>
    <w:rsid w:val="00A85CA4"/>
    <w:rsid w:val="00A90FD6"/>
    <w:rsid w:val="00A93819"/>
    <w:rsid w:val="00AA3910"/>
    <w:rsid w:val="00AA7CC3"/>
    <w:rsid w:val="00AC0C56"/>
    <w:rsid w:val="00AC32D6"/>
    <w:rsid w:val="00AC4B04"/>
    <w:rsid w:val="00AC55EB"/>
    <w:rsid w:val="00AC7F9B"/>
    <w:rsid w:val="00AD2230"/>
    <w:rsid w:val="00AE081A"/>
    <w:rsid w:val="00AE0CE0"/>
    <w:rsid w:val="00AE32CF"/>
    <w:rsid w:val="00AE661F"/>
    <w:rsid w:val="00AF058B"/>
    <w:rsid w:val="00AF55D1"/>
    <w:rsid w:val="00B00D7A"/>
    <w:rsid w:val="00B02E19"/>
    <w:rsid w:val="00B042CF"/>
    <w:rsid w:val="00B11614"/>
    <w:rsid w:val="00B172AB"/>
    <w:rsid w:val="00B27AA5"/>
    <w:rsid w:val="00B3535A"/>
    <w:rsid w:val="00B41811"/>
    <w:rsid w:val="00B45E19"/>
    <w:rsid w:val="00B609B4"/>
    <w:rsid w:val="00B66ED1"/>
    <w:rsid w:val="00B778F6"/>
    <w:rsid w:val="00B822D7"/>
    <w:rsid w:val="00B84B3F"/>
    <w:rsid w:val="00B84E16"/>
    <w:rsid w:val="00B85123"/>
    <w:rsid w:val="00B86F00"/>
    <w:rsid w:val="00B90C0C"/>
    <w:rsid w:val="00B90FFD"/>
    <w:rsid w:val="00B94EFD"/>
    <w:rsid w:val="00BA157C"/>
    <w:rsid w:val="00BA7DE9"/>
    <w:rsid w:val="00BB662E"/>
    <w:rsid w:val="00BC2004"/>
    <w:rsid w:val="00BC7620"/>
    <w:rsid w:val="00BD2396"/>
    <w:rsid w:val="00BD244C"/>
    <w:rsid w:val="00BD383C"/>
    <w:rsid w:val="00BD4B29"/>
    <w:rsid w:val="00BE13BC"/>
    <w:rsid w:val="00BE6737"/>
    <w:rsid w:val="00BF23D4"/>
    <w:rsid w:val="00BF4551"/>
    <w:rsid w:val="00BF727C"/>
    <w:rsid w:val="00C029A1"/>
    <w:rsid w:val="00C038CB"/>
    <w:rsid w:val="00C072C9"/>
    <w:rsid w:val="00C17002"/>
    <w:rsid w:val="00C17A96"/>
    <w:rsid w:val="00C20A34"/>
    <w:rsid w:val="00C27608"/>
    <w:rsid w:val="00C40258"/>
    <w:rsid w:val="00C41603"/>
    <w:rsid w:val="00C552D6"/>
    <w:rsid w:val="00C56546"/>
    <w:rsid w:val="00C60398"/>
    <w:rsid w:val="00C622CF"/>
    <w:rsid w:val="00C6285F"/>
    <w:rsid w:val="00C71A3B"/>
    <w:rsid w:val="00C72FFC"/>
    <w:rsid w:val="00C745A0"/>
    <w:rsid w:val="00C76C80"/>
    <w:rsid w:val="00C81FB6"/>
    <w:rsid w:val="00C82EBE"/>
    <w:rsid w:val="00C95A07"/>
    <w:rsid w:val="00C9720A"/>
    <w:rsid w:val="00CA316E"/>
    <w:rsid w:val="00CA32D4"/>
    <w:rsid w:val="00CA603B"/>
    <w:rsid w:val="00CB0EDC"/>
    <w:rsid w:val="00CC04AF"/>
    <w:rsid w:val="00CC0FFA"/>
    <w:rsid w:val="00CC2040"/>
    <w:rsid w:val="00CC22F4"/>
    <w:rsid w:val="00CC5602"/>
    <w:rsid w:val="00CD1770"/>
    <w:rsid w:val="00CD2DCA"/>
    <w:rsid w:val="00CE2ADB"/>
    <w:rsid w:val="00CE2CC4"/>
    <w:rsid w:val="00CE2D5C"/>
    <w:rsid w:val="00CE677F"/>
    <w:rsid w:val="00CE7882"/>
    <w:rsid w:val="00CE7D12"/>
    <w:rsid w:val="00CF20DA"/>
    <w:rsid w:val="00CF2FEB"/>
    <w:rsid w:val="00CF33F8"/>
    <w:rsid w:val="00CF552D"/>
    <w:rsid w:val="00CF7525"/>
    <w:rsid w:val="00D01BDD"/>
    <w:rsid w:val="00D03505"/>
    <w:rsid w:val="00D06AD2"/>
    <w:rsid w:val="00D1500B"/>
    <w:rsid w:val="00D15F43"/>
    <w:rsid w:val="00D16E8C"/>
    <w:rsid w:val="00D20B47"/>
    <w:rsid w:val="00D215A4"/>
    <w:rsid w:val="00D23549"/>
    <w:rsid w:val="00D30725"/>
    <w:rsid w:val="00D33B3B"/>
    <w:rsid w:val="00D34302"/>
    <w:rsid w:val="00D41DF5"/>
    <w:rsid w:val="00D43529"/>
    <w:rsid w:val="00D51658"/>
    <w:rsid w:val="00D53218"/>
    <w:rsid w:val="00D67AB6"/>
    <w:rsid w:val="00D72D91"/>
    <w:rsid w:val="00D80656"/>
    <w:rsid w:val="00D81A97"/>
    <w:rsid w:val="00D82F01"/>
    <w:rsid w:val="00D91087"/>
    <w:rsid w:val="00D956D7"/>
    <w:rsid w:val="00D9756D"/>
    <w:rsid w:val="00DA697A"/>
    <w:rsid w:val="00DB4DCD"/>
    <w:rsid w:val="00DB575F"/>
    <w:rsid w:val="00DB5B4F"/>
    <w:rsid w:val="00DC06AB"/>
    <w:rsid w:val="00DC237F"/>
    <w:rsid w:val="00DC2659"/>
    <w:rsid w:val="00DC4B7A"/>
    <w:rsid w:val="00DD0622"/>
    <w:rsid w:val="00DD71E6"/>
    <w:rsid w:val="00DE2C89"/>
    <w:rsid w:val="00DE3F54"/>
    <w:rsid w:val="00DE5260"/>
    <w:rsid w:val="00DE71AB"/>
    <w:rsid w:val="00DF19E6"/>
    <w:rsid w:val="00DF59D4"/>
    <w:rsid w:val="00E0195C"/>
    <w:rsid w:val="00E0343E"/>
    <w:rsid w:val="00E05A54"/>
    <w:rsid w:val="00E06008"/>
    <w:rsid w:val="00E106AA"/>
    <w:rsid w:val="00E10924"/>
    <w:rsid w:val="00E12AED"/>
    <w:rsid w:val="00E138CB"/>
    <w:rsid w:val="00E149E9"/>
    <w:rsid w:val="00E16D94"/>
    <w:rsid w:val="00E21629"/>
    <w:rsid w:val="00E240B0"/>
    <w:rsid w:val="00E24724"/>
    <w:rsid w:val="00E2566C"/>
    <w:rsid w:val="00E256C0"/>
    <w:rsid w:val="00E26C76"/>
    <w:rsid w:val="00E26EE3"/>
    <w:rsid w:val="00E3163B"/>
    <w:rsid w:val="00E32593"/>
    <w:rsid w:val="00E330D3"/>
    <w:rsid w:val="00E3773D"/>
    <w:rsid w:val="00E45F3E"/>
    <w:rsid w:val="00E50210"/>
    <w:rsid w:val="00E53516"/>
    <w:rsid w:val="00E57330"/>
    <w:rsid w:val="00E620C3"/>
    <w:rsid w:val="00E76246"/>
    <w:rsid w:val="00E8010D"/>
    <w:rsid w:val="00E821FE"/>
    <w:rsid w:val="00E84446"/>
    <w:rsid w:val="00E86130"/>
    <w:rsid w:val="00EA7A3C"/>
    <w:rsid w:val="00EB2188"/>
    <w:rsid w:val="00EB36A1"/>
    <w:rsid w:val="00EB41A8"/>
    <w:rsid w:val="00EB5F00"/>
    <w:rsid w:val="00EB64A9"/>
    <w:rsid w:val="00EB7AA7"/>
    <w:rsid w:val="00EC1BF5"/>
    <w:rsid w:val="00EC5B1F"/>
    <w:rsid w:val="00ED13AE"/>
    <w:rsid w:val="00ED172F"/>
    <w:rsid w:val="00ED3B44"/>
    <w:rsid w:val="00EE3C6F"/>
    <w:rsid w:val="00EF158A"/>
    <w:rsid w:val="00EF41D5"/>
    <w:rsid w:val="00F039ED"/>
    <w:rsid w:val="00F12703"/>
    <w:rsid w:val="00F13916"/>
    <w:rsid w:val="00F14FE2"/>
    <w:rsid w:val="00F157DA"/>
    <w:rsid w:val="00F20CBC"/>
    <w:rsid w:val="00F217AC"/>
    <w:rsid w:val="00F23C92"/>
    <w:rsid w:val="00F36011"/>
    <w:rsid w:val="00F3764E"/>
    <w:rsid w:val="00F37656"/>
    <w:rsid w:val="00F446FC"/>
    <w:rsid w:val="00F44E21"/>
    <w:rsid w:val="00F5265C"/>
    <w:rsid w:val="00F542C8"/>
    <w:rsid w:val="00F560D4"/>
    <w:rsid w:val="00F5677F"/>
    <w:rsid w:val="00F56D04"/>
    <w:rsid w:val="00F82C61"/>
    <w:rsid w:val="00F85E54"/>
    <w:rsid w:val="00F91958"/>
    <w:rsid w:val="00F92D71"/>
    <w:rsid w:val="00F94D23"/>
    <w:rsid w:val="00FB0045"/>
    <w:rsid w:val="00FB1AF9"/>
    <w:rsid w:val="00FB5379"/>
    <w:rsid w:val="00FB6C23"/>
    <w:rsid w:val="00FC1E54"/>
    <w:rsid w:val="00FC68BD"/>
    <w:rsid w:val="00FD05B3"/>
    <w:rsid w:val="00FD2509"/>
    <w:rsid w:val="00FD35FE"/>
    <w:rsid w:val="00FD3C1D"/>
    <w:rsid w:val="00FE02D0"/>
  </w:rsids>
  <m:mathPr>
    <m:mathFont m:val="Cambria Math"/>
    <m:brkBin m:val="before"/>
    <m:brkBinSub m:val="--"/>
    <m:smallFrac/>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E468"/>
  <w15:docId w15:val="{5678E06E-DF48-4052-9BD9-885CF772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B2"/>
    <w:rPr>
      <w:lang w:val="es-MX"/>
    </w:rPr>
  </w:style>
  <w:style w:type="paragraph" w:styleId="Ttulo1">
    <w:name w:val="heading 1"/>
    <w:basedOn w:val="Normal"/>
    <w:next w:val="Normal"/>
    <w:link w:val="Ttulo1Car"/>
    <w:autoRedefine/>
    <w:uiPriority w:val="9"/>
    <w:qFormat/>
    <w:rsid w:val="00587376"/>
    <w:pPr>
      <w:keepNext/>
      <w:keepLines/>
      <w:spacing w:before="240" w:after="0" w:line="480" w:lineRule="auto"/>
      <w:jc w:val="center"/>
      <w:outlineLvl w:val="0"/>
    </w:pPr>
    <w:rPr>
      <w:rFonts w:eastAsia="Times New Roman" w:cs="Times New Roman"/>
      <w:b/>
      <w:sz w:val="28"/>
      <w:szCs w:val="24"/>
    </w:rPr>
  </w:style>
  <w:style w:type="paragraph" w:styleId="Ttulo2">
    <w:name w:val="heading 2"/>
    <w:basedOn w:val="Normal"/>
    <w:next w:val="Normal"/>
    <w:link w:val="Ttulo2Car"/>
    <w:autoRedefine/>
    <w:uiPriority w:val="9"/>
    <w:unhideWhenUsed/>
    <w:qFormat/>
    <w:rsid w:val="00E26EE3"/>
    <w:pPr>
      <w:keepNext/>
      <w:keepLines/>
      <w:numPr>
        <w:numId w:val="2"/>
      </w:numPr>
      <w:spacing w:before="40" w:after="0" w:line="480" w:lineRule="auto"/>
      <w:outlineLvl w:val="1"/>
    </w:pPr>
    <w:rPr>
      <w:rFonts w:eastAsia="Times New Roman" w:cs="Times New Roman"/>
      <w:b/>
      <w:sz w:val="28"/>
      <w:szCs w:val="28"/>
    </w:rPr>
  </w:style>
  <w:style w:type="paragraph" w:styleId="Ttulo3">
    <w:name w:val="heading 3"/>
    <w:basedOn w:val="Normal"/>
    <w:next w:val="Normal"/>
    <w:link w:val="Ttulo3Car"/>
    <w:uiPriority w:val="9"/>
    <w:unhideWhenUsed/>
    <w:qFormat/>
    <w:rsid w:val="00A4695F"/>
    <w:pPr>
      <w:keepNext/>
      <w:keepLines/>
      <w:numPr>
        <w:numId w:val="4"/>
      </w:numPr>
      <w:spacing w:before="40" w:after="0"/>
      <w:ind w:left="1037" w:hanging="357"/>
      <w:outlineLvl w:val="2"/>
    </w:pPr>
    <w:rPr>
      <w:rFonts w:eastAsia="Times New Roman" w:cstheme="majorBidi"/>
      <w:b/>
      <w:iCs/>
      <w:szCs w:val="24"/>
    </w:rPr>
  </w:style>
  <w:style w:type="paragraph" w:styleId="Ttulo4">
    <w:name w:val="heading 4"/>
    <w:basedOn w:val="Normal"/>
    <w:next w:val="Normal"/>
    <w:link w:val="Ttulo4Car"/>
    <w:uiPriority w:val="9"/>
    <w:unhideWhenUsed/>
    <w:qFormat/>
    <w:rsid w:val="00AE0CE0"/>
    <w:pPr>
      <w:keepNext/>
      <w:keepLines/>
      <w:spacing w:before="40" w:after="0"/>
      <w:ind w:left="1440"/>
      <w:outlineLvl w:val="3"/>
    </w:pPr>
    <w:rPr>
      <w:rFonts w:eastAsiaTheme="majorEastAsia" w:cstheme="majorBidi"/>
      <w:b/>
      <w:iCs/>
    </w:rPr>
  </w:style>
  <w:style w:type="paragraph" w:styleId="Ttulo5">
    <w:name w:val="heading 5"/>
    <w:basedOn w:val="Normal"/>
    <w:next w:val="Normal"/>
    <w:link w:val="Ttulo5Car"/>
    <w:uiPriority w:val="9"/>
    <w:unhideWhenUsed/>
    <w:qFormat/>
    <w:rsid w:val="004323BF"/>
    <w:pPr>
      <w:keepNext/>
      <w:keepLines/>
      <w:spacing w:before="40" w:after="0"/>
      <w:ind w:left="1440"/>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781846"/>
    <w:pPr>
      <w:spacing w:after="120"/>
    </w:pPr>
  </w:style>
  <w:style w:type="character" w:customStyle="1" w:styleId="TextoindependienteCar">
    <w:name w:val="Texto independiente Car"/>
    <w:basedOn w:val="Fuentedeprrafopredeter"/>
    <w:link w:val="Textoindependiente"/>
    <w:uiPriority w:val="99"/>
    <w:semiHidden/>
    <w:rsid w:val="00781846"/>
  </w:style>
  <w:style w:type="paragraph" w:styleId="Piedepgina">
    <w:name w:val="footer"/>
    <w:basedOn w:val="Normal"/>
    <w:link w:val="PiedepginaCar"/>
    <w:uiPriority w:val="99"/>
    <w:unhideWhenUsed/>
    <w:rsid w:val="0078184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81846"/>
  </w:style>
  <w:style w:type="paragraph" w:styleId="Encabezado">
    <w:name w:val="header"/>
    <w:basedOn w:val="Normal"/>
    <w:link w:val="EncabezadoCar"/>
    <w:uiPriority w:val="99"/>
    <w:unhideWhenUsed/>
    <w:rsid w:val="0078184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81846"/>
  </w:style>
  <w:style w:type="paragraph" w:styleId="Textodeglobo">
    <w:name w:val="Balloon Text"/>
    <w:basedOn w:val="Normal"/>
    <w:link w:val="TextodegloboCar"/>
    <w:uiPriority w:val="99"/>
    <w:semiHidden/>
    <w:unhideWhenUsed/>
    <w:rsid w:val="00D06A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6AD2"/>
    <w:rPr>
      <w:rFonts w:ascii="Segoe UI" w:hAnsi="Segoe UI" w:cs="Segoe UI"/>
      <w:sz w:val="18"/>
      <w:szCs w:val="18"/>
    </w:rPr>
  </w:style>
  <w:style w:type="character" w:styleId="Hipervnculo">
    <w:name w:val="Hyperlink"/>
    <w:basedOn w:val="Fuentedeprrafopredeter"/>
    <w:uiPriority w:val="99"/>
    <w:unhideWhenUsed/>
    <w:rsid w:val="00721000"/>
    <w:rPr>
      <w:color w:val="0563C1" w:themeColor="hyperlink"/>
      <w:u w:val="single"/>
    </w:rPr>
  </w:style>
  <w:style w:type="paragraph" w:styleId="Prrafodelista">
    <w:name w:val="List Paragraph"/>
    <w:basedOn w:val="Normal"/>
    <w:link w:val="PrrafodelistaCar"/>
    <w:uiPriority w:val="34"/>
    <w:qFormat/>
    <w:rsid w:val="008E51AD"/>
    <w:pPr>
      <w:ind w:left="720"/>
      <w:contextualSpacing/>
    </w:pPr>
  </w:style>
  <w:style w:type="character" w:styleId="Hipervnculovisitado">
    <w:name w:val="FollowedHyperlink"/>
    <w:basedOn w:val="Fuentedeprrafopredeter"/>
    <w:uiPriority w:val="99"/>
    <w:semiHidden/>
    <w:unhideWhenUsed/>
    <w:rsid w:val="00490015"/>
    <w:rPr>
      <w:color w:val="954F72" w:themeColor="followedHyperlink"/>
      <w:u w:val="single"/>
    </w:rPr>
  </w:style>
  <w:style w:type="character" w:styleId="Refdecomentario">
    <w:name w:val="annotation reference"/>
    <w:basedOn w:val="Fuentedeprrafopredeter"/>
    <w:uiPriority w:val="99"/>
    <w:semiHidden/>
    <w:unhideWhenUsed/>
    <w:rsid w:val="00CC0FFA"/>
    <w:rPr>
      <w:sz w:val="16"/>
      <w:szCs w:val="16"/>
    </w:rPr>
  </w:style>
  <w:style w:type="paragraph" w:styleId="Textocomentario">
    <w:name w:val="annotation text"/>
    <w:basedOn w:val="Normal"/>
    <w:link w:val="TextocomentarioCar"/>
    <w:uiPriority w:val="99"/>
    <w:semiHidden/>
    <w:unhideWhenUsed/>
    <w:rsid w:val="00CC0FF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0FFA"/>
    <w:rPr>
      <w:sz w:val="20"/>
      <w:szCs w:val="20"/>
    </w:rPr>
  </w:style>
  <w:style w:type="paragraph" w:styleId="Asuntodelcomentario">
    <w:name w:val="annotation subject"/>
    <w:basedOn w:val="Textocomentario"/>
    <w:next w:val="Textocomentario"/>
    <w:link w:val="AsuntodelcomentarioCar"/>
    <w:uiPriority w:val="99"/>
    <w:semiHidden/>
    <w:unhideWhenUsed/>
    <w:rsid w:val="00CC0FFA"/>
    <w:rPr>
      <w:b/>
      <w:bCs/>
    </w:rPr>
  </w:style>
  <w:style w:type="character" w:customStyle="1" w:styleId="AsuntodelcomentarioCar">
    <w:name w:val="Asunto del comentario Car"/>
    <w:basedOn w:val="TextocomentarioCar"/>
    <w:link w:val="Asuntodelcomentario"/>
    <w:uiPriority w:val="99"/>
    <w:semiHidden/>
    <w:rsid w:val="00CC0FFA"/>
    <w:rPr>
      <w:b/>
      <w:bCs/>
      <w:sz w:val="20"/>
      <w:szCs w:val="20"/>
    </w:rPr>
  </w:style>
  <w:style w:type="table" w:customStyle="1" w:styleId="TableNormal1">
    <w:name w:val="Table Normal1"/>
    <w:uiPriority w:val="2"/>
    <w:semiHidden/>
    <w:unhideWhenUsed/>
    <w:qFormat/>
    <w:rsid w:val="00967580"/>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F82C61"/>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87376"/>
    <w:rPr>
      <w:rFonts w:eastAsia="Times New Roman" w:cs="Times New Roman"/>
      <w:b/>
      <w:sz w:val="28"/>
      <w:szCs w:val="24"/>
      <w:lang w:val="es-MX"/>
    </w:rPr>
  </w:style>
  <w:style w:type="paragraph" w:styleId="TtuloTDC">
    <w:name w:val="TOC Heading"/>
    <w:basedOn w:val="Ttulo1"/>
    <w:next w:val="Normal"/>
    <w:uiPriority w:val="39"/>
    <w:unhideWhenUsed/>
    <w:qFormat/>
    <w:rsid w:val="00A62C67"/>
    <w:pPr>
      <w:outlineLvl w:val="9"/>
    </w:pPr>
    <w:rPr>
      <w:lang w:eastAsia="es-MX"/>
    </w:rPr>
  </w:style>
  <w:style w:type="paragraph" w:styleId="TDC3">
    <w:name w:val="toc 3"/>
    <w:basedOn w:val="Normal"/>
    <w:next w:val="Normal"/>
    <w:autoRedefine/>
    <w:uiPriority w:val="39"/>
    <w:unhideWhenUsed/>
    <w:rsid w:val="00302EDB"/>
    <w:pPr>
      <w:spacing w:after="100" w:line="480" w:lineRule="auto"/>
      <w:ind w:left="482"/>
    </w:pPr>
  </w:style>
  <w:style w:type="paragraph" w:styleId="TDC1">
    <w:name w:val="toc 1"/>
    <w:basedOn w:val="Normal"/>
    <w:next w:val="Normal"/>
    <w:autoRedefine/>
    <w:uiPriority w:val="39"/>
    <w:unhideWhenUsed/>
    <w:rsid w:val="00302EDB"/>
    <w:pPr>
      <w:spacing w:after="100" w:line="480" w:lineRule="auto"/>
    </w:pPr>
  </w:style>
  <w:style w:type="character" w:customStyle="1" w:styleId="Ttulo2Car">
    <w:name w:val="Título 2 Car"/>
    <w:basedOn w:val="Fuentedeprrafopredeter"/>
    <w:link w:val="Ttulo2"/>
    <w:uiPriority w:val="9"/>
    <w:rsid w:val="00E26EE3"/>
    <w:rPr>
      <w:rFonts w:eastAsia="Times New Roman" w:cs="Times New Roman"/>
      <w:b/>
      <w:sz w:val="28"/>
      <w:szCs w:val="28"/>
      <w:lang w:val="es-MX"/>
    </w:rPr>
  </w:style>
  <w:style w:type="paragraph" w:styleId="TDC2">
    <w:name w:val="toc 2"/>
    <w:basedOn w:val="Normal"/>
    <w:next w:val="Normal"/>
    <w:autoRedefine/>
    <w:uiPriority w:val="39"/>
    <w:unhideWhenUsed/>
    <w:rsid w:val="00302EDB"/>
    <w:pPr>
      <w:spacing w:after="100" w:line="480" w:lineRule="auto"/>
      <w:ind w:left="238"/>
    </w:pPr>
  </w:style>
  <w:style w:type="character" w:customStyle="1" w:styleId="Ttulo3Car">
    <w:name w:val="Título 3 Car"/>
    <w:basedOn w:val="Fuentedeprrafopredeter"/>
    <w:link w:val="Ttulo3"/>
    <w:uiPriority w:val="9"/>
    <w:rsid w:val="00A4695F"/>
    <w:rPr>
      <w:rFonts w:eastAsia="Times New Roman" w:cstheme="majorBidi"/>
      <w:b/>
      <w:iCs/>
      <w:szCs w:val="24"/>
      <w:lang w:val="es-MX"/>
    </w:rPr>
  </w:style>
  <w:style w:type="character" w:customStyle="1" w:styleId="Ttulo4Car">
    <w:name w:val="Título 4 Car"/>
    <w:basedOn w:val="Fuentedeprrafopredeter"/>
    <w:link w:val="Ttulo4"/>
    <w:uiPriority w:val="9"/>
    <w:rsid w:val="00AE0CE0"/>
    <w:rPr>
      <w:rFonts w:eastAsiaTheme="majorEastAsia" w:cstheme="majorBidi"/>
      <w:b/>
      <w:iCs/>
      <w:lang w:val="es-MX"/>
    </w:rPr>
  </w:style>
  <w:style w:type="character" w:customStyle="1" w:styleId="Ttulo5Car">
    <w:name w:val="Título 5 Car"/>
    <w:basedOn w:val="Fuentedeprrafopredeter"/>
    <w:link w:val="Ttulo5"/>
    <w:uiPriority w:val="9"/>
    <w:rsid w:val="004323BF"/>
    <w:rPr>
      <w:rFonts w:eastAsiaTheme="majorEastAsia" w:cstheme="majorBidi"/>
      <w:b/>
      <w:i/>
      <w:lang w:val="es-MX"/>
    </w:rPr>
  </w:style>
  <w:style w:type="paragraph" w:styleId="Descripcin">
    <w:name w:val="caption"/>
    <w:basedOn w:val="Normal"/>
    <w:next w:val="Normal"/>
    <w:uiPriority w:val="35"/>
    <w:unhideWhenUsed/>
    <w:qFormat/>
    <w:rsid w:val="002105D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02EDB"/>
    <w:pPr>
      <w:spacing w:after="0" w:line="480" w:lineRule="auto"/>
    </w:pPr>
  </w:style>
  <w:style w:type="table" w:customStyle="1" w:styleId="APAReport">
    <w:name w:val="APA Report"/>
    <w:basedOn w:val="Tablanormal"/>
    <w:uiPriority w:val="99"/>
    <w:rsid w:val="00176F02"/>
    <w:pPr>
      <w:spacing w:after="0" w:line="240" w:lineRule="auto"/>
    </w:pPr>
    <w:rPr>
      <w:rFonts w:eastAsia="SimSu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customStyle="1" w:styleId="Mencinsinresolver1">
    <w:name w:val="Mención sin resolver1"/>
    <w:basedOn w:val="Fuentedeprrafopredeter"/>
    <w:uiPriority w:val="99"/>
    <w:semiHidden/>
    <w:unhideWhenUsed/>
    <w:rsid w:val="002D5888"/>
    <w:rPr>
      <w:color w:val="605E5C"/>
      <w:shd w:val="clear" w:color="auto" w:fill="E1DFDD"/>
    </w:rPr>
  </w:style>
  <w:style w:type="paragraph" w:styleId="TDC4">
    <w:name w:val="toc 4"/>
    <w:basedOn w:val="Normal"/>
    <w:next w:val="Normal"/>
    <w:autoRedefine/>
    <w:uiPriority w:val="39"/>
    <w:unhideWhenUsed/>
    <w:rsid w:val="00302EDB"/>
    <w:pPr>
      <w:spacing w:after="100" w:line="480" w:lineRule="auto"/>
      <w:ind w:left="720"/>
    </w:pPr>
  </w:style>
  <w:style w:type="paragraph" w:styleId="TDC5">
    <w:name w:val="toc 5"/>
    <w:basedOn w:val="Normal"/>
    <w:next w:val="Normal"/>
    <w:autoRedefine/>
    <w:uiPriority w:val="39"/>
    <w:unhideWhenUsed/>
    <w:rsid w:val="00302EDB"/>
    <w:pPr>
      <w:spacing w:after="100" w:line="480" w:lineRule="auto"/>
      <w:ind w:left="958"/>
    </w:pPr>
  </w:style>
  <w:style w:type="paragraph" w:customStyle="1" w:styleId="Default">
    <w:name w:val="Default"/>
    <w:rsid w:val="003C25F6"/>
    <w:pPr>
      <w:autoSpaceDE w:val="0"/>
      <w:autoSpaceDN w:val="0"/>
      <w:adjustRightInd w:val="0"/>
      <w:spacing w:after="0" w:line="240" w:lineRule="auto"/>
    </w:pPr>
    <w:rPr>
      <w:rFonts w:cs="Times New Roman"/>
      <w:color w:val="000000"/>
      <w:szCs w:val="24"/>
      <w:lang w:val="es-MX"/>
    </w:rPr>
  </w:style>
  <w:style w:type="character" w:customStyle="1" w:styleId="Encabezadoopiedepgina">
    <w:name w:val="Encabezado o pie de página_"/>
    <w:basedOn w:val="Fuentedeprrafopredeter"/>
    <w:link w:val="Encabezadoopiedepgina0"/>
    <w:rsid w:val="00FB6C23"/>
    <w:rPr>
      <w:rFonts w:eastAsia="Times New Roman" w:cs="Times New Roman"/>
      <w:shd w:val="clear" w:color="auto" w:fill="FFFFFF"/>
      <w:lang w:val="es-ES" w:eastAsia="es-ES" w:bidi="es-ES"/>
    </w:rPr>
  </w:style>
  <w:style w:type="paragraph" w:customStyle="1" w:styleId="Encabezadoopiedepgina0">
    <w:name w:val="Encabezado o pie de página"/>
    <w:basedOn w:val="Normal"/>
    <w:link w:val="Encabezadoopiedepgina"/>
    <w:rsid w:val="00FB6C23"/>
    <w:pPr>
      <w:widowControl w:val="0"/>
      <w:shd w:val="clear" w:color="auto" w:fill="FFFFFF"/>
      <w:spacing w:after="0" w:line="240" w:lineRule="auto"/>
    </w:pPr>
    <w:rPr>
      <w:rFonts w:eastAsia="Times New Roman" w:cs="Times New Roman"/>
      <w:lang w:val="es-ES" w:eastAsia="es-ES" w:bidi="es-ES"/>
    </w:rPr>
  </w:style>
  <w:style w:type="character" w:styleId="Textodelmarcadordeposicin">
    <w:name w:val="Placeholder Text"/>
    <w:basedOn w:val="Fuentedeprrafopredeter"/>
    <w:uiPriority w:val="99"/>
    <w:semiHidden/>
    <w:rsid w:val="000F41AE"/>
    <w:rPr>
      <w:color w:val="808080"/>
    </w:rPr>
  </w:style>
  <w:style w:type="table" w:styleId="Tablaconcuadrcula">
    <w:name w:val="Table Grid"/>
    <w:basedOn w:val="Tablanormal"/>
    <w:uiPriority w:val="39"/>
    <w:rsid w:val="000F4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204183"/>
    <w:rPr>
      <w:lang w:val="es-MX"/>
    </w:rPr>
  </w:style>
  <w:style w:type="paragraph" w:styleId="NormalWeb">
    <w:name w:val="Normal (Web)"/>
    <w:basedOn w:val="Normal"/>
    <w:uiPriority w:val="99"/>
    <w:unhideWhenUsed/>
    <w:rsid w:val="00D34302"/>
    <w:pPr>
      <w:spacing w:before="100" w:beforeAutospacing="1" w:after="100" w:afterAutospacing="1" w:line="240" w:lineRule="auto"/>
    </w:pPr>
    <w:rPr>
      <w:rFonts w:eastAsia="Times New Roman" w:cs="Times New Roman"/>
      <w:szCs w:val="24"/>
      <w:lang w:val="es-EC" w:eastAsia="es-EC"/>
    </w:rPr>
  </w:style>
  <w:style w:type="character" w:customStyle="1" w:styleId="math-inline">
    <w:name w:val="math-inline"/>
    <w:basedOn w:val="Fuentedeprrafopredeter"/>
    <w:rsid w:val="00D34302"/>
  </w:style>
  <w:style w:type="table" w:customStyle="1" w:styleId="TableNormal">
    <w:name w:val="Table Normal"/>
    <w:uiPriority w:val="2"/>
    <w:semiHidden/>
    <w:unhideWhenUsed/>
    <w:qFormat/>
    <w:rsid w:val="00AC55EB"/>
    <w:pPr>
      <w:widowControl w:val="0"/>
      <w:autoSpaceDE w:val="0"/>
      <w:autoSpaceDN w:val="0"/>
      <w:spacing w:after="0" w:line="240" w:lineRule="auto"/>
    </w:pPr>
    <w:rPr>
      <w:rFonts w:asciiTheme="minorHAnsi" w:hAnsiTheme="minorHAnsi"/>
      <w:sz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C55EB"/>
    <w:pPr>
      <w:widowControl w:val="0"/>
      <w:autoSpaceDE w:val="0"/>
      <w:autoSpaceDN w:val="0"/>
      <w:spacing w:after="0" w:line="240" w:lineRule="auto"/>
    </w:pPr>
    <w:rPr>
      <w:rFonts w:ascii="Verdana" w:eastAsia="Verdana" w:hAnsi="Verdana" w:cs="Verdana"/>
      <w:sz w:val="22"/>
      <w:lang w:val="es-ES"/>
    </w:rPr>
  </w:style>
  <w:style w:type="table" w:styleId="Tablanormal2">
    <w:name w:val="Plain Table 2"/>
    <w:basedOn w:val="Tablanormal"/>
    <w:uiPriority w:val="42"/>
    <w:rsid w:val="007E2571"/>
    <w:pPr>
      <w:spacing w:after="0" w:line="240" w:lineRule="auto"/>
    </w:pPr>
    <w:rPr>
      <w:rFonts w:asciiTheme="minorHAnsi" w:hAnsiTheme="minorHAnsi"/>
      <w:sz w:val="22"/>
      <w:lang w:val="es-EC"/>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755E0C"/>
  </w:style>
  <w:style w:type="character" w:styleId="Mencinsinresolver">
    <w:name w:val="Unresolved Mention"/>
    <w:basedOn w:val="Fuentedeprrafopredeter"/>
    <w:uiPriority w:val="99"/>
    <w:semiHidden/>
    <w:unhideWhenUsed/>
    <w:rsid w:val="00273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06799">
      <w:bodyDiv w:val="1"/>
      <w:marLeft w:val="0"/>
      <w:marRight w:val="0"/>
      <w:marTop w:val="0"/>
      <w:marBottom w:val="0"/>
      <w:divBdr>
        <w:top w:val="none" w:sz="0" w:space="0" w:color="auto"/>
        <w:left w:val="none" w:sz="0" w:space="0" w:color="auto"/>
        <w:bottom w:val="none" w:sz="0" w:space="0" w:color="auto"/>
        <w:right w:val="none" w:sz="0" w:space="0" w:color="auto"/>
      </w:divBdr>
    </w:div>
    <w:div w:id="563610252">
      <w:bodyDiv w:val="1"/>
      <w:marLeft w:val="0"/>
      <w:marRight w:val="0"/>
      <w:marTop w:val="0"/>
      <w:marBottom w:val="0"/>
      <w:divBdr>
        <w:top w:val="none" w:sz="0" w:space="0" w:color="auto"/>
        <w:left w:val="none" w:sz="0" w:space="0" w:color="auto"/>
        <w:bottom w:val="none" w:sz="0" w:space="0" w:color="auto"/>
        <w:right w:val="none" w:sz="0" w:space="0" w:color="auto"/>
      </w:divBdr>
      <w:divsChild>
        <w:div w:id="32116185">
          <w:marLeft w:val="0"/>
          <w:marRight w:val="0"/>
          <w:marTop w:val="0"/>
          <w:marBottom w:val="0"/>
          <w:divBdr>
            <w:top w:val="none" w:sz="0" w:space="0" w:color="auto"/>
            <w:left w:val="none" w:sz="0" w:space="0" w:color="auto"/>
            <w:bottom w:val="none" w:sz="0" w:space="0" w:color="auto"/>
            <w:right w:val="none" w:sz="0" w:space="0" w:color="auto"/>
          </w:divBdr>
        </w:div>
        <w:div w:id="67728618">
          <w:marLeft w:val="0"/>
          <w:marRight w:val="0"/>
          <w:marTop w:val="0"/>
          <w:marBottom w:val="0"/>
          <w:divBdr>
            <w:top w:val="none" w:sz="0" w:space="0" w:color="auto"/>
            <w:left w:val="none" w:sz="0" w:space="0" w:color="auto"/>
            <w:bottom w:val="none" w:sz="0" w:space="0" w:color="auto"/>
            <w:right w:val="none" w:sz="0" w:space="0" w:color="auto"/>
          </w:divBdr>
        </w:div>
        <w:div w:id="73016266">
          <w:marLeft w:val="0"/>
          <w:marRight w:val="0"/>
          <w:marTop w:val="0"/>
          <w:marBottom w:val="0"/>
          <w:divBdr>
            <w:top w:val="none" w:sz="0" w:space="0" w:color="auto"/>
            <w:left w:val="none" w:sz="0" w:space="0" w:color="auto"/>
            <w:bottom w:val="none" w:sz="0" w:space="0" w:color="auto"/>
            <w:right w:val="none" w:sz="0" w:space="0" w:color="auto"/>
          </w:divBdr>
        </w:div>
        <w:div w:id="95638737">
          <w:marLeft w:val="0"/>
          <w:marRight w:val="0"/>
          <w:marTop w:val="0"/>
          <w:marBottom w:val="0"/>
          <w:divBdr>
            <w:top w:val="none" w:sz="0" w:space="0" w:color="auto"/>
            <w:left w:val="none" w:sz="0" w:space="0" w:color="auto"/>
            <w:bottom w:val="none" w:sz="0" w:space="0" w:color="auto"/>
            <w:right w:val="none" w:sz="0" w:space="0" w:color="auto"/>
          </w:divBdr>
        </w:div>
        <w:div w:id="117531955">
          <w:marLeft w:val="0"/>
          <w:marRight w:val="0"/>
          <w:marTop w:val="0"/>
          <w:marBottom w:val="0"/>
          <w:divBdr>
            <w:top w:val="none" w:sz="0" w:space="0" w:color="auto"/>
            <w:left w:val="none" w:sz="0" w:space="0" w:color="auto"/>
            <w:bottom w:val="none" w:sz="0" w:space="0" w:color="auto"/>
            <w:right w:val="none" w:sz="0" w:space="0" w:color="auto"/>
          </w:divBdr>
        </w:div>
        <w:div w:id="165024653">
          <w:marLeft w:val="0"/>
          <w:marRight w:val="0"/>
          <w:marTop w:val="0"/>
          <w:marBottom w:val="0"/>
          <w:divBdr>
            <w:top w:val="none" w:sz="0" w:space="0" w:color="auto"/>
            <w:left w:val="none" w:sz="0" w:space="0" w:color="auto"/>
            <w:bottom w:val="none" w:sz="0" w:space="0" w:color="auto"/>
            <w:right w:val="none" w:sz="0" w:space="0" w:color="auto"/>
          </w:divBdr>
        </w:div>
        <w:div w:id="165756829">
          <w:marLeft w:val="0"/>
          <w:marRight w:val="0"/>
          <w:marTop w:val="0"/>
          <w:marBottom w:val="0"/>
          <w:divBdr>
            <w:top w:val="none" w:sz="0" w:space="0" w:color="auto"/>
            <w:left w:val="none" w:sz="0" w:space="0" w:color="auto"/>
            <w:bottom w:val="none" w:sz="0" w:space="0" w:color="auto"/>
            <w:right w:val="none" w:sz="0" w:space="0" w:color="auto"/>
          </w:divBdr>
        </w:div>
        <w:div w:id="212080021">
          <w:marLeft w:val="0"/>
          <w:marRight w:val="0"/>
          <w:marTop w:val="0"/>
          <w:marBottom w:val="0"/>
          <w:divBdr>
            <w:top w:val="none" w:sz="0" w:space="0" w:color="auto"/>
            <w:left w:val="none" w:sz="0" w:space="0" w:color="auto"/>
            <w:bottom w:val="none" w:sz="0" w:space="0" w:color="auto"/>
            <w:right w:val="none" w:sz="0" w:space="0" w:color="auto"/>
          </w:divBdr>
        </w:div>
        <w:div w:id="280764855">
          <w:marLeft w:val="0"/>
          <w:marRight w:val="0"/>
          <w:marTop w:val="0"/>
          <w:marBottom w:val="0"/>
          <w:divBdr>
            <w:top w:val="none" w:sz="0" w:space="0" w:color="auto"/>
            <w:left w:val="none" w:sz="0" w:space="0" w:color="auto"/>
            <w:bottom w:val="none" w:sz="0" w:space="0" w:color="auto"/>
            <w:right w:val="none" w:sz="0" w:space="0" w:color="auto"/>
          </w:divBdr>
        </w:div>
        <w:div w:id="282418450">
          <w:marLeft w:val="0"/>
          <w:marRight w:val="0"/>
          <w:marTop w:val="0"/>
          <w:marBottom w:val="0"/>
          <w:divBdr>
            <w:top w:val="none" w:sz="0" w:space="0" w:color="auto"/>
            <w:left w:val="none" w:sz="0" w:space="0" w:color="auto"/>
            <w:bottom w:val="none" w:sz="0" w:space="0" w:color="auto"/>
            <w:right w:val="none" w:sz="0" w:space="0" w:color="auto"/>
          </w:divBdr>
        </w:div>
        <w:div w:id="286352535">
          <w:marLeft w:val="0"/>
          <w:marRight w:val="0"/>
          <w:marTop w:val="0"/>
          <w:marBottom w:val="0"/>
          <w:divBdr>
            <w:top w:val="none" w:sz="0" w:space="0" w:color="auto"/>
            <w:left w:val="none" w:sz="0" w:space="0" w:color="auto"/>
            <w:bottom w:val="none" w:sz="0" w:space="0" w:color="auto"/>
            <w:right w:val="none" w:sz="0" w:space="0" w:color="auto"/>
          </w:divBdr>
        </w:div>
        <w:div w:id="337776423">
          <w:marLeft w:val="0"/>
          <w:marRight w:val="0"/>
          <w:marTop w:val="0"/>
          <w:marBottom w:val="0"/>
          <w:divBdr>
            <w:top w:val="none" w:sz="0" w:space="0" w:color="auto"/>
            <w:left w:val="none" w:sz="0" w:space="0" w:color="auto"/>
            <w:bottom w:val="none" w:sz="0" w:space="0" w:color="auto"/>
            <w:right w:val="none" w:sz="0" w:space="0" w:color="auto"/>
          </w:divBdr>
        </w:div>
        <w:div w:id="397632563">
          <w:marLeft w:val="0"/>
          <w:marRight w:val="0"/>
          <w:marTop w:val="0"/>
          <w:marBottom w:val="0"/>
          <w:divBdr>
            <w:top w:val="none" w:sz="0" w:space="0" w:color="auto"/>
            <w:left w:val="none" w:sz="0" w:space="0" w:color="auto"/>
            <w:bottom w:val="none" w:sz="0" w:space="0" w:color="auto"/>
            <w:right w:val="none" w:sz="0" w:space="0" w:color="auto"/>
          </w:divBdr>
        </w:div>
        <w:div w:id="427118617">
          <w:marLeft w:val="0"/>
          <w:marRight w:val="0"/>
          <w:marTop w:val="0"/>
          <w:marBottom w:val="0"/>
          <w:divBdr>
            <w:top w:val="none" w:sz="0" w:space="0" w:color="auto"/>
            <w:left w:val="none" w:sz="0" w:space="0" w:color="auto"/>
            <w:bottom w:val="none" w:sz="0" w:space="0" w:color="auto"/>
            <w:right w:val="none" w:sz="0" w:space="0" w:color="auto"/>
          </w:divBdr>
        </w:div>
        <w:div w:id="455877780">
          <w:marLeft w:val="0"/>
          <w:marRight w:val="0"/>
          <w:marTop w:val="0"/>
          <w:marBottom w:val="0"/>
          <w:divBdr>
            <w:top w:val="none" w:sz="0" w:space="0" w:color="auto"/>
            <w:left w:val="none" w:sz="0" w:space="0" w:color="auto"/>
            <w:bottom w:val="none" w:sz="0" w:space="0" w:color="auto"/>
            <w:right w:val="none" w:sz="0" w:space="0" w:color="auto"/>
          </w:divBdr>
        </w:div>
        <w:div w:id="472331099">
          <w:marLeft w:val="0"/>
          <w:marRight w:val="0"/>
          <w:marTop w:val="0"/>
          <w:marBottom w:val="0"/>
          <w:divBdr>
            <w:top w:val="none" w:sz="0" w:space="0" w:color="auto"/>
            <w:left w:val="none" w:sz="0" w:space="0" w:color="auto"/>
            <w:bottom w:val="none" w:sz="0" w:space="0" w:color="auto"/>
            <w:right w:val="none" w:sz="0" w:space="0" w:color="auto"/>
          </w:divBdr>
        </w:div>
        <w:div w:id="495342607">
          <w:marLeft w:val="0"/>
          <w:marRight w:val="0"/>
          <w:marTop w:val="0"/>
          <w:marBottom w:val="0"/>
          <w:divBdr>
            <w:top w:val="none" w:sz="0" w:space="0" w:color="auto"/>
            <w:left w:val="none" w:sz="0" w:space="0" w:color="auto"/>
            <w:bottom w:val="none" w:sz="0" w:space="0" w:color="auto"/>
            <w:right w:val="none" w:sz="0" w:space="0" w:color="auto"/>
          </w:divBdr>
        </w:div>
        <w:div w:id="500125027">
          <w:marLeft w:val="0"/>
          <w:marRight w:val="0"/>
          <w:marTop w:val="0"/>
          <w:marBottom w:val="0"/>
          <w:divBdr>
            <w:top w:val="none" w:sz="0" w:space="0" w:color="auto"/>
            <w:left w:val="none" w:sz="0" w:space="0" w:color="auto"/>
            <w:bottom w:val="none" w:sz="0" w:space="0" w:color="auto"/>
            <w:right w:val="none" w:sz="0" w:space="0" w:color="auto"/>
          </w:divBdr>
        </w:div>
        <w:div w:id="504444357">
          <w:marLeft w:val="0"/>
          <w:marRight w:val="0"/>
          <w:marTop w:val="0"/>
          <w:marBottom w:val="0"/>
          <w:divBdr>
            <w:top w:val="none" w:sz="0" w:space="0" w:color="auto"/>
            <w:left w:val="none" w:sz="0" w:space="0" w:color="auto"/>
            <w:bottom w:val="none" w:sz="0" w:space="0" w:color="auto"/>
            <w:right w:val="none" w:sz="0" w:space="0" w:color="auto"/>
          </w:divBdr>
        </w:div>
        <w:div w:id="540826907">
          <w:marLeft w:val="0"/>
          <w:marRight w:val="0"/>
          <w:marTop w:val="0"/>
          <w:marBottom w:val="0"/>
          <w:divBdr>
            <w:top w:val="none" w:sz="0" w:space="0" w:color="auto"/>
            <w:left w:val="none" w:sz="0" w:space="0" w:color="auto"/>
            <w:bottom w:val="none" w:sz="0" w:space="0" w:color="auto"/>
            <w:right w:val="none" w:sz="0" w:space="0" w:color="auto"/>
          </w:divBdr>
        </w:div>
        <w:div w:id="544679468">
          <w:marLeft w:val="0"/>
          <w:marRight w:val="0"/>
          <w:marTop w:val="0"/>
          <w:marBottom w:val="0"/>
          <w:divBdr>
            <w:top w:val="none" w:sz="0" w:space="0" w:color="auto"/>
            <w:left w:val="none" w:sz="0" w:space="0" w:color="auto"/>
            <w:bottom w:val="none" w:sz="0" w:space="0" w:color="auto"/>
            <w:right w:val="none" w:sz="0" w:space="0" w:color="auto"/>
          </w:divBdr>
        </w:div>
        <w:div w:id="563638813">
          <w:marLeft w:val="0"/>
          <w:marRight w:val="0"/>
          <w:marTop w:val="0"/>
          <w:marBottom w:val="0"/>
          <w:divBdr>
            <w:top w:val="none" w:sz="0" w:space="0" w:color="auto"/>
            <w:left w:val="none" w:sz="0" w:space="0" w:color="auto"/>
            <w:bottom w:val="none" w:sz="0" w:space="0" w:color="auto"/>
            <w:right w:val="none" w:sz="0" w:space="0" w:color="auto"/>
          </w:divBdr>
        </w:div>
        <w:div w:id="629628805">
          <w:marLeft w:val="0"/>
          <w:marRight w:val="0"/>
          <w:marTop w:val="0"/>
          <w:marBottom w:val="0"/>
          <w:divBdr>
            <w:top w:val="none" w:sz="0" w:space="0" w:color="auto"/>
            <w:left w:val="none" w:sz="0" w:space="0" w:color="auto"/>
            <w:bottom w:val="none" w:sz="0" w:space="0" w:color="auto"/>
            <w:right w:val="none" w:sz="0" w:space="0" w:color="auto"/>
          </w:divBdr>
        </w:div>
        <w:div w:id="687489495">
          <w:marLeft w:val="0"/>
          <w:marRight w:val="0"/>
          <w:marTop w:val="0"/>
          <w:marBottom w:val="0"/>
          <w:divBdr>
            <w:top w:val="none" w:sz="0" w:space="0" w:color="auto"/>
            <w:left w:val="none" w:sz="0" w:space="0" w:color="auto"/>
            <w:bottom w:val="none" w:sz="0" w:space="0" w:color="auto"/>
            <w:right w:val="none" w:sz="0" w:space="0" w:color="auto"/>
          </w:divBdr>
        </w:div>
        <w:div w:id="706218720">
          <w:marLeft w:val="0"/>
          <w:marRight w:val="0"/>
          <w:marTop w:val="0"/>
          <w:marBottom w:val="0"/>
          <w:divBdr>
            <w:top w:val="none" w:sz="0" w:space="0" w:color="auto"/>
            <w:left w:val="none" w:sz="0" w:space="0" w:color="auto"/>
            <w:bottom w:val="none" w:sz="0" w:space="0" w:color="auto"/>
            <w:right w:val="none" w:sz="0" w:space="0" w:color="auto"/>
          </w:divBdr>
        </w:div>
        <w:div w:id="713384995">
          <w:marLeft w:val="0"/>
          <w:marRight w:val="0"/>
          <w:marTop w:val="0"/>
          <w:marBottom w:val="0"/>
          <w:divBdr>
            <w:top w:val="none" w:sz="0" w:space="0" w:color="auto"/>
            <w:left w:val="none" w:sz="0" w:space="0" w:color="auto"/>
            <w:bottom w:val="none" w:sz="0" w:space="0" w:color="auto"/>
            <w:right w:val="none" w:sz="0" w:space="0" w:color="auto"/>
          </w:divBdr>
        </w:div>
        <w:div w:id="724648326">
          <w:marLeft w:val="0"/>
          <w:marRight w:val="0"/>
          <w:marTop w:val="0"/>
          <w:marBottom w:val="0"/>
          <w:divBdr>
            <w:top w:val="none" w:sz="0" w:space="0" w:color="auto"/>
            <w:left w:val="none" w:sz="0" w:space="0" w:color="auto"/>
            <w:bottom w:val="none" w:sz="0" w:space="0" w:color="auto"/>
            <w:right w:val="none" w:sz="0" w:space="0" w:color="auto"/>
          </w:divBdr>
        </w:div>
        <w:div w:id="743458480">
          <w:marLeft w:val="0"/>
          <w:marRight w:val="0"/>
          <w:marTop w:val="0"/>
          <w:marBottom w:val="0"/>
          <w:divBdr>
            <w:top w:val="none" w:sz="0" w:space="0" w:color="auto"/>
            <w:left w:val="none" w:sz="0" w:space="0" w:color="auto"/>
            <w:bottom w:val="none" w:sz="0" w:space="0" w:color="auto"/>
            <w:right w:val="none" w:sz="0" w:space="0" w:color="auto"/>
          </w:divBdr>
        </w:div>
        <w:div w:id="834301890">
          <w:marLeft w:val="0"/>
          <w:marRight w:val="0"/>
          <w:marTop w:val="0"/>
          <w:marBottom w:val="0"/>
          <w:divBdr>
            <w:top w:val="none" w:sz="0" w:space="0" w:color="auto"/>
            <w:left w:val="none" w:sz="0" w:space="0" w:color="auto"/>
            <w:bottom w:val="none" w:sz="0" w:space="0" w:color="auto"/>
            <w:right w:val="none" w:sz="0" w:space="0" w:color="auto"/>
          </w:divBdr>
        </w:div>
        <w:div w:id="916019648">
          <w:marLeft w:val="0"/>
          <w:marRight w:val="0"/>
          <w:marTop w:val="0"/>
          <w:marBottom w:val="0"/>
          <w:divBdr>
            <w:top w:val="none" w:sz="0" w:space="0" w:color="auto"/>
            <w:left w:val="none" w:sz="0" w:space="0" w:color="auto"/>
            <w:bottom w:val="none" w:sz="0" w:space="0" w:color="auto"/>
            <w:right w:val="none" w:sz="0" w:space="0" w:color="auto"/>
          </w:divBdr>
        </w:div>
        <w:div w:id="932007393">
          <w:marLeft w:val="0"/>
          <w:marRight w:val="0"/>
          <w:marTop w:val="0"/>
          <w:marBottom w:val="0"/>
          <w:divBdr>
            <w:top w:val="none" w:sz="0" w:space="0" w:color="auto"/>
            <w:left w:val="none" w:sz="0" w:space="0" w:color="auto"/>
            <w:bottom w:val="none" w:sz="0" w:space="0" w:color="auto"/>
            <w:right w:val="none" w:sz="0" w:space="0" w:color="auto"/>
          </w:divBdr>
        </w:div>
        <w:div w:id="1024675801">
          <w:marLeft w:val="0"/>
          <w:marRight w:val="0"/>
          <w:marTop w:val="0"/>
          <w:marBottom w:val="0"/>
          <w:divBdr>
            <w:top w:val="none" w:sz="0" w:space="0" w:color="auto"/>
            <w:left w:val="none" w:sz="0" w:space="0" w:color="auto"/>
            <w:bottom w:val="none" w:sz="0" w:space="0" w:color="auto"/>
            <w:right w:val="none" w:sz="0" w:space="0" w:color="auto"/>
          </w:divBdr>
        </w:div>
        <w:div w:id="1067415486">
          <w:marLeft w:val="0"/>
          <w:marRight w:val="0"/>
          <w:marTop w:val="0"/>
          <w:marBottom w:val="0"/>
          <w:divBdr>
            <w:top w:val="none" w:sz="0" w:space="0" w:color="auto"/>
            <w:left w:val="none" w:sz="0" w:space="0" w:color="auto"/>
            <w:bottom w:val="none" w:sz="0" w:space="0" w:color="auto"/>
            <w:right w:val="none" w:sz="0" w:space="0" w:color="auto"/>
          </w:divBdr>
        </w:div>
        <w:div w:id="1080981968">
          <w:marLeft w:val="0"/>
          <w:marRight w:val="0"/>
          <w:marTop w:val="0"/>
          <w:marBottom w:val="0"/>
          <w:divBdr>
            <w:top w:val="none" w:sz="0" w:space="0" w:color="auto"/>
            <w:left w:val="none" w:sz="0" w:space="0" w:color="auto"/>
            <w:bottom w:val="none" w:sz="0" w:space="0" w:color="auto"/>
            <w:right w:val="none" w:sz="0" w:space="0" w:color="auto"/>
          </w:divBdr>
        </w:div>
        <w:div w:id="1103188170">
          <w:marLeft w:val="0"/>
          <w:marRight w:val="0"/>
          <w:marTop w:val="0"/>
          <w:marBottom w:val="0"/>
          <w:divBdr>
            <w:top w:val="none" w:sz="0" w:space="0" w:color="auto"/>
            <w:left w:val="none" w:sz="0" w:space="0" w:color="auto"/>
            <w:bottom w:val="none" w:sz="0" w:space="0" w:color="auto"/>
            <w:right w:val="none" w:sz="0" w:space="0" w:color="auto"/>
          </w:divBdr>
        </w:div>
        <w:div w:id="1187909086">
          <w:marLeft w:val="0"/>
          <w:marRight w:val="0"/>
          <w:marTop w:val="0"/>
          <w:marBottom w:val="0"/>
          <w:divBdr>
            <w:top w:val="none" w:sz="0" w:space="0" w:color="auto"/>
            <w:left w:val="none" w:sz="0" w:space="0" w:color="auto"/>
            <w:bottom w:val="none" w:sz="0" w:space="0" w:color="auto"/>
            <w:right w:val="none" w:sz="0" w:space="0" w:color="auto"/>
          </w:divBdr>
        </w:div>
        <w:div w:id="1274551927">
          <w:marLeft w:val="0"/>
          <w:marRight w:val="0"/>
          <w:marTop w:val="0"/>
          <w:marBottom w:val="0"/>
          <w:divBdr>
            <w:top w:val="none" w:sz="0" w:space="0" w:color="auto"/>
            <w:left w:val="none" w:sz="0" w:space="0" w:color="auto"/>
            <w:bottom w:val="none" w:sz="0" w:space="0" w:color="auto"/>
            <w:right w:val="none" w:sz="0" w:space="0" w:color="auto"/>
          </w:divBdr>
        </w:div>
        <w:div w:id="1289822737">
          <w:marLeft w:val="0"/>
          <w:marRight w:val="0"/>
          <w:marTop w:val="0"/>
          <w:marBottom w:val="0"/>
          <w:divBdr>
            <w:top w:val="none" w:sz="0" w:space="0" w:color="auto"/>
            <w:left w:val="none" w:sz="0" w:space="0" w:color="auto"/>
            <w:bottom w:val="none" w:sz="0" w:space="0" w:color="auto"/>
            <w:right w:val="none" w:sz="0" w:space="0" w:color="auto"/>
          </w:divBdr>
        </w:div>
        <w:div w:id="1297492586">
          <w:marLeft w:val="0"/>
          <w:marRight w:val="0"/>
          <w:marTop w:val="0"/>
          <w:marBottom w:val="0"/>
          <w:divBdr>
            <w:top w:val="none" w:sz="0" w:space="0" w:color="auto"/>
            <w:left w:val="none" w:sz="0" w:space="0" w:color="auto"/>
            <w:bottom w:val="none" w:sz="0" w:space="0" w:color="auto"/>
            <w:right w:val="none" w:sz="0" w:space="0" w:color="auto"/>
          </w:divBdr>
        </w:div>
        <w:div w:id="1367605435">
          <w:marLeft w:val="0"/>
          <w:marRight w:val="0"/>
          <w:marTop w:val="0"/>
          <w:marBottom w:val="0"/>
          <w:divBdr>
            <w:top w:val="none" w:sz="0" w:space="0" w:color="auto"/>
            <w:left w:val="none" w:sz="0" w:space="0" w:color="auto"/>
            <w:bottom w:val="none" w:sz="0" w:space="0" w:color="auto"/>
            <w:right w:val="none" w:sz="0" w:space="0" w:color="auto"/>
          </w:divBdr>
        </w:div>
        <w:div w:id="1375957631">
          <w:marLeft w:val="0"/>
          <w:marRight w:val="0"/>
          <w:marTop w:val="0"/>
          <w:marBottom w:val="0"/>
          <w:divBdr>
            <w:top w:val="none" w:sz="0" w:space="0" w:color="auto"/>
            <w:left w:val="none" w:sz="0" w:space="0" w:color="auto"/>
            <w:bottom w:val="none" w:sz="0" w:space="0" w:color="auto"/>
            <w:right w:val="none" w:sz="0" w:space="0" w:color="auto"/>
          </w:divBdr>
        </w:div>
        <w:div w:id="1403332370">
          <w:marLeft w:val="0"/>
          <w:marRight w:val="0"/>
          <w:marTop w:val="0"/>
          <w:marBottom w:val="0"/>
          <w:divBdr>
            <w:top w:val="none" w:sz="0" w:space="0" w:color="auto"/>
            <w:left w:val="none" w:sz="0" w:space="0" w:color="auto"/>
            <w:bottom w:val="none" w:sz="0" w:space="0" w:color="auto"/>
            <w:right w:val="none" w:sz="0" w:space="0" w:color="auto"/>
          </w:divBdr>
        </w:div>
        <w:div w:id="1409695189">
          <w:marLeft w:val="0"/>
          <w:marRight w:val="0"/>
          <w:marTop w:val="0"/>
          <w:marBottom w:val="0"/>
          <w:divBdr>
            <w:top w:val="none" w:sz="0" w:space="0" w:color="auto"/>
            <w:left w:val="none" w:sz="0" w:space="0" w:color="auto"/>
            <w:bottom w:val="none" w:sz="0" w:space="0" w:color="auto"/>
            <w:right w:val="none" w:sz="0" w:space="0" w:color="auto"/>
          </w:divBdr>
        </w:div>
        <w:div w:id="1420370925">
          <w:marLeft w:val="0"/>
          <w:marRight w:val="0"/>
          <w:marTop w:val="0"/>
          <w:marBottom w:val="0"/>
          <w:divBdr>
            <w:top w:val="none" w:sz="0" w:space="0" w:color="auto"/>
            <w:left w:val="none" w:sz="0" w:space="0" w:color="auto"/>
            <w:bottom w:val="none" w:sz="0" w:space="0" w:color="auto"/>
            <w:right w:val="none" w:sz="0" w:space="0" w:color="auto"/>
          </w:divBdr>
        </w:div>
        <w:div w:id="1454514833">
          <w:marLeft w:val="0"/>
          <w:marRight w:val="0"/>
          <w:marTop w:val="0"/>
          <w:marBottom w:val="0"/>
          <w:divBdr>
            <w:top w:val="none" w:sz="0" w:space="0" w:color="auto"/>
            <w:left w:val="none" w:sz="0" w:space="0" w:color="auto"/>
            <w:bottom w:val="none" w:sz="0" w:space="0" w:color="auto"/>
            <w:right w:val="none" w:sz="0" w:space="0" w:color="auto"/>
          </w:divBdr>
        </w:div>
        <w:div w:id="1482772526">
          <w:marLeft w:val="0"/>
          <w:marRight w:val="0"/>
          <w:marTop w:val="0"/>
          <w:marBottom w:val="0"/>
          <w:divBdr>
            <w:top w:val="none" w:sz="0" w:space="0" w:color="auto"/>
            <w:left w:val="none" w:sz="0" w:space="0" w:color="auto"/>
            <w:bottom w:val="none" w:sz="0" w:space="0" w:color="auto"/>
            <w:right w:val="none" w:sz="0" w:space="0" w:color="auto"/>
          </w:divBdr>
        </w:div>
        <w:div w:id="1532913656">
          <w:marLeft w:val="0"/>
          <w:marRight w:val="0"/>
          <w:marTop w:val="0"/>
          <w:marBottom w:val="0"/>
          <w:divBdr>
            <w:top w:val="none" w:sz="0" w:space="0" w:color="auto"/>
            <w:left w:val="none" w:sz="0" w:space="0" w:color="auto"/>
            <w:bottom w:val="none" w:sz="0" w:space="0" w:color="auto"/>
            <w:right w:val="none" w:sz="0" w:space="0" w:color="auto"/>
          </w:divBdr>
        </w:div>
        <w:div w:id="1538196964">
          <w:marLeft w:val="0"/>
          <w:marRight w:val="0"/>
          <w:marTop w:val="0"/>
          <w:marBottom w:val="0"/>
          <w:divBdr>
            <w:top w:val="none" w:sz="0" w:space="0" w:color="auto"/>
            <w:left w:val="none" w:sz="0" w:space="0" w:color="auto"/>
            <w:bottom w:val="none" w:sz="0" w:space="0" w:color="auto"/>
            <w:right w:val="none" w:sz="0" w:space="0" w:color="auto"/>
          </w:divBdr>
        </w:div>
        <w:div w:id="1578244271">
          <w:marLeft w:val="0"/>
          <w:marRight w:val="0"/>
          <w:marTop w:val="0"/>
          <w:marBottom w:val="0"/>
          <w:divBdr>
            <w:top w:val="none" w:sz="0" w:space="0" w:color="auto"/>
            <w:left w:val="none" w:sz="0" w:space="0" w:color="auto"/>
            <w:bottom w:val="none" w:sz="0" w:space="0" w:color="auto"/>
            <w:right w:val="none" w:sz="0" w:space="0" w:color="auto"/>
          </w:divBdr>
        </w:div>
        <w:div w:id="1578631335">
          <w:marLeft w:val="0"/>
          <w:marRight w:val="0"/>
          <w:marTop w:val="0"/>
          <w:marBottom w:val="0"/>
          <w:divBdr>
            <w:top w:val="none" w:sz="0" w:space="0" w:color="auto"/>
            <w:left w:val="none" w:sz="0" w:space="0" w:color="auto"/>
            <w:bottom w:val="none" w:sz="0" w:space="0" w:color="auto"/>
            <w:right w:val="none" w:sz="0" w:space="0" w:color="auto"/>
          </w:divBdr>
        </w:div>
        <w:div w:id="1610045972">
          <w:marLeft w:val="0"/>
          <w:marRight w:val="0"/>
          <w:marTop w:val="0"/>
          <w:marBottom w:val="0"/>
          <w:divBdr>
            <w:top w:val="none" w:sz="0" w:space="0" w:color="auto"/>
            <w:left w:val="none" w:sz="0" w:space="0" w:color="auto"/>
            <w:bottom w:val="none" w:sz="0" w:space="0" w:color="auto"/>
            <w:right w:val="none" w:sz="0" w:space="0" w:color="auto"/>
          </w:divBdr>
        </w:div>
        <w:div w:id="1642417812">
          <w:marLeft w:val="0"/>
          <w:marRight w:val="0"/>
          <w:marTop w:val="0"/>
          <w:marBottom w:val="0"/>
          <w:divBdr>
            <w:top w:val="none" w:sz="0" w:space="0" w:color="auto"/>
            <w:left w:val="none" w:sz="0" w:space="0" w:color="auto"/>
            <w:bottom w:val="none" w:sz="0" w:space="0" w:color="auto"/>
            <w:right w:val="none" w:sz="0" w:space="0" w:color="auto"/>
          </w:divBdr>
        </w:div>
        <w:div w:id="1771780617">
          <w:marLeft w:val="0"/>
          <w:marRight w:val="0"/>
          <w:marTop w:val="0"/>
          <w:marBottom w:val="0"/>
          <w:divBdr>
            <w:top w:val="none" w:sz="0" w:space="0" w:color="auto"/>
            <w:left w:val="none" w:sz="0" w:space="0" w:color="auto"/>
            <w:bottom w:val="none" w:sz="0" w:space="0" w:color="auto"/>
            <w:right w:val="none" w:sz="0" w:space="0" w:color="auto"/>
          </w:divBdr>
        </w:div>
        <w:div w:id="1776709213">
          <w:marLeft w:val="0"/>
          <w:marRight w:val="0"/>
          <w:marTop w:val="0"/>
          <w:marBottom w:val="0"/>
          <w:divBdr>
            <w:top w:val="none" w:sz="0" w:space="0" w:color="auto"/>
            <w:left w:val="none" w:sz="0" w:space="0" w:color="auto"/>
            <w:bottom w:val="none" w:sz="0" w:space="0" w:color="auto"/>
            <w:right w:val="none" w:sz="0" w:space="0" w:color="auto"/>
          </w:divBdr>
        </w:div>
        <w:div w:id="1811247122">
          <w:marLeft w:val="0"/>
          <w:marRight w:val="0"/>
          <w:marTop w:val="0"/>
          <w:marBottom w:val="0"/>
          <w:divBdr>
            <w:top w:val="none" w:sz="0" w:space="0" w:color="auto"/>
            <w:left w:val="none" w:sz="0" w:space="0" w:color="auto"/>
            <w:bottom w:val="none" w:sz="0" w:space="0" w:color="auto"/>
            <w:right w:val="none" w:sz="0" w:space="0" w:color="auto"/>
          </w:divBdr>
        </w:div>
        <w:div w:id="1838837027">
          <w:marLeft w:val="0"/>
          <w:marRight w:val="0"/>
          <w:marTop w:val="0"/>
          <w:marBottom w:val="0"/>
          <w:divBdr>
            <w:top w:val="none" w:sz="0" w:space="0" w:color="auto"/>
            <w:left w:val="none" w:sz="0" w:space="0" w:color="auto"/>
            <w:bottom w:val="none" w:sz="0" w:space="0" w:color="auto"/>
            <w:right w:val="none" w:sz="0" w:space="0" w:color="auto"/>
          </w:divBdr>
        </w:div>
        <w:div w:id="1846360183">
          <w:marLeft w:val="0"/>
          <w:marRight w:val="0"/>
          <w:marTop w:val="0"/>
          <w:marBottom w:val="0"/>
          <w:divBdr>
            <w:top w:val="none" w:sz="0" w:space="0" w:color="auto"/>
            <w:left w:val="none" w:sz="0" w:space="0" w:color="auto"/>
            <w:bottom w:val="none" w:sz="0" w:space="0" w:color="auto"/>
            <w:right w:val="none" w:sz="0" w:space="0" w:color="auto"/>
          </w:divBdr>
        </w:div>
        <w:div w:id="1862280982">
          <w:marLeft w:val="0"/>
          <w:marRight w:val="0"/>
          <w:marTop w:val="0"/>
          <w:marBottom w:val="0"/>
          <w:divBdr>
            <w:top w:val="none" w:sz="0" w:space="0" w:color="auto"/>
            <w:left w:val="none" w:sz="0" w:space="0" w:color="auto"/>
            <w:bottom w:val="none" w:sz="0" w:space="0" w:color="auto"/>
            <w:right w:val="none" w:sz="0" w:space="0" w:color="auto"/>
          </w:divBdr>
        </w:div>
        <w:div w:id="1867479598">
          <w:marLeft w:val="0"/>
          <w:marRight w:val="0"/>
          <w:marTop w:val="0"/>
          <w:marBottom w:val="0"/>
          <w:divBdr>
            <w:top w:val="none" w:sz="0" w:space="0" w:color="auto"/>
            <w:left w:val="none" w:sz="0" w:space="0" w:color="auto"/>
            <w:bottom w:val="none" w:sz="0" w:space="0" w:color="auto"/>
            <w:right w:val="none" w:sz="0" w:space="0" w:color="auto"/>
          </w:divBdr>
        </w:div>
        <w:div w:id="1920824876">
          <w:marLeft w:val="0"/>
          <w:marRight w:val="0"/>
          <w:marTop w:val="0"/>
          <w:marBottom w:val="0"/>
          <w:divBdr>
            <w:top w:val="none" w:sz="0" w:space="0" w:color="auto"/>
            <w:left w:val="none" w:sz="0" w:space="0" w:color="auto"/>
            <w:bottom w:val="none" w:sz="0" w:space="0" w:color="auto"/>
            <w:right w:val="none" w:sz="0" w:space="0" w:color="auto"/>
          </w:divBdr>
        </w:div>
        <w:div w:id="1938319738">
          <w:marLeft w:val="0"/>
          <w:marRight w:val="0"/>
          <w:marTop w:val="0"/>
          <w:marBottom w:val="0"/>
          <w:divBdr>
            <w:top w:val="none" w:sz="0" w:space="0" w:color="auto"/>
            <w:left w:val="none" w:sz="0" w:space="0" w:color="auto"/>
            <w:bottom w:val="none" w:sz="0" w:space="0" w:color="auto"/>
            <w:right w:val="none" w:sz="0" w:space="0" w:color="auto"/>
          </w:divBdr>
        </w:div>
        <w:div w:id="2029328293">
          <w:marLeft w:val="0"/>
          <w:marRight w:val="0"/>
          <w:marTop w:val="0"/>
          <w:marBottom w:val="0"/>
          <w:divBdr>
            <w:top w:val="none" w:sz="0" w:space="0" w:color="auto"/>
            <w:left w:val="none" w:sz="0" w:space="0" w:color="auto"/>
            <w:bottom w:val="none" w:sz="0" w:space="0" w:color="auto"/>
            <w:right w:val="none" w:sz="0" w:space="0" w:color="auto"/>
          </w:divBdr>
        </w:div>
        <w:div w:id="2042778307">
          <w:marLeft w:val="0"/>
          <w:marRight w:val="0"/>
          <w:marTop w:val="0"/>
          <w:marBottom w:val="0"/>
          <w:divBdr>
            <w:top w:val="none" w:sz="0" w:space="0" w:color="auto"/>
            <w:left w:val="none" w:sz="0" w:space="0" w:color="auto"/>
            <w:bottom w:val="none" w:sz="0" w:space="0" w:color="auto"/>
            <w:right w:val="none" w:sz="0" w:space="0" w:color="auto"/>
          </w:divBdr>
        </w:div>
        <w:div w:id="2048869229">
          <w:marLeft w:val="0"/>
          <w:marRight w:val="0"/>
          <w:marTop w:val="0"/>
          <w:marBottom w:val="0"/>
          <w:divBdr>
            <w:top w:val="none" w:sz="0" w:space="0" w:color="auto"/>
            <w:left w:val="none" w:sz="0" w:space="0" w:color="auto"/>
            <w:bottom w:val="none" w:sz="0" w:space="0" w:color="auto"/>
            <w:right w:val="none" w:sz="0" w:space="0" w:color="auto"/>
          </w:divBdr>
        </w:div>
        <w:div w:id="2062629338">
          <w:marLeft w:val="0"/>
          <w:marRight w:val="0"/>
          <w:marTop w:val="0"/>
          <w:marBottom w:val="0"/>
          <w:divBdr>
            <w:top w:val="none" w:sz="0" w:space="0" w:color="auto"/>
            <w:left w:val="none" w:sz="0" w:space="0" w:color="auto"/>
            <w:bottom w:val="none" w:sz="0" w:space="0" w:color="auto"/>
            <w:right w:val="none" w:sz="0" w:space="0" w:color="auto"/>
          </w:divBdr>
        </w:div>
        <w:div w:id="2088577146">
          <w:marLeft w:val="0"/>
          <w:marRight w:val="0"/>
          <w:marTop w:val="0"/>
          <w:marBottom w:val="0"/>
          <w:divBdr>
            <w:top w:val="none" w:sz="0" w:space="0" w:color="auto"/>
            <w:left w:val="none" w:sz="0" w:space="0" w:color="auto"/>
            <w:bottom w:val="none" w:sz="0" w:space="0" w:color="auto"/>
            <w:right w:val="none" w:sz="0" w:space="0" w:color="auto"/>
          </w:divBdr>
        </w:div>
        <w:div w:id="2093157126">
          <w:marLeft w:val="0"/>
          <w:marRight w:val="0"/>
          <w:marTop w:val="0"/>
          <w:marBottom w:val="0"/>
          <w:divBdr>
            <w:top w:val="none" w:sz="0" w:space="0" w:color="auto"/>
            <w:left w:val="none" w:sz="0" w:space="0" w:color="auto"/>
            <w:bottom w:val="none" w:sz="0" w:space="0" w:color="auto"/>
            <w:right w:val="none" w:sz="0" w:space="0" w:color="auto"/>
          </w:divBdr>
        </w:div>
        <w:div w:id="2102600740">
          <w:marLeft w:val="0"/>
          <w:marRight w:val="0"/>
          <w:marTop w:val="0"/>
          <w:marBottom w:val="0"/>
          <w:divBdr>
            <w:top w:val="none" w:sz="0" w:space="0" w:color="auto"/>
            <w:left w:val="none" w:sz="0" w:space="0" w:color="auto"/>
            <w:bottom w:val="none" w:sz="0" w:space="0" w:color="auto"/>
            <w:right w:val="none" w:sz="0" w:space="0" w:color="auto"/>
          </w:divBdr>
        </w:div>
        <w:div w:id="2117402992">
          <w:marLeft w:val="0"/>
          <w:marRight w:val="0"/>
          <w:marTop w:val="0"/>
          <w:marBottom w:val="0"/>
          <w:divBdr>
            <w:top w:val="none" w:sz="0" w:space="0" w:color="auto"/>
            <w:left w:val="none" w:sz="0" w:space="0" w:color="auto"/>
            <w:bottom w:val="none" w:sz="0" w:space="0" w:color="auto"/>
            <w:right w:val="none" w:sz="0" w:space="0" w:color="auto"/>
          </w:divBdr>
        </w:div>
        <w:div w:id="2124222926">
          <w:marLeft w:val="0"/>
          <w:marRight w:val="0"/>
          <w:marTop w:val="0"/>
          <w:marBottom w:val="0"/>
          <w:divBdr>
            <w:top w:val="none" w:sz="0" w:space="0" w:color="auto"/>
            <w:left w:val="none" w:sz="0" w:space="0" w:color="auto"/>
            <w:bottom w:val="none" w:sz="0" w:space="0" w:color="auto"/>
            <w:right w:val="none" w:sz="0" w:space="0" w:color="auto"/>
          </w:divBdr>
        </w:div>
      </w:divsChild>
    </w:div>
    <w:div w:id="1377511553">
      <w:bodyDiv w:val="1"/>
      <w:marLeft w:val="0"/>
      <w:marRight w:val="0"/>
      <w:marTop w:val="0"/>
      <w:marBottom w:val="0"/>
      <w:divBdr>
        <w:top w:val="none" w:sz="0" w:space="0" w:color="auto"/>
        <w:left w:val="none" w:sz="0" w:space="0" w:color="auto"/>
        <w:bottom w:val="none" w:sz="0" w:space="0" w:color="auto"/>
        <w:right w:val="none" w:sz="0" w:space="0" w:color="auto"/>
      </w:divBdr>
    </w:div>
    <w:div w:id="1412891359">
      <w:bodyDiv w:val="1"/>
      <w:marLeft w:val="0"/>
      <w:marRight w:val="0"/>
      <w:marTop w:val="0"/>
      <w:marBottom w:val="0"/>
      <w:divBdr>
        <w:top w:val="none" w:sz="0" w:space="0" w:color="auto"/>
        <w:left w:val="none" w:sz="0" w:space="0" w:color="auto"/>
        <w:bottom w:val="none" w:sz="0" w:space="0" w:color="auto"/>
        <w:right w:val="none" w:sz="0" w:space="0" w:color="auto"/>
      </w:divBdr>
      <w:divsChild>
        <w:div w:id="56519940">
          <w:marLeft w:val="0"/>
          <w:marRight w:val="0"/>
          <w:marTop w:val="0"/>
          <w:marBottom w:val="0"/>
          <w:divBdr>
            <w:top w:val="none" w:sz="0" w:space="0" w:color="auto"/>
            <w:left w:val="none" w:sz="0" w:space="0" w:color="auto"/>
            <w:bottom w:val="none" w:sz="0" w:space="0" w:color="auto"/>
            <w:right w:val="none" w:sz="0" w:space="0" w:color="auto"/>
          </w:divBdr>
        </w:div>
        <w:div w:id="122621202">
          <w:marLeft w:val="0"/>
          <w:marRight w:val="0"/>
          <w:marTop w:val="0"/>
          <w:marBottom w:val="0"/>
          <w:divBdr>
            <w:top w:val="none" w:sz="0" w:space="0" w:color="auto"/>
            <w:left w:val="none" w:sz="0" w:space="0" w:color="auto"/>
            <w:bottom w:val="none" w:sz="0" w:space="0" w:color="auto"/>
            <w:right w:val="none" w:sz="0" w:space="0" w:color="auto"/>
          </w:divBdr>
        </w:div>
        <w:div w:id="136723570">
          <w:marLeft w:val="0"/>
          <w:marRight w:val="0"/>
          <w:marTop w:val="0"/>
          <w:marBottom w:val="0"/>
          <w:divBdr>
            <w:top w:val="none" w:sz="0" w:space="0" w:color="auto"/>
            <w:left w:val="none" w:sz="0" w:space="0" w:color="auto"/>
            <w:bottom w:val="none" w:sz="0" w:space="0" w:color="auto"/>
            <w:right w:val="none" w:sz="0" w:space="0" w:color="auto"/>
          </w:divBdr>
        </w:div>
        <w:div w:id="148636198">
          <w:marLeft w:val="0"/>
          <w:marRight w:val="0"/>
          <w:marTop w:val="0"/>
          <w:marBottom w:val="0"/>
          <w:divBdr>
            <w:top w:val="none" w:sz="0" w:space="0" w:color="auto"/>
            <w:left w:val="none" w:sz="0" w:space="0" w:color="auto"/>
            <w:bottom w:val="none" w:sz="0" w:space="0" w:color="auto"/>
            <w:right w:val="none" w:sz="0" w:space="0" w:color="auto"/>
          </w:divBdr>
        </w:div>
        <w:div w:id="171603592">
          <w:marLeft w:val="0"/>
          <w:marRight w:val="0"/>
          <w:marTop w:val="0"/>
          <w:marBottom w:val="0"/>
          <w:divBdr>
            <w:top w:val="none" w:sz="0" w:space="0" w:color="auto"/>
            <w:left w:val="none" w:sz="0" w:space="0" w:color="auto"/>
            <w:bottom w:val="none" w:sz="0" w:space="0" w:color="auto"/>
            <w:right w:val="none" w:sz="0" w:space="0" w:color="auto"/>
          </w:divBdr>
        </w:div>
        <w:div w:id="180318066">
          <w:marLeft w:val="0"/>
          <w:marRight w:val="0"/>
          <w:marTop w:val="0"/>
          <w:marBottom w:val="0"/>
          <w:divBdr>
            <w:top w:val="none" w:sz="0" w:space="0" w:color="auto"/>
            <w:left w:val="none" w:sz="0" w:space="0" w:color="auto"/>
            <w:bottom w:val="none" w:sz="0" w:space="0" w:color="auto"/>
            <w:right w:val="none" w:sz="0" w:space="0" w:color="auto"/>
          </w:divBdr>
        </w:div>
        <w:div w:id="201326849">
          <w:marLeft w:val="0"/>
          <w:marRight w:val="0"/>
          <w:marTop w:val="0"/>
          <w:marBottom w:val="0"/>
          <w:divBdr>
            <w:top w:val="none" w:sz="0" w:space="0" w:color="auto"/>
            <w:left w:val="none" w:sz="0" w:space="0" w:color="auto"/>
            <w:bottom w:val="none" w:sz="0" w:space="0" w:color="auto"/>
            <w:right w:val="none" w:sz="0" w:space="0" w:color="auto"/>
          </w:divBdr>
        </w:div>
        <w:div w:id="207880262">
          <w:marLeft w:val="0"/>
          <w:marRight w:val="0"/>
          <w:marTop w:val="0"/>
          <w:marBottom w:val="0"/>
          <w:divBdr>
            <w:top w:val="none" w:sz="0" w:space="0" w:color="auto"/>
            <w:left w:val="none" w:sz="0" w:space="0" w:color="auto"/>
            <w:bottom w:val="none" w:sz="0" w:space="0" w:color="auto"/>
            <w:right w:val="none" w:sz="0" w:space="0" w:color="auto"/>
          </w:divBdr>
        </w:div>
        <w:div w:id="242833551">
          <w:marLeft w:val="0"/>
          <w:marRight w:val="0"/>
          <w:marTop w:val="0"/>
          <w:marBottom w:val="0"/>
          <w:divBdr>
            <w:top w:val="none" w:sz="0" w:space="0" w:color="auto"/>
            <w:left w:val="none" w:sz="0" w:space="0" w:color="auto"/>
            <w:bottom w:val="none" w:sz="0" w:space="0" w:color="auto"/>
            <w:right w:val="none" w:sz="0" w:space="0" w:color="auto"/>
          </w:divBdr>
        </w:div>
        <w:div w:id="256259334">
          <w:marLeft w:val="0"/>
          <w:marRight w:val="0"/>
          <w:marTop w:val="0"/>
          <w:marBottom w:val="0"/>
          <w:divBdr>
            <w:top w:val="none" w:sz="0" w:space="0" w:color="auto"/>
            <w:left w:val="none" w:sz="0" w:space="0" w:color="auto"/>
            <w:bottom w:val="none" w:sz="0" w:space="0" w:color="auto"/>
            <w:right w:val="none" w:sz="0" w:space="0" w:color="auto"/>
          </w:divBdr>
        </w:div>
        <w:div w:id="259723959">
          <w:marLeft w:val="0"/>
          <w:marRight w:val="0"/>
          <w:marTop w:val="0"/>
          <w:marBottom w:val="0"/>
          <w:divBdr>
            <w:top w:val="none" w:sz="0" w:space="0" w:color="auto"/>
            <w:left w:val="none" w:sz="0" w:space="0" w:color="auto"/>
            <w:bottom w:val="none" w:sz="0" w:space="0" w:color="auto"/>
            <w:right w:val="none" w:sz="0" w:space="0" w:color="auto"/>
          </w:divBdr>
        </w:div>
        <w:div w:id="381291112">
          <w:marLeft w:val="0"/>
          <w:marRight w:val="0"/>
          <w:marTop w:val="0"/>
          <w:marBottom w:val="0"/>
          <w:divBdr>
            <w:top w:val="none" w:sz="0" w:space="0" w:color="auto"/>
            <w:left w:val="none" w:sz="0" w:space="0" w:color="auto"/>
            <w:bottom w:val="none" w:sz="0" w:space="0" w:color="auto"/>
            <w:right w:val="none" w:sz="0" w:space="0" w:color="auto"/>
          </w:divBdr>
        </w:div>
        <w:div w:id="387264132">
          <w:marLeft w:val="0"/>
          <w:marRight w:val="0"/>
          <w:marTop w:val="0"/>
          <w:marBottom w:val="0"/>
          <w:divBdr>
            <w:top w:val="none" w:sz="0" w:space="0" w:color="auto"/>
            <w:left w:val="none" w:sz="0" w:space="0" w:color="auto"/>
            <w:bottom w:val="none" w:sz="0" w:space="0" w:color="auto"/>
            <w:right w:val="none" w:sz="0" w:space="0" w:color="auto"/>
          </w:divBdr>
        </w:div>
        <w:div w:id="399864164">
          <w:marLeft w:val="0"/>
          <w:marRight w:val="0"/>
          <w:marTop w:val="0"/>
          <w:marBottom w:val="0"/>
          <w:divBdr>
            <w:top w:val="none" w:sz="0" w:space="0" w:color="auto"/>
            <w:left w:val="none" w:sz="0" w:space="0" w:color="auto"/>
            <w:bottom w:val="none" w:sz="0" w:space="0" w:color="auto"/>
            <w:right w:val="none" w:sz="0" w:space="0" w:color="auto"/>
          </w:divBdr>
        </w:div>
        <w:div w:id="476412981">
          <w:marLeft w:val="0"/>
          <w:marRight w:val="0"/>
          <w:marTop w:val="0"/>
          <w:marBottom w:val="0"/>
          <w:divBdr>
            <w:top w:val="none" w:sz="0" w:space="0" w:color="auto"/>
            <w:left w:val="none" w:sz="0" w:space="0" w:color="auto"/>
            <w:bottom w:val="none" w:sz="0" w:space="0" w:color="auto"/>
            <w:right w:val="none" w:sz="0" w:space="0" w:color="auto"/>
          </w:divBdr>
        </w:div>
        <w:div w:id="477964428">
          <w:marLeft w:val="0"/>
          <w:marRight w:val="0"/>
          <w:marTop w:val="0"/>
          <w:marBottom w:val="0"/>
          <w:divBdr>
            <w:top w:val="none" w:sz="0" w:space="0" w:color="auto"/>
            <w:left w:val="none" w:sz="0" w:space="0" w:color="auto"/>
            <w:bottom w:val="none" w:sz="0" w:space="0" w:color="auto"/>
            <w:right w:val="none" w:sz="0" w:space="0" w:color="auto"/>
          </w:divBdr>
        </w:div>
        <w:div w:id="481386248">
          <w:marLeft w:val="0"/>
          <w:marRight w:val="0"/>
          <w:marTop w:val="0"/>
          <w:marBottom w:val="0"/>
          <w:divBdr>
            <w:top w:val="none" w:sz="0" w:space="0" w:color="auto"/>
            <w:left w:val="none" w:sz="0" w:space="0" w:color="auto"/>
            <w:bottom w:val="none" w:sz="0" w:space="0" w:color="auto"/>
            <w:right w:val="none" w:sz="0" w:space="0" w:color="auto"/>
          </w:divBdr>
        </w:div>
        <w:div w:id="520244653">
          <w:marLeft w:val="0"/>
          <w:marRight w:val="0"/>
          <w:marTop w:val="0"/>
          <w:marBottom w:val="0"/>
          <w:divBdr>
            <w:top w:val="none" w:sz="0" w:space="0" w:color="auto"/>
            <w:left w:val="none" w:sz="0" w:space="0" w:color="auto"/>
            <w:bottom w:val="none" w:sz="0" w:space="0" w:color="auto"/>
            <w:right w:val="none" w:sz="0" w:space="0" w:color="auto"/>
          </w:divBdr>
        </w:div>
        <w:div w:id="520631452">
          <w:marLeft w:val="0"/>
          <w:marRight w:val="0"/>
          <w:marTop w:val="0"/>
          <w:marBottom w:val="0"/>
          <w:divBdr>
            <w:top w:val="none" w:sz="0" w:space="0" w:color="auto"/>
            <w:left w:val="none" w:sz="0" w:space="0" w:color="auto"/>
            <w:bottom w:val="none" w:sz="0" w:space="0" w:color="auto"/>
            <w:right w:val="none" w:sz="0" w:space="0" w:color="auto"/>
          </w:divBdr>
        </w:div>
        <w:div w:id="591662599">
          <w:marLeft w:val="0"/>
          <w:marRight w:val="0"/>
          <w:marTop w:val="0"/>
          <w:marBottom w:val="0"/>
          <w:divBdr>
            <w:top w:val="none" w:sz="0" w:space="0" w:color="auto"/>
            <w:left w:val="none" w:sz="0" w:space="0" w:color="auto"/>
            <w:bottom w:val="none" w:sz="0" w:space="0" w:color="auto"/>
            <w:right w:val="none" w:sz="0" w:space="0" w:color="auto"/>
          </w:divBdr>
        </w:div>
        <w:div w:id="593631252">
          <w:marLeft w:val="0"/>
          <w:marRight w:val="0"/>
          <w:marTop w:val="0"/>
          <w:marBottom w:val="0"/>
          <w:divBdr>
            <w:top w:val="none" w:sz="0" w:space="0" w:color="auto"/>
            <w:left w:val="none" w:sz="0" w:space="0" w:color="auto"/>
            <w:bottom w:val="none" w:sz="0" w:space="0" w:color="auto"/>
            <w:right w:val="none" w:sz="0" w:space="0" w:color="auto"/>
          </w:divBdr>
        </w:div>
        <w:div w:id="624585014">
          <w:marLeft w:val="0"/>
          <w:marRight w:val="0"/>
          <w:marTop w:val="0"/>
          <w:marBottom w:val="0"/>
          <w:divBdr>
            <w:top w:val="none" w:sz="0" w:space="0" w:color="auto"/>
            <w:left w:val="none" w:sz="0" w:space="0" w:color="auto"/>
            <w:bottom w:val="none" w:sz="0" w:space="0" w:color="auto"/>
            <w:right w:val="none" w:sz="0" w:space="0" w:color="auto"/>
          </w:divBdr>
        </w:div>
        <w:div w:id="641496028">
          <w:marLeft w:val="0"/>
          <w:marRight w:val="0"/>
          <w:marTop w:val="0"/>
          <w:marBottom w:val="0"/>
          <w:divBdr>
            <w:top w:val="none" w:sz="0" w:space="0" w:color="auto"/>
            <w:left w:val="none" w:sz="0" w:space="0" w:color="auto"/>
            <w:bottom w:val="none" w:sz="0" w:space="0" w:color="auto"/>
            <w:right w:val="none" w:sz="0" w:space="0" w:color="auto"/>
          </w:divBdr>
        </w:div>
        <w:div w:id="711420090">
          <w:marLeft w:val="0"/>
          <w:marRight w:val="0"/>
          <w:marTop w:val="0"/>
          <w:marBottom w:val="0"/>
          <w:divBdr>
            <w:top w:val="none" w:sz="0" w:space="0" w:color="auto"/>
            <w:left w:val="none" w:sz="0" w:space="0" w:color="auto"/>
            <w:bottom w:val="none" w:sz="0" w:space="0" w:color="auto"/>
            <w:right w:val="none" w:sz="0" w:space="0" w:color="auto"/>
          </w:divBdr>
        </w:div>
        <w:div w:id="720593212">
          <w:marLeft w:val="0"/>
          <w:marRight w:val="0"/>
          <w:marTop w:val="0"/>
          <w:marBottom w:val="0"/>
          <w:divBdr>
            <w:top w:val="none" w:sz="0" w:space="0" w:color="auto"/>
            <w:left w:val="none" w:sz="0" w:space="0" w:color="auto"/>
            <w:bottom w:val="none" w:sz="0" w:space="0" w:color="auto"/>
            <w:right w:val="none" w:sz="0" w:space="0" w:color="auto"/>
          </w:divBdr>
        </w:div>
        <w:div w:id="758257997">
          <w:marLeft w:val="0"/>
          <w:marRight w:val="0"/>
          <w:marTop w:val="0"/>
          <w:marBottom w:val="0"/>
          <w:divBdr>
            <w:top w:val="none" w:sz="0" w:space="0" w:color="auto"/>
            <w:left w:val="none" w:sz="0" w:space="0" w:color="auto"/>
            <w:bottom w:val="none" w:sz="0" w:space="0" w:color="auto"/>
            <w:right w:val="none" w:sz="0" w:space="0" w:color="auto"/>
          </w:divBdr>
        </w:div>
        <w:div w:id="826288223">
          <w:marLeft w:val="0"/>
          <w:marRight w:val="0"/>
          <w:marTop w:val="0"/>
          <w:marBottom w:val="0"/>
          <w:divBdr>
            <w:top w:val="none" w:sz="0" w:space="0" w:color="auto"/>
            <w:left w:val="none" w:sz="0" w:space="0" w:color="auto"/>
            <w:bottom w:val="none" w:sz="0" w:space="0" w:color="auto"/>
            <w:right w:val="none" w:sz="0" w:space="0" w:color="auto"/>
          </w:divBdr>
        </w:div>
        <w:div w:id="881092294">
          <w:marLeft w:val="0"/>
          <w:marRight w:val="0"/>
          <w:marTop w:val="0"/>
          <w:marBottom w:val="0"/>
          <w:divBdr>
            <w:top w:val="none" w:sz="0" w:space="0" w:color="auto"/>
            <w:left w:val="none" w:sz="0" w:space="0" w:color="auto"/>
            <w:bottom w:val="none" w:sz="0" w:space="0" w:color="auto"/>
            <w:right w:val="none" w:sz="0" w:space="0" w:color="auto"/>
          </w:divBdr>
        </w:div>
        <w:div w:id="925380889">
          <w:marLeft w:val="0"/>
          <w:marRight w:val="0"/>
          <w:marTop w:val="0"/>
          <w:marBottom w:val="0"/>
          <w:divBdr>
            <w:top w:val="none" w:sz="0" w:space="0" w:color="auto"/>
            <w:left w:val="none" w:sz="0" w:space="0" w:color="auto"/>
            <w:bottom w:val="none" w:sz="0" w:space="0" w:color="auto"/>
            <w:right w:val="none" w:sz="0" w:space="0" w:color="auto"/>
          </w:divBdr>
        </w:div>
        <w:div w:id="966861834">
          <w:marLeft w:val="0"/>
          <w:marRight w:val="0"/>
          <w:marTop w:val="0"/>
          <w:marBottom w:val="0"/>
          <w:divBdr>
            <w:top w:val="none" w:sz="0" w:space="0" w:color="auto"/>
            <w:left w:val="none" w:sz="0" w:space="0" w:color="auto"/>
            <w:bottom w:val="none" w:sz="0" w:space="0" w:color="auto"/>
            <w:right w:val="none" w:sz="0" w:space="0" w:color="auto"/>
          </w:divBdr>
        </w:div>
        <w:div w:id="990866318">
          <w:marLeft w:val="0"/>
          <w:marRight w:val="0"/>
          <w:marTop w:val="0"/>
          <w:marBottom w:val="0"/>
          <w:divBdr>
            <w:top w:val="none" w:sz="0" w:space="0" w:color="auto"/>
            <w:left w:val="none" w:sz="0" w:space="0" w:color="auto"/>
            <w:bottom w:val="none" w:sz="0" w:space="0" w:color="auto"/>
            <w:right w:val="none" w:sz="0" w:space="0" w:color="auto"/>
          </w:divBdr>
        </w:div>
        <w:div w:id="1023677621">
          <w:marLeft w:val="0"/>
          <w:marRight w:val="0"/>
          <w:marTop w:val="0"/>
          <w:marBottom w:val="0"/>
          <w:divBdr>
            <w:top w:val="none" w:sz="0" w:space="0" w:color="auto"/>
            <w:left w:val="none" w:sz="0" w:space="0" w:color="auto"/>
            <w:bottom w:val="none" w:sz="0" w:space="0" w:color="auto"/>
            <w:right w:val="none" w:sz="0" w:space="0" w:color="auto"/>
          </w:divBdr>
        </w:div>
        <w:div w:id="1031300102">
          <w:marLeft w:val="0"/>
          <w:marRight w:val="0"/>
          <w:marTop w:val="0"/>
          <w:marBottom w:val="0"/>
          <w:divBdr>
            <w:top w:val="none" w:sz="0" w:space="0" w:color="auto"/>
            <w:left w:val="none" w:sz="0" w:space="0" w:color="auto"/>
            <w:bottom w:val="none" w:sz="0" w:space="0" w:color="auto"/>
            <w:right w:val="none" w:sz="0" w:space="0" w:color="auto"/>
          </w:divBdr>
        </w:div>
        <w:div w:id="1049261102">
          <w:marLeft w:val="0"/>
          <w:marRight w:val="0"/>
          <w:marTop w:val="0"/>
          <w:marBottom w:val="0"/>
          <w:divBdr>
            <w:top w:val="none" w:sz="0" w:space="0" w:color="auto"/>
            <w:left w:val="none" w:sz="0" w:space="0" w:color="auto"/>
            <w:bottom w:val="none" w:sz="0" w:space="0" w:color="auto"/>
            <w:right w:val="none" w:sz="0" w:space="0" w:color="auto"/>
          </w:divBdr>
        </w:div>
        <w:div w:id="1071005430">
          <w:marLeft w:val="0"/>
          <w:marRight w:val="0"/>
          <w:marTop w:val="0"/>
          <w:marBottom w:val="0"/>
          <w:divBdr>
            <w:top w:val="none" w:sz="0" w:space="0" w:color="auto"/>
            <w:left w:val="none" w:sz="0" w:space="0" w:color="auto"/>
            <w:bottom w:val="none" w:sz="0" w:space="0" w:color="auto"/>
            <w:right w:val="none" w:sz="0" w:space="0" w:color="auto"/>
          </w:divBdr>
        </w:div>
        <w:div w:id="1083719780">
          <w:marLeft w:val="0"/>
          <w:marRight w:val="0"/>
          <w:marTop w:val="0"/>
          <w:marBottom w:val="0"/>
          <w:divBdr>
            <w:top w:val="none" w:sz="0" w:space="0" w:color="auto"/>
            <w:left w:val="none" w:sz="0" w:space="0" w:color="auto"/>
            <w:bottom w:val="none" w:sz="0" w:space="0" w:color="auto"/>
            <w:right w:val="none" w:sz="0" w:space="0" w:color="auto"/>
          </w:divBdr>
        </w:div>
        <w:div w:id="1089932327">
          <w:marLeft w:val="0"/>
          <w:marRight w:val="0"/>
          <w:marTop w:val="0"/>
          <w:marBottom w:val="0"/>
          <w:divBdr>
            <w:top w:val="none" w:sz="0" w:space="0" w:color="auto"/>
            <w:left w:val="none" w:sz="0" w:space="0" w:color="auto"/>
            <w:bottom w:val="none" w:sz="0" w:space="0" w:color="auto"/>
            <w:right w:val="none" w:sz="0" w:space="0" w:color="auto"/>
          </w:divBdr>
        </w:div>
        <w:div w:id="1095370282">
          <w:marLeft w:val="0"/>
          <w:marRight w:val="0"/>
          <w:marTop w:val="0"/>
          <w:marBottom w:val="0"/>
          <w:divBdr>
            <w:top w:val="none" w:sz="0" w:space="0" w:color="auto"/>
            <w:left w:val="none" w:sz="0" w:space="0" w:color="auto"/>
            <w:bottom w:val="none" w:sz="0" w:space="0" w:color="auto"/>
            <w:right w:val="none" w:sz="0" w:space="0" w:color="auto"/>
          </w:divBdr>
        </w:div>
        <w:div w:id="1136949481">
          <w:marLeft w:val="0"/>
          <w:marRight w:val="0"/>
          <w:marTop w:val="0"/>
          <w:marBottom w:val="0"/>
          <w:divBdr>
            <w:top w:val="none" w:sz="0" w:space="0" w:color="auto"/>
            <w:left w:val="none" w:sz="0" w:space="0" w:color="auto"/>
            <w:bottom w:val="none" w:sz="0" w:space="0" w:color="auto"/>
            <w:right w:val="none" w:sz="0" w:space="0" w:color="auto"/>
          </w:divBdr>
        </w:div>
        <w:div w:id="1166286251">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212614932">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1251156391">
          <w:marLeft w:val="0"/>
          <w:marRight w:val="0"/>
          <w:marTop w:val="0"/>
          <w:marBottom w:val="0"/>
          <w:divBdr>
            <w:top w:val="none" w:sz="0" w:space="0" w:color="auto"/>
            <w:left w:val="none" w:sz="0" w:space="0" w:color="auto"/>
            <w:bottom w:val="none" w:sz="0" w:space="0" w:color="auto"/>
            <w:right w:val="none" w:sz="0" w:space="0" w:color="auto"/>
          </w:divBdr>
        </w:div>
        <w:div w:id="1295405088">
          <w:marLeft w:val="0"/>
          <w:marRight w:val="0"/>
          <w:marTop w:val="0"/>
          <w:marBottom w:val="0"/>
          <w:divBdr>
            <w:top w:val="none" w:sz="0" w:space="0" w:color="auto"/>
            <w:left w:val="none" w:sz="0" w:space="0" w:color="auto"/>
            <w:bottom w:val="none" w:sz="0" w:space="0" w:color="auto"/>
            <w:right w:val="none" w:sz="0" w:space="0" w:color="auto"/>
          </w:divBdr>
        </w:div>
        <w:div w:id="1306622971">
          <w:marLeft w:val="0"/>
          <w:marRight w:val="0"/>
          <w:marTop w:val="0"/>
          <w:marBottom w:val="0"/>
          <w:divBdr>
            <w:top w:val="none" w:sz="0" w:space="0" w:color="auto"/>
            <w:left w:val="none" w:sz="0" w:space="0" w:color="auto"/>
            <w:bottom w:val="none" w:sz="0" w:space="0" w:color="auto"/>
            <w:right w:val="none" w:sz="0" w:space="0" w:color="auto"/>
          </w:divBdr>
        </w:div>
        <w:div w:id="1313557143">
          <w:marLeft w:val="0"/>
          <w:marRight w:val="0"/>
          <w:marTop w:val="0"/>
          <w:marBottom w:val="0"/>
          <w:divBdr>
            <w:top w:val="none" w:sz="0" w:space="0" w:color="auto"/>
            <w:left w:val="none" w:sz="0" w:space="0" w:color="auto"/>
            <w:bottom w:val="none" w:sz="0" w:space="0" w:color="auto"/>
            <w:right w:val="none" w:sz="0" w:space="0" w:color="auto"/>
          </w:divBdr>
        </w:div>
        <w:div w:id="1358041136">
          <w:marLeft w:val="0"/>
          <w:marRight w:val="0"/>
          <w:marTop w:val="0"/>
          <w:marBottom w:val="0"/>
          <w:divBdr>
            <w:top w:val="none" w:sz="0" w:space="0" w:color="auto"/>
            <w:left w:val="none" w:sz="0" w:space="0" w:color="auto"/>
            <w:bottom w:val="none" w:sz="0" w:space="0" w:color="auto"/>
            <w:right w:val="none" w:sz="0" w:space="0" w:color="auto"/>
          </w:divBdr>
        </w:div>
        <w:div w:id="1359772552">
          <w:marLeft w:val="0"/>
          <w:marRight w:val="0"/>
          <w:marTop w:val="0"/>
          <w:marBottom w:val="0"/>
          <w:divBdr>
            <w:top w:val="none" w:sz="0" w:space="0" w:color="auto"/>
            <w:left w:val="none" w:sz="0" w:space="0" w:color="auto"/>
            <w:bottom w:val="none" w:sz="0" w:space="0" w:color="auto"/>
            <w:right w:val="none" w:sz="0" w:space="0" w:color="auto"/>
          </w:divBdr>
        </w:div>
        <w:div w:id="1371414717">
          <w:marLeft w:val="0"/>
          <w:marRight w:val="0"/>
          <w:marTop w:val="0"/>
          <w:marBottom w:val="0"/>
          <w:divBdr>
            <w:top w:val="none" w:sz="0" w:space="0" w:color="auto"/>
            <w:left w:val="none" w:sz="0" w:space="0" w:color="auto"/>
            <w:bottom w:val="none" w:sz="0" w:space="0" w:color="auto"/>
            <w:right w:val="none" w:sz="0" w:space="0" w:color="auto"/>
          </w:divBdr>
        </w:div>
        <w:div w:id="1382441804">
          <w:marLeft w:val="0"/>
          <w:marRight w:val="0"/>
          <w:marTop w:val="0"/>
          <w:marBottom w:val="0"/>
          <w:divBdr>
            <w:top w:val="none" w:sz="0" w:space="0" w:color="auto"/>
            <w:left w:val="none" w:sz="0" w:space="0" w:color="auto"/>
            <w:bottom w:val="none" w:sz="0" w:space="0" w:color="auto"/>
            <w:right w:val="none" w:sz="0" w:space="0" w:color="auto"/>
          </w:divBdr>
        </w:div>
        <w:div w:id="1428773708">
          <w:marLeft w:val="0"/>
          <w:marRight w:val="0"/>
          <w:marTop w:val="0"/>
          <w:marBottom w:val="0"/>
          <w:divBdr>
            <w:top w:val="none" w:sz="0" w:space="0" w:color="auto"/>
            <w:left w:val="none" w:sz="0" w:space="0" w:color="auto"/>
            <w:bottom w:val="none" w:sz="0" w:space="0" w:color="auto"/>
            <w:right w:val="none" w:sz="0" w:space="0" w:color="auto"/>
          </w:divBdr>
        </w:div>
        <w:div w:id="1463694161">
          <w:marLeft w:val="0"/>
          <w:marRight w:val="0"/>
          <w:marTop w:val="0"/>
          <w:marBottom w:val="0"/>
          <w:divBdr>
            <w:top w:val="none" w:sz="0" w:space="0" w:color="auto"/>
            <w:left w:val="none" w:sz="0" w:space="0" w:color="auto"/>
            <w:bottom w:val="none" w:sz="0" w:space="0" w:color="auto"/>
            <w:right w:val="none" w:sz="0" w:space="0" w:color="auto"/>
          </w:divBdr>
        </w:div>
        <w:div w:id="1528987323">
          <w:marLeft w:val="0"/>
          <w:marRight w:val="0"/>
          <w:marTop w:val="0"/>
          <w:marBottom w:val="0"/>
          <w:divBdr>
            <w:top w:val="none" w:sz="0" w:space="0" w:color="auto"/>
            <w:left w:val="none" w:sz="0" w:space="0" w:color="auto"/>
            <w:bottom w:val="none" w:sz="0" w:space="0" w:color="auto"/>
            <w:right w:val="none" w:sz="0" w:space="0" w:color="auto"/>
          </w:divBdr>
        </w:div>
        <w:div w:id="1616212700">
          <w:marLeft w:val="0"/>
          <w:marRight w:val="0"/>
          <w:marTop w:val="0"/>
          <w:marBottom w:val="0"/>
          <w:divBdr>
            <w:top w:val="none" w:sz="0" w:space="0" w:color="auto"/>
            <w:left w:val="none" w:sz="0" w:space="0" w:color="auto"/>
            <w:bottom w:val="none" w:sz="0" w:space="0" w:color="auto"/>
            <w:right w:val="none" w:sz="0" w:space="0" w:color="auto"/>
          </w:divBdr>
        </w:div>
        <w:div w:id="1637904650">
          <w:marLeft w:val="0"/>
          <w:marRight w:val="0"/>
          <w:marTop w:val="0"/>
          <w:marBottom w:val="0"/>
          <w:divBdr>
            <w:top w:val="none" w:sz="0" w:space="0" w:color="auto"/>
            <w:left w:val="none" w:sz="0" w:space="0" w:color="auto"/>
            <w:bottom w:val="none" w:sz="0" w:space="0" w:color="auto"/>
            <w:right w:val="none" w:sz="0" w:space="0" w:color="auto"/>
          </w:divBdr>
        </w:div>
        <w:div w:id="1667854174">
          <w:marLeft w:val="0"/>
          <w:marRight w:val="0"/>
          <w:marTop w:val="0"/>
          <w:marBottom w:val="0"/>
          <w:divBdr>
            <w:top w:val="none" w:sz="0" w:space="0" w:color="auto"/>
            <w:left w:val="none" w:sz="0" w:space="0" w:color="auto"/>
            <w:bottom w:val="none" w:sz="0" w:space="0" w:color="auto"/>
            <w:right w:val="none" w:sz="0" w:space="0" w:color="auto"/>
          </w:divBdr>
        </w:div>
        <w:div w:id="1706366431">
          <w:marLeft w:val="0"/>
          <w:marRight w:val="0"/>
          <w:marTop w:val="0"/>
          <w:marBottom w:val="0"/>
          <w:divBdr>
            <w:top w:val="none" w:sz="0" w:space="0" w:color="auto"/>
            <w:left w:val="none" w:sz="0" w:space="0" w:color="auto"/>
            <w:bottom w:val="none" w:sz="0" w:space="0" w:color="auto"/>
            <w:right w:val="none" w:sz="0" w:space="0" w:color="auto"/>
          </w:divBdr>
        </w:div>
        <w:div w:id="1785730611">
          <w:marLeft w:val="0"/>
          <w:marRight w:val="0"/>
          <w:marTop w:val="0"/>
          <w:marBottom w:val="0"/>
          <w:divBdr>
            <w:top w:val="none" w:sz="0" w:space="0" w:color="auto"/>
            <w:left w:val="none" w:sz="0" w:space="0" w:color="auto"/>
            <w:bottom w:val="none" w:sz="0" w:space="0" w:color="auto"/>
            <w:right w:val="none" w:sz="0" w:space="0" w:color="auto"/>
          </w:divBdr>
        </w:div>
        <w:div w:id="1847747359">
          <w:marLeft w:val="0"/>
          <w:marRight w:val="0"/>
          <w:marTop w:val="0"/>
          <w:marBottom w:val="0"/>
          <w:divBdr>
            <w:top w:val="none" w:sz="0" w:space="0" w:color="auto"/>
            <w:left w:val="none" w:sz="0" w:space="0" w:color="auto"/>
            <w:bottom w:val="none" w:sz="0" w:space="0" w:color="auto"/>
            <w:right w:val="none" w:sz="0" w:space="0" w:color="auto"/>
          </w:divBdr>
        </w:div>
        <w:div w:id="1934166093">
          <w:marLeft w:val="0"/>
          <w:marRight w:val="0"/>
          <w:marTop w:val="0"/>
          <w:marBottom w:val="0"/>
          <w:divBdr>
            <w:top w:val="none" w:sz="0" w:space="0" w:color="auto"/>
            <w:left w:val="none" w:sz="0" w:space="0" w:color="auto"/>
            <w:bottom w:val="none" w:sz="0" w:space="0" w:color="auto"/>
            <w:right w:val="none" w:sz="0" w:space="0" w:color="auto"/>
          </w:divBdr>
        </w:div>
        <w:div w:id="1968122472">
          <w:marLeft w:val="0"/>
          <w:marRight w:val="0"/>
          <w:marTop w:val="0"/>
          <w:marBottom w:val="0"/>
          <w:divBdr>
            <w:top w:val="none" w:sz="0" w:space="0" w:color="auto"/>
            <w:left w:val="none" w:sz="0" w:space="0" w:color="auto"/>
            <w:bottom w:val="none" w:sz="0" w:space="0" w:color="auto"/>
            <w:right w:val="none" w:sz="0" w:space="0" w:color="auto"/>
          </w:divBdr>
        </w:div>
        <w:div w:id="1976568706">
          <w:marLeft w:val="0"/>
          <w:marRight w:val="0"/>
          <w:marTop w:val="0"/>
          <w:marBottom w:val="0"/>
          <w:divBdr>
            <w:top w:val="none" w:sz="0" w:space="0" w:color="auto"/>
            <w:left w:val="none" w:sz="0" w:space="0" w:color="auto"/>
            <w:bottom w:val="none" w:sz="0" w:space="0" w:color="auto"/>
            <w:right w:val="none" w:sz="0" w:space="0" w:color="auto"/>
          </w:divBdr>
        </w:div>
        <w:div w:id="1991865062">
          <w:marLeft w:val="0"/>
          <w:marRight w:val="0"/>
          <w:marTop w:val="0"/>
          <w:marBottom w:val="0"/>
          <w:divBdr>
            <w:top w:val="none" w:sz="0" w:space="0" w:color="auto"/>
            <w:left w:val="none" w:sz="0" w:space="0" w:color="auto"/>
            <w:bottom w:val="none" w:sz="0" w:space="0" w:color="auto"/>
            <w:right w:val="none" w:sz="0" w:space="0" w:color="auto"/>
          </w:divBdr>
        </w:div>
        <w:div w:id="1999839868">
          <w:marLeft w:val="0"/>
          <w:marRight w:val="0"/>
          <w:marTop w:val="0"/>
          <w:marBottom w:val="0"/>
          <w:divBdr>
            <w:top w:val="none" w:sz="0" w:space="0" w:color="auto"/>
            <w:left w:val="none" w:sz="0" w:space="0" w:color="auto"/>
            <w:bottom w:val="none" w:sz="0" w:space="0" w:color="auto"/>
            <w:right w:val="none" w:sz="0" w:space="0" w:color="auto"/>
          </w:divBdr>
        </w:div>
        <w:div w:id="2008286050">
          <w:marLeft w:val="0"/>
          <w:marRight w:val="0"/>
          <w:marTop w:val="0"/>
          <w:marBottom w:val="0"/>
          <w:divBdr>
            <w:top w:val="none" w:sz="0" w:space="0" w:color="auto"/>
            <w:left w:val="none" w:sz="0" w:space="0" w:color="auto"/>
            <w:bottom w:val="none" w:sz="0" w:space="0" w:color="auto"/>
            <w:right w:val="none" w:sz="0" w:space="0" w:color="auto"/>
          </w:divBdr>
        </w:div>
        <w:div w:id="2057385743">
          <w:marLeft w:val="0"/>
          <w:marRight w:val="0"/>
          <w:marTop w:val="0"/>
          <w:marBottom w:val="0"/>
          <w:divBdr>
            <w:top w:val="none" w:sz="0" w:space="0" w:color="auto"/>
            <w:left w:val="none" w:sz="0" w:space="0" w:color="auto"/>
            <w:bottom w:val="none" w:sz="0" w:space="0" w:color="auto"/>
            <w:right w:val="none" w:sz="0" w:space="0" w:color="auto"/>
          </w:divBdr>
        </w:div>
        <w:div w:id="2068257646">
          <w:marLeft w:val="0"/>
          <w:marRight w:val="0"/>
          <w:marTop w:val="0"/>
          <w:marBottom w:val="0"/>
          <w:divBdr>
            <w:top w:val="none" w:sz="0" w:space="0" w:color="auto"/>
            <w:left w:val="none" w:sz="0" w:space="0" w:color="auto"/>
            <w:bottom w:val="none" w:sz="0" w:space="0" w:color="auto"/>
            <w:right w:val="none" w:sz="0" w:space="0" w:color="auto"/>
          </w:divBdr>
        </w:div>
        <w:div w:id="2076584717">
          <w:marLeft w:val="0"/>
          <w:marRight w:val="0"/>
          <w:marTop w:val="0"/>
          <w:marBottom w:val="0"/>
          <w:divBdr>
            <w:top w:val="none" w:sz="0" w:space="0" w:color="auto"/>
            <w:left w:val="none" w:sz="0" w:space="0" w:color="auto"/>
            <w:bottom w:val="none" w:sz="0" w:space="0" w:color="auto"/>
            <w:right w:val="none" w:sz="0" w:space="0" w:color="auto"/>
          </w:divBdr>
        </w:div>
        <w:div w:id="2080518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07/s10639-019-10094-2" TargetMode="External"/><Relationship Id="rId18" Type="http://schemas.openxmlformats.org/officeDocument/2006/relationships/hyperlink" Target="https://doi.org/10.1007/s11423-020-09807-z"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3390/educsci13040410" TargetMode="External"/><Relationship Id="rId7" Type="http://schemas.openxmlformats.org/officeDocument/2006/relationships/settings" Target="settings.xml"/><Relationship Id="rId12" Type="http://schemas.openxmlformats.org/officeDocument/2006/relationships/hyperlink" Target="https://doi.org/10.1016/j.edurev.2016.11.002" TargetMode="External"/><Relationship Id="rId17" Type="http://schemas.openxmlformats.org/officeDocument/2006/relationships/hyperlink" Target="https://doi.org/10.1016/j.edurev.2020.100334"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109/ACCESS.2020.2988510?utm_source=chatgpt.com" TargetMode="External"/><Relationship Id="rId20" Type="http://schemas.openxmlformats.org/officeDocument/2006/relationships/hyperlink" Target="https://doi.org/10.1007/s10639-022-1117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16/j.ijinfomgt.2018.12.002" TargetMode="External"/><Relationship Id="rId5" Type="http://schemas.openxmlformats.org/officeDocument/2006/relationships/numbering" Target="numbering.xml"/><Relationship Id="rId15" Type="http://schemas.openxmlformats.org/officeDocument/2006/relationships/hyperlink" Target="https://doi.org/10.1111/jcal.12617" TargetMode="External"/><Relationship Id="rId23" Type="http://schemas.openxmlformats.org/officeDocument/2006/relationships/hyperlink" Target="https://doi.org/10.1007/s10648-019-09498-w" TargetMode="External"/><Relationship Id="rId10" Type="http://schemas.openxmlformats.org/officeDocument/2006/relationships/endnotes" Target="endnotes.xml"/><Relationship Id="rId19" Type="http://schemas.openxmlformats.org/officeDocument/2006/relationships/hyperlink" Target="https://doi.org/10.1016/j.lindif.2023.10227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2/hbe2.310" TargetMode="External"/><Relationship Id="rId22" Type="http://schemas.openxmlformats.org/officeDocument/2006/relationships/hyperlink" Target="https://doi.org/10.1016/j.caeai.2023.10003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43B0B179F8CF44AA95A91EE4EE138D1" ma:contentTypeVersion="18" ma:contentTypeDescription="Crear nuevo documento." ma:contentTypeScope="" ma:versionID="2934ed79ac00c2d40c4b95f0f0871f35">
  <xsd:schema xmlns:xsd="http://www.w3.org/2001/XMLSchema" xmlns:xs="http://www.w3.org/2001/XMLSchema" xmlns:p="http://schemas.microsoft.com/office/2006/metadata/properties" xmlns:ns3="2dd66bb3-5337-4ef4-9589-c673d8327165" xmlns:ns4="6b478130-a44a-4214-b8a5-7b7c5a306b35" targetNamespace="http://schemas.microsoft.com/office/2006/metadata/properties" ma:root="true" ma:fieldsID="dc6edb1534fecc0102da9e266812b192" ns3:_="" ns4:_="">
    <xsd:import namespace="2dd66bb3-5337-4ef4-9589-c673d8327165"/>
    <xsd:import namespace="6b478130-a44a-4214-b8a5-7b7c5a306b3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6bb3-5337-4ef4-9589-c673d8327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478130-a44a-4214-b8a5-7b7c5a306b35"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Ber21</b:Tag>
    <b:SourceType>JournalArticle</b:SourceType>
    <b:Guid>{457B48C9-608B-4A3E-997E-9C729B59DB7F}</b:Guid>
    <b:Title>Realidad aumentada como técnica didáctica en la enseñanza de temas de cálculo en la educación superior</b:Title>
    <b:Year>2021</b:Year>
    <b:DOI>https://doi.org/10.23913/ride.v11i22.890</b:DOI>
    <b:JournalName>Revista Iberoamericana para la investigación y el desarrollo educativo</b:JournalName>
    <b:Pages>1-26</b:Pages>
    <b:Volume>12</b:Volume>
    <b:Issue>22</b:Issue>
    <b:Author>
      <b:Author>
        <b:NameList>
          <b:Person>
            <b:Last>Berumen López</b:Last>
            <b:First>Efrén </b:First>
          </b:Person>
          <b:Person>
            <b:Last>Acevedo Sandoval</b:Last>
            <b:First>Salvador </b:First>
          </b:Person>
          <b:Person>
            <b:Last>Reveles Gamboa</b:Last>
            <b:First>Susana</b:First>
          </b:Person>
        </b:NameList>
      </b:Author>
    </b:Author>
    <b:RefOrder>1</b:RefOrder>
  </b:Source>
  <b:Source>
    <b:Tag>Mor21</b:Tag>
    <b:SourceType>JournalArticle</b:SourceType>
    <b:Guid>{4EFDB997-B9A5-4500-B7E2-4D30EEAA9FF6}</b:Guid>
    <b:Title>La Realidad Aumentada, un enfoque práctico para el sector editorial</b:Title>
    <b:JournalName>IV Conferencia Científica Internacional</b:JournalName>
    <b:Year>2021</b:Year>
    <b:Pages>1-8</b:Pages>
    <b:Volume>4</b:Volume>
    <b:Issue>1</b:Issue>
    <b:Author>
      <b:Author>
        <b:NameList>
          <b:Person>
            <b:Last>Morlá Díaz</b:Last>
            <b:Middle>Patricia </b:Middle>
            <b:First>Isel </b:First>
          </b:Person>
        </b:NameList>
      </b:Author>
    </b:Author>
    <b:RefOrder>2</b:RefOrder>
  </b:Source>
  <b:Source>
    <b:Tag>Urr201</b:Tag>
    <b:SourceType>JournalArticle</b:SourceType>
    <b:Guid>{47E7F5D1-AED5-479F-B707-A7DA8F71A5EC}</b:Guid>
    <b:Title>Implementación de los objetos virtuales de aprendizaje (OVA) con realidad aumentada para las asignaturas dictadas en el aula taller de ciencias básicas</b:Title>
    <b:JournalName>Ciencia, Tecnologías y competencias</b:JournalName>
    <b:Year>2020</b:Year>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DOI>https://doi.org/978-958-52748-6-0</b:DOI>
    <b:RefOrder>3</b:RefOrder>
  </b:Source>
  <b:Source>
    <b:Tag>Gon12</b:Tag>
    <b:SourceType>Book</b:SourceType>
    <b:Guid>{289BD661-36AD-4241-98B2-83EFAF909FAC}</b:Guid>
    <b:Title>Realidad Aumentada un enfoque práctico con ARToolKit y Blender</b:Title>
    <b:Year>2012</b:Year>
    <b:DOI>ISBN: 978-84-686-1151-8</b:DOI>
    <b:Author>
      <b:Author>
        <b:NameList>
          <b:Person>
            <b:Last>Gonzáles Morcillo</b:Last>
            <b:First>Carlos</b:First>
          </b:Person>
          <b:Person>
            <b:Last>Vallejo Fernández</b:Last>
            <b:First>David</b:First>
          </b:Person>
          <b:Person>
            <b:Last>Albusac Jiménez</b:Last>
            <b:First>Javier</b:First>
          </b:Person>
          <b:Person>
            <b:Last>Castro Sánchez</b:Last>
            <b:First>José </b:First>
          </b:Person>
        </b:NameList>
      </b:Author>
    </b:Author>
    <b:Publisher>Bubok Publishing S.L.</b:Publisher>
    <b:RefOrder>4</b:RefOrder>
  </b:Source>
  <b:Source>
    <b:Tag>Nar23</b:Tag>
    <b:SourceType>Report</b:SourceType>
    <b:Guid>{2FD8B65C-8CA4-4535-9BCF-F095C7BAF750}</b:Guid>
    <b:Title>Contenido educativo mediante herramientas tecnológicas basadas en realidad aumentada</b:Title>
    <b:Year>2023</b:Year>
    <b:Publisher>UPEC</b:Publisher>
    <b:Author>
      <b:Author>
        <b:NameList>
          <b:Person>
            <b:Last>Narváez Rojas</b:Last>
            <b:First>Anthony</b:First>
          </b:Person>
          <b:Person>
            <b:Last>Ordoñez Arcos</b:Last>
            <b:First>David</b:First>
          </b:Person>
        </b:NameList>
      </b:Author>
    </b:Author>
    <b:RefOrder>5</b:RefOrder>
  </b:Source>
  <b:Source>
    <b:Tag>Ins24</b:Tag>
    <b:SourceType>InternetSite</b:SourceType>
    <b:Guid>{D543734B-FD20-4A97-A5B2-F38271164CDB}</b:Guid>
    <b:Title>IAT</b:Title>
    <b:Year>2024</b:Year>
    <b:Author>
      <b:Author>
        <b:Corporate>Instituto Andaluz de Tecnología </b:Corporate>
      </b:Author>
    </b:Author>
    <b:Month>2</b:Month>
    <b:Day>11</b:Day>
    <b:URL>https://iat.es/tecnologias/inteligencia-artificial/</b:URL>
    <b:RefOrder>6</b:RefOrder>
  </b:Source>
  <b:Source>
    <b:Tag>Fer24</b:Tag>
    <b:SourceType>Book</b:SourceType>
    <b:Guid>{2BD69E1F-3CC9-409C-A2DF-C8202F02FC67}</b:Guid>
    <b:Title>Realidad aumentada, inteligencia artificial, educación 4.0 y enseñanza con TIC</b:Title>
    <b:Year>2024</b:Year>
    <b:Publisher>Centro de Investigación y Desarrollo Profesional</b:Publisher>
    <b:DOI>https://doi.org/10.29018/</b:DOI>
    <b:Author>
      <b:Author>
        <b:NameList>
          <b:Person>
            <b:Last>Fernández Villacrés </b:Last>
            <b:First>Gustavo</b:First>
          </b:Person>
          <b:Person>
            <b:Last>Merino Sánchez</b:Last>
            <b:First>Wilson</b:First>
          </b:Person>
          <b:Person>
            <b:Last>Villacís López </b:Last>
            <b:First>Juan</b:First>
          </b:Person>
          <b:Person>
            <b:Last>Baño Naranjo</b:Last>
            <b:First>Freddy</b:First>
          </b:Person>
          <b:Person>
            <b:Last>López López</b:Last>
            <b:First>Roberto</b:First>
          </b:Person>
        </b:NameList>
      </b:Author>
    </b:Author>
    <b:RefOrder>7</b:RefOrder>
  </b:Source>
  <b:Source>
    <b:Tag>Mar20</b:Tag>
    <b:SourceType>JournalArticle</b:SourceType>
    <b:Guid>{CFBC517B-FF60-412D-830E-FC7E3AE12787}</b:Guid>
    <b:Title>Inteligencia artificial y Big Data como soluciones frente a la COVID-19</b:Title>
    <b:Year>2020</b:Year>
    <b:DOI>ISSN 1886-5887</b:DOI>
    <b:JournalName>BioÃ©tica y Derecho</b:JournalName>
    <b:Pages>315-331</b:Pages>
    <b:Volume>50</b:Volume>
    <b:Issue>1</b:Issue>
    <b:Author>
      <b:Author>
        <b:NameList>
          <b:Person>
            <b:Last>Marques Díaz </b:Last>
            <b:First>Jairo</b:First>
          </b:Person>
        </b:NameList>
      </b:Author>
    </b:Author>
    <b:RefOrder>8</b:RefOrder>
  </b:Source>
  <b:Source>
    <b:Tag>Ech20</b:Tag>
    <b:SourceType>JournalArticle</b:SourceType>
    <b:Guid>{EC8D07A8-5026-4A0D-A03B-50C113F5E251}</b:Guid>
    <b:Title>ASISTENTE VIRTUAL ACADÉMICO UTILIZANDO TECNOLOGÍAS COGNITIVAS DE PROCESAMIENTO DE LENGUAJE NATURAL</b:Title>
    <b:JournalName>Revista Politécnica</b:JournalName>
    <b:Year>2020</b:Year>
    <b:Pages>85-96</b:Pages>
    <b:Volume>16</b:Volume>
    <b:Issue>31</b:Issue>
    <b:DOI>https://doi.org/10.33571/rpolitec.v16n31a7</b:DOI>
    <b:Author>
      <b:Author>
        <b:NameList>
          <b:Person>
            <b:Last>Echeverri Torres</b:Last>
            <b:First>Mónica</b:First>
          </b:Person>
          <b:Person>
            <b:Last>Manjarrés-Betancur</b:Last>
            <b:First>Roberto</b:First>
          </b:Person>
        </b:NameList>
      </b:Author>
    </b:Author>
    <b:RefOrder>9</b:RefOrder>
  </b:Source>
  <b:Source>
    <b:Tag>Bel21</b:Tag>
    <b:SourceType>JournalArticle</b:SourceType>
    <b:Guid>{CF1B8A98-E784-404F-B5DA-30CF8AACA550}</b:Guid>
    <b:Title>Procesamiento del lenguaje natural (PLN) -GPT-3,  y  su  aplicación  en  la  Ingeniería  de  Software</b:Title>
    <b:JournalName>Tecnol.Investig.  AcademiaTIA</b:JournalName>
    <b:Year>2021</b:Year>
    <b:Pages>18-37</b:Pages>
    <b:Volume>8</b:Volume>
    <b:Issue>1</b:Issue>
    <b:DOI>ISSN:  2344-8288</b:DOI>
    <b:Author>
      <b:Author>
        <b:NameList>
          <b:Person>
            <b:Last>Beltrán</b:Last>
            <b:First>Néstor</b:First>
          </b:Person>
          <b:Person>
            <b:Last>Rodríguez</b:Last>
            <b:First>Edda</b:First>
          </b:Person>
        </b:NameList>
      </b:Author>
    </b:Author>
    <b:RefOrder>10</b:RefOrder>
  </b:Source>
  <b:Source>
    <b:Tag>Urr20</b:Tag>
    <b:SourceType>JournalArticle</b:SourceType>
    <b:Guid>{38BE9F87-1EB5-4B4C-8029-3B6092A3DD3D}</b:Guid>
    <b:Title>Implementación de los objetos virtuales de aprendizaje (OVA) con realidad aumentada para las asignaturas dictadas en el aula taller de ciencias básicas</b:Title>
    <b:Year>2020</b:Year>
    <b:DOI>978-958-52748-6-0</b:DOI>
    <b:JournalName>Ciencia, tecnología y competencias</b:JournalName>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RefOrder>11</b:RefOrder>
  </b:Source>
  <b:Source>
    <b:Tag>Mon24</b:Tag>
    <b:SourceType>Report</b:SourceType>
    <b:Guid>{2353C0EF-E79C-4DC5-A850-5B7878FC136E}</b:Guid>
    <b:Title>Recurso educativo de realidad aumentada para el aprendizaje de ciencias naturales en estudiantes de educación general básica</b:Title>
    <b:Year>2024</b:Year>
    <b:Publisher>Machala</b:Publisher>
    <b:Author>
      <b:Author>
        <b:NameList>
          <b:Person>
            <b:Last>Montoya Bustamante</b:Last>
            <b:First>Karen Estefania</b:First>
          </b:Person>
          <b:Person>
            <b:Last>Ramirez Cueva</b:Last>
            <b:Middle>Micaela</b:Middle>
            <b:First>Janina</b:First>
          </b:Person>
        </b:NameList>
      </b:Author>
    </b:Author>
    <b:RefOrder>12</b:RefOrder>
  </b:Source>
  <b:Source>
    <b:Tag>San21</b:Tag>
    <b:SourceType>JournalArticle</b:SourceType>
    <b:Guid>{D1D7A9B6-B91A-4B93-B78F-A9D833C54A5C}</b:Guid>
    <b:Title>Reconocimiento de patrones de imágenes a través de un sistema de visión artificial en MATLAB</b:Title>
    <b:Year>2021</b:Year>
    <b:JournalName>REVISTA CIENTÍFICADE SISTEMAS E INFORMÁTICA</b:JournalName>
    <b:Pages>15-26</b:Pages>
    <b:Volume>1</b:Volume>
    <b:Issue>2</b:Issue>
    <b:DOI>https://doi.org/10.51252/rcsi.v1i2.131</b:DOI>
    <b:Author>
      <b:Author>
        <b:NameList>
          <b:Person>
            <b:Last>Santa-Maria</b:Last>
            <b:First> John</b:First>
          </b:Person>
          <b:Person>
            <b:Last>Ríos</b:Last>
            <b:First>Carlos</b:First>
          </b:Person>
          <b:Person>
            <b:Last>Rodríguez</b:Last>
            <b:First>Carlos</b:First>
          </b:Person>
          <b:Person>
            <b:Last>García</b:Last>
            <b:First>Cristian</b:First>
          </b:Person>
        </b:NameList>
      </b:Author>
    </b:Author>
    <b:RefOrder>13</b:RefOrder>
  </b:Source>
  <b:Source>
    <b:Tag>Sán22</b:Tag>
    <b:SourceType>JournalArticle</b:SourceType>
    <b:Guid>{1563D3CA-1D49-47D4-82B6-B9804BA47CB3}</b:Guid>
    <b:Title>Inteligencia artificial y visión por computadora aplicada a la educación</b:Title>
    <b:JournalName>REVISTA ODIGOS</b:JournalName>
    <b:Year>2022</b:Year>
    <b:Pages> 61–73</b:Pages>
    <b:Volume>3</b:Volume>
    <b:Issue>2</b:Issue>
    <b:DOI>https://doi.org/10.35290/ro.v3n2.2022.587</b:DOI>
    <b:Author>
      <b:Author>
        <b:NameList>
          <b:Person>
            <b:Last>Sánchez López</b:Last>
            <b:Middle>Antonio</b:Middle>
            <b:First>Leonardo</b:First>
          </b:Person>
        </b:NameList>
      </b:Author>
    </b:Author>
    <b:RefOrder>14</b:RefOrder>
  </b:Source>
  <b:Source>
    <b:Tag>Tra24</b:Tag>
    <b:SourceType>JournalArticle</b:SourceType>
    <b:Guid>{F08D7E2B-02CE-4D1F-9AF8-59206D50E8E3}</b:Guid>
    <b:Title>Transformando la educación: aplicaciones de artificial y procesamiento de imágenes en el aprendizaje personalizado</b:Title>
    <b:JournalName>Revista Social Fronteriza</b:JournalName>
    <b:Year>2024</b:Year>
    <b:Pages>1-33</b:Pages>
    <b:Volume>4</b:Volume>
    <b:Issue>4</b:Issue>
    <b:DOI>https://doi.org/10.59814/resofro.2024.4(4)322</b:DOI>
    <b:Author>
      <b:Author>
        <b:NameList>
          <b:Person>
            <b:Last>Tumalli Naranjo</b:Last>
            <b:Middle>Raúl </b:Middle>
            <b:First>Guillermo</b:First>
          </b:Person>
          <b:Person>
            <b:Last>Tumalli Naranjo</b:Last>
            <b:Middle>Ángel </b:Middle>
            <b:First>Luis </b:First>
          </b:Person>
          <b:Person>
            <b:Last>Ovaco Sandoya</b:Last>
            <b:Middle>George </b:Middle>
            <b:First>Guido</b:First>
          </b:Person>
          <b:Person>
            <b:Last>Lizano Jácome</b:Last>
            <b:Middle>Alejandra </b:Middle>
            <b:First>Mayra</b:First>
          </b:Person>
        </b:NameList>
      </b:Author>
    </b:Author>
    <b:RefOrder>15</b:RefOrder>
  </b:Source>
  <b:Source>
    <b:Tag>Are22</b:Tag>
    <b:SourceType>JournalArticle</b:SourceType>
    <b:Guid>{E27F1796-46C8-4ADE-88B6-E9E6FEEEF655}</b:Guid>
    <b:Title>An Overview of Augmented Reality</b:Title>
    <b:JournalName>Computers</b:JournalName>
    <b:Year>2022</b:Year>
    <b:Pages>1-15</b:Pages>
    <b:Volume>11</b:Volume>
    <b:Issue>2</b:Issue>
    <b:DOI>https://doi.org/10.3390/computers11020028</b:DOI>
    <b:Author>
      <b:Author>
        <b:NameList>
          <b:Person>
            <b:Last>Arena </b:Last>
            <b:First>Fabio</b:First>
          </b:Person>
          <b:Person>
            <b:Last>Collotta</b:Last>
            <b:First>Mario</b:First>
          </b:Person>
          <b:Person>
            <b:Last>Pau</b:Last>
            <b:First>Giovanni </b:First>
          </b:Person>
          <b:Person>
            <b:Last>Termine</b:Last>
            <b:First>Francesco </b:First>
          </b:Person>
        </b:NameList>
      </b:Author>
    </b:Author>
    <b:RefOrder>16</b:RefOrder>
  </b:Source>
  <b:Source>
    <b:Tag>Dev22</b:Tag>
    <b:SourceType>JournalArticle</b:SourceType>
    <b:Guid>{B7B352E5-330D-401E-96BC-D40A58CC3937}</b:Guid>
    <b:Title>Augmented Reality and Artificial Intelligence in Industry: Trends, Tools, and Future Challenges</b:Title>
    <b:JournalName>Elsevier</b:JournalName>
    <b:Year>2022</b:Year>
    <b:Pages>1-40</b:Pages>
    <b:Volume>207</b:Volume>
    <b:DOI>https://doi.org/10.1016/j.eswa.2022.118002</b:DOI>
    <b:Author>
      <b:Author>
        <b:NameList>
          <b:Person>
            <b:Last>Devagiri</b:Last>
            <b:First>Jeevan</b:First>
          </b:Person>
          <b:Person>
            <b:Last>Paheding</b:Last>
            <b:First>Sidike </b:First>
          </b:Person>
          <b:Person>
            <b:Last>Niyaz</b:Last>
            <b:First>Quamar </b:First>
          </b:Person>
          <b:Person>
            <b:Last>Yang</b:Last>
            <b:First>Xiaoli </b:First>
          </b:Person>
          <b:Person>
            <b:Last>Smith</b:Last>
            <b:First>Samantha </b:First>
          </b:Person>
        </b:NameList>
      </b:Author>
    </b:Author>
    <b:RefOrder>17</b:RefOrder>
  </b:Source>
  <b:Source>
    <b:Tag>Cha17</b:Tag>
    <b:SourceType>JournalArticle</b:SourceType>
    <b:Guid>{2BD076F6-5D07-4502-A756-8ACFA80896F9}</b:Guid>
    <b:Title>Utilización de recursos didácticos interactivos a través de las TIC´S en el proceso de enseñanza aprendizaje en el área de matemática</b:Title>
    <b:JournalName>Boletín Redipe</b:JournalName>
    <b:Year>2017</b:Year>
    <b:Pages>112-134</b:Pages>
    <b:Volume>6</b:Volume>
    <b:Issue>4</b:Issue>
    <b:DOI>ISSN-e 2256-1536</b:DOI>
    <b:Author>
      <b:Author>
        <b:NameList>
          <b:Person>
            <b:Last>Chancusig Chisag</b:Last>
            <b:Middle>Carlos </b:Middle>
            <b:First>Juan </b:First>
          </b:Person>
          <b:Person>
            <b:Last>Flores Lagla</b:Last>
            <b:First>Galo</b:First>
          </b:Person>
          <b:Person>
            <b:Last>Venegas Alvarez</b:Last>
            <b:First>Gina</b:First>
          </b:Person>
          <b:Person>
            <b:Last>Cadena Moreano</b:Last>
            <b:First>José</b:First>
          </b:Person>
          <b:Person>
            <b:Last>Guaypatin Pico</b:Last>
            <b:First>Oscar </b:First>
          </b:Person>
          <b:Person>
            <b:Last>Izurieta Chicaiza</b:Last>
            <b:First>Elizabeth</b:First>
          </b:Person>
        </b:NameList>
      </b:Author>
    </b:Author>
    <b:RefOrder>18</b:RefOrder>
  </b:Source>
  <b:Source>
    <b:Tag>Las21</b:Tag>
    <b:SourceType>Report</b:SourceType>
    <b:Guid>{FF2CCE71-02DA-4612-92C9-BD6BAE08FAE1}</b:Guid>
    <b:Title>Estrategias didácticas interactivas para el aprendizaje de la lectura y escritura</b:Title>
    <b:Year>2021</b:Year>
    <b:Publisher>UNIVERSIDAD TECNOLÓGICA INDOAMÉRICA</b:Publisher>
    <b:Author>
      <b:Author>
        <b:NameList>
          <b:Person>
            <b:Last>Lascano Herrera </b:Last>
            <b:Middle>Mariela</b:Middle>
            <b:First>Jenny </b:First>
          </b:Person>
        </b:NameList>
      </b:Author>
    </b:Author>
    <b:RefOrder>19</b:RefOrder>
  </b:Source>
  <b:Source>
    <b:Tag>Nav21</b:Tag>
    <b:SourceType>JournalArticle</b:SourceType>
    <b:Guid>{131B72CF-146E-45ED-8E2D-0291CC91FD17}</b:Guid>
    <b:Title>Estrategias didácticas interactivas para el aprendizaje significativo de la multiplicación</b:Title>
    <b:Year>2021</b:Year>
    <b:Pages>43-53</b:Pages>
    <b:DOI>https://doi.org/10.46296/yc.v5i9edespsoct.0110</b:DOI>
    <b:JournalName>Revista Científica Multidisciplinaria Arbitrada YACHASUN</b:JournalName>
    <b:Volume>5</b:Volume>
    <b:Issue>9</b:Issue>
    <b:Author>
      <b:Author>
        <b:NameList>
          <b:Person>
            <b:Last>Navarrete Navarrete</b:Last>
            <b:Middle>Miguel </b:Middle>
            <b:First>Juan </b:First>
          </b:Person>
          <b:Person>
            <b:Last>Gallegos Macías</b:Last>
            <b:First>Marcos</b:First>
          </b:Person>
        </b:NameList>
      </b:Author>
    </b:Author>
    <b:RefOrder>20</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2dd66bb3-5337-4ef4-9589-c673d8327165" xsi:nil="true"/>
  </documentManagement>
</p:properties>
</file>

<file path=customXml/itemProps1.xml><?xml version="1.0" encoding="utf-8"?>
<ds:datastoreItem xmlns:ds="http://schemas.openxmlformats.org/officeDocument/2006/customXml" ds:itemID="{85B50407-3FCF-4551-A645-212D7A9C8169}">
  <ds:schemaRefs>
    <ds:schemaRef ds:uri="http://schemas.microsoft.com/sharepoint/v3/contenttype/forms"/>
  </ds:schemaRefs>
</ds:datastoreItem>
</file>

<file path=customXml/itemProps2.xml><?xml version="1.0" encoding="utf-8"?>
<ds:datastoreItem xmlns:ds="http://schemas.openxmlformats.org/officeDocument/2006/customXml" ds:itemID="{88A65302-FC0F-44E4-B74C-54C774419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6bb3-5337-4ef4-9589-c673d8327165"/>
    <ds:schemaRef ds:uri="6b478130-a44a-4214-b8a5-7b7c5a306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739D41-8464-4567-85CE-D2083C07790F}">
  <ds:schemaRefs>
    <ds:schemaRef ds:uri="http://schemas.openxmlformats.org/officeDocument/2006/bibliography"/>
  </ds:schemaRefs>
</ds:datastoreItem>
</file>

<file path=customXml/itemProps4.xml><?xml version="1.0" encoding="utf-8"?>
<ds:datastoreItem xmlns:ds="http://schemas.openxmlformats.org/officeDocument/2006/customXml" ds:itemID="{1C1AA0E2-B2C6-4FCA-AAC2-697926450699}">
  <ds:schemaRefs>
    <ds:schemaRef ds:uri="http://schemas.microsoft.com/office/2006/metadata/properties"/>
    <ds:schemaRef ds:uri="http://schemas.microsoft.com/office/infopath/2007/PartnerControls"/>
    <ds:schemaRef ds:uri="2dd66bb3-5337-4ef4-9589-c673d832716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11616</Words>
  <Characters>63893</Characters>
  <Application>Microsoft Office Word</Application>
  <DocSecurity>0</DocSecurity>
  <Lines>532</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Andrés Castillo Hernández</dc:creator>
  <cp:keywords/>
  <dc:description/>
  <cp:lastModifiedBy>JORGE HUMBERTO MIRANDA REALPE</cp:lastModifiedBy>
  <cp:revision>71</cp:revision>
  <cp:lastPrinted>2026-02-20T17:47:00Z</cp:lastPrinted>
  <dcterms:created xsi:type="dcterms:W3CDTF">2026-09-18T02:47:00Z</dcterms:created>
  <dcterms:modified xsi:type="dcterms:W3CDTF">2026-09-21T03:51:00Z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0x010100143B0B179F8CF44AA95A91EE4EE138D1</vt:lpwstr>
  </property>
</Properties>
</file>