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ARIMA aplicado a COLCAP y Bitcoin: ¿hay estructura que explotar?</w:t>
      </w:r>
    </w:p>
    <w:p>
      <w:pPr>
        <w:pStyle w:val="Author"/>
      </w:pPr>
      <w:r>
        <w:t xml:space="preserve">Andrés Londoño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descripción-de-las-series-de-tiempo"/>
    <w:p>
      <w:pPr>
        <w:pStyle w:val="Heading2"/>
      </w:pPr>
      <w:r>
        <w:t xml:space="preserve">1. Descripción de las series de tiempo</w:t>
      </w:r>
    </w:p>
    <w:p>
      <w:pPr>
        <w:pStyle w:val="FirstParagraph"/>
      </w:pPr>
      <w:r>
        <w:rPr>
          <w:b/>
          <w:bCs/>
        </w:rPr>
        <w:t xml:space="preserve">COLCAP.</w:t>
      </w:r>
      <w:r>
        <w:t xml:space="preserve"> </w:t>
      </w:r>
      <w:r>
        <w:t xml:space="preserve">El COLCAP es el índice de capitalización de la Bolsa de Valores</w:t>
      </w:r>
      <w:r>
        <w:t xml:space="preserve"> </w:t>
      </w:r>
      <w:r>
        <w:t xml:space="preserve">de Colombia (BVC), calculado a partir de las 20 acciones más líquidas del</w:t>
      </w:r>
      <w:r>
        <w:t xml:space="preserve"> </w:t>
      </w:r>
      <w:r>
        <w:t xml:space="preserve">mercado colombiano, ponderadas por su capitalización bursátil ajustada. Se</w:t>
      </w:r>
      <w:r>
        <w:t xml:space="preserve"> </w:t>
      </w:r>
      <w:r>
        <w:t xml:space="preserve">trabaja con el cierre mensual del índice entre enero de 2021 y agosto de</w:t>
      </w:r>
      <w:r>
        <w:t xml:space="preserve"> </w:t>
      </w:r>
      <w:r>
        <w:t xml:space="preserve">2026 (68 observaciones), tomado de la serie histórica diaria publicada por</w:t>
      </w:r>
      <w:r>
        <w:t xml:space="preserve"> </w:t>
      </w:r>
      <w:r>
        <w:t xml:space="preserve">el Banco de la República con fuente BVC.</w:t>
      </w:r>
    </w:p>
    <w:p>
      <w:pPr>
        <w:pStyle w:val="BodyText"/>
      </w:pPr>
      <w:r>
        <w:rPr>
          <w:b/>
          <w:bCs/>
        </w:rPr>
        <w:t xml:space="preserve">Bitcoin (BTC-USD).</w:t>
      </w:r>
      <w:r>
        <w:t xml:space="preserve"> </w:t>
      </w:r>
      <w:r>
        <w:t xml:space="preserve">Bitcoin es la principal criptomoneda por</w:t>
      </w:r>
      <w:r>
        <w:t xml:space="preserve"> </w:t>
      </w:r>
      <w:r>
        <w:t xml:space="preserve">capitalización de mercado, cotizada las 24 horas los 7 días de la semana</w:t>
      </w:r>
      <w:r>
        <w:t xml:space="preserve"> </w:t>
      </w:r>
      <w:r>
        <w:t xml:space="preserve">contra el dólar estadounidense. Se trabaja con el precio de cierre mensual</w:t>
      </w:r>
      <w:r>
        <w:t xml:space="preserve"> </w:t>
      </w:r>
      <w:r>
        <w:t xml:space="preserve">entre enero de 2021 y agosto de 2026 (68 observaciones), tomado de Yahoo</w:t>
      </w:r>
      <w:r>
        <w:t xml:space="preserve"> </w:t>
      </w:r>
      <w:r>
        <w:t xml:space="preserve">Finance.</w:t>
      </w:r>
    </w:p>
    <w:p>
      <w:pPr>
        <w:pStyle w:val="BodyText"/>
      </w:pPr>
      <w:r>
        <w:t xml:space="preserve">Se anuncian y muestran las dos series originales, en niveles: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Ambas series muestran una tendencia de largo plazo (creciente, con caídas</w:t>
      </w:r>
      <w:r>
        <w:t xml:space="preserve"> </w:t>
      </w:r>
      <w:r>
        <w:t xml:space="preserve">marcadas en 2022 y recuperación posterior) y varianza que cambia con el</w:t>
      </w:r>
      <w:r>
        <w:t xml:space="preserve"> </w:t>
      </w:r>
      <w:r>
        <w:t xml:space="preserve">nivel — señal visual, antes de cualquier prueba formal, de que ninguna de</w:t>
      </w:r>
      <w:r>
        <w:t xml:space="preserve"> </w:t>
      </w:r>
      <w:r>
        <w:t xml:space="preserve">las dos es estacionaria en niveles.</w:t>
      </w:r>
    </w:p>
    <w:p>
      <w:pPr>
        <w:pStyle w:val="BodyText"/>
      </w:pPr>
      <w:r>
        <w:t xml:space="preserve">Los retornos mensuales de cada serie se calculan como el log-retorno:</w:t>
      </w:r>
      <w:r>
        <w:t xml:space="preserve"> </w:t>
      </w:r>
      <w:r>
        <w:t xml:space="preserve">\( r_t = \log(P_t) - \log(P_{t-1}) \).</w:t>
      </w:r>
    </w:p>
    <w:bookmarkEnd w:id="15"/>
    <w:bookmarkStart w:id="28" w:name="X17fef1261f519328ffa34e540a3bd3476ac942e"/>
    <w:p>
      <w:pPr>
        <w:pStyle w:val="Heading2"/>
      </w:pPr>
      <w:r>
        <w:t xml:space="preserve">2. Proceso de adecuación de las series para hacerlas estacionarias</w:t>
      </w:r>
    </w:p>
    <w:p>
      <w:pPr>
        <w:pStyle w:val="FirstParagraph"/>
      </w:pPr>
      <w:r>
        <w:t xml:space="preserve">Para cada serie se corren las tres pruebas de raíz unitaria (ADF,</w:t>
      </w:r>
      <w:r>
        <w:t xml:space="preserve"> </w:t>
      </w:r>
      <w:r>
        <w:t xml:space="preserve">Phillips-Perron, KPSS) sobre los precios en niveles, y de nuevo sobre la</w:t>
      </w:r>
      <w:r>
        <w:t xml:space="preserve"> </w:t>
      </w:r>
      <w:r>
        <w:t xml:space="preserve">serie transformada, hasta lograr un resultado consistente de</w:t>
      </w:r>
      <w:r>
        <w:t xml:space="preserve"> </w:t>
      </w:r>
      <w:r>
        <w:t xml:space="preserve">estacionariedad en las tres.</w:t>
      </w:r>
    </w:p>
    <w:p>
      <w:pPr>
        <w:pStyle w:val="BodyText"/>
      </w:pPr>
      <w:r>
        <w:rPr>
          <w:b/>
          <w:bCs/>
        </w:rPr>
        <w:t xml:space="preserve">COLCAP — precio.</w:t>
      </w:r>
      <w:r>
        <w:t xml:space="preserve"> </w:t>
      </w:r>
      <w:r>
        <w:t xml:space="preserve">Sobre el nivel, ADF y PP no rechazan la raíz unitaria</w:t>
      </w:r>
      <w:r>
        <w:t xml:space="preserve"> </w:t>
      </w:r>
      <w:r>
        <w:t xml:space="preserve">en ninguna especificación (p-valores entre 0.85 y 0.99) — no es</w:t>
      </w:r>
      <w:r>
        <w:t xml:space="preserve"> </w:t>
      </w:r>
      <w:r>
        <w:t xml:space="preserve">estacionaria. Se aplica logaritmo natural (para estabilizar la varianza) y</w:t>
      </w:r>
      <w:r>
        <w:t xml:space="preserve"> </w:t>
      </w:r>
      <w:r>
        <w:t xml:space="preserve">una diferencia (para quitar la tendencia). Sobre la serie ya transformada</w:t>
      </w:r>
      <w:r>
        <w:t xml:space="preserve"> </w:t>
      </w:r>
      <w:r>
        <w:t xml:space="preserve">y diferenciada, ADF y PP rechazan la raíz unitaria con claridad</w:t>
      </w:r>
      <w:r>
        <w:t xml:space="preserve"> </w:t>
      </w:r>
      <w:r>
        <w:t xml:space="preserve">(p ≤ 0.01 en casi todas las especificaciones) —</w:t>
      </w:r>
      <w:r>
        <w:t xml:space="preserve"> </w:t>
      </w:r>
      <w:r>
        <w:rPr>
          <w:b/>
          <w:bCs/>
        </w:rPr>
        <w:t xml:space="preserve">una sola diferenciación</w:t>
      </w:r>
      <w:r>
        <w:rPr>
          <w:b/>
          <w:bCs/>
        </w:rPr>
        <w:t xml:space="preserve"> </w:t>
      </w:r>
      <w:r>
        <w:rPr>
          <w:b/>
          <w:bCs/>
        </w:rPr>
        <w:t xml:space="preserve">(d=1) sobre el logaritmo ya alcanza.</w:t>
      </w:r>
    </w:p>
    <w:p>
      <w:pPr>
        <w:pStyle w:val="BodyText"/>
      </w:pPr>
      <w:r>
        <w:rPr>
          <w:b/>
          <w:bCs/>
        </w:rPr>
        <w:t xml:space="preserve">COLCAP — retorno.</w:t>
      </w:r>
      <w:r>
        <w:t xml:space="preserve"> </w:t>
      </w:r>
      <w:r>
        <w:t xml:space="preserve">El retorno mensual, por construcción, ya es la</w:t>
      </w:r>
      <w:r>
        <w:t xml:space="preserve"> </w:t>
      </w:r>
      <w:r>
        <w:t xml:space="preserve">serie de precios transformada y diferenciada del punto anterior — las</w:t>
      </w:r>
      <w:r>
        <w:t xml:space="preserve"> </w:t>
      </w:r>
      <w:r>
        <w:t xml:space="preserve">pruebas sobre el retorno dan el mismo resultado: estacionaria sin</w:t>
      </w:r>
      <w:r>
        <w:t xml:space="preserve"> </w:t>
      </w:r>
      <w:r>
        <w:t xml:space="preserve">necesidad de diferenciar de nuevo (d=0).</w:t>
      </w:r>
    </w:p>
    <w:p>
      <w:pPr>
        <w:pStyle w:val="BodyText"/>
      </w:pPr>
      <w:r>
        <w:t xml:space="preserve">Como apoyo visual a las pruebas formales (y porque es la misma</w:t>
      </w:r>
      <w:r>
        <w:t xml:space="preserve"> </w:t>
      </w:r>
      <w:r>
        <w:t xml:space="preserve">herramienta que se usa después para identificar p y q), se grafican</w:t>
      </w:r>
      <w:r>
        <w:t xml:space="preserve"> </w:t>
      </w:r>
      <w:r>
        <w:t xml:space="preserve">ACF y PACF de esta misma serie estacionaria — es la misma serie que</w:t>
      </w:r>
      <w:r>
        <w:t xml:space="preserve"> </w:t>
      </w:r>
      <w:r>
        <w:t xml:space="preserve">alimenta tanto el modelo de precio (vía log+diferencia) como el de</w:t>
      </w:r>
      <w:r>
        <w:t xml:space="preserve"> </w:t>
      </w:r>
      <w:r>
        <w:t xml:space="preserve">retorno, así que este ACF/PACF sirve para ambos.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5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5-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Lectura del gráfico:</w:t>
      </w:r>
      <w:r>
        <w:t xml:space="preserve"> </w:t>
      </w:r>
      <w:r>
        <w:t xml:space="preserve">con 67 observaciones, la banda de confianza al</w:t>
      </w:r>
      <w:r>
        <w:t xml:space="preserve"> </w:t>
      </w:r>
      <w:r>
        <w:t xml:space="preserve">95% ronda ±0.24. Ningún rezago de la ACF ni de la PACF se sale</w:t>
      </w:r>
      <w:r>
        <w:t xml:space="preserve"> </w:t>
      </w:r>
      <w:r>
        <w:t xml:space="preserve">claramente de esa banda — el más cercano es el rezago 4 de la PACF</w:t>
      </w:r>
      <w:r>
        <w:t xml:space="preserve"> </w:t>
      </w:r>
      <w:r>
        <w:t xml:space="preserve">(-0.26). Es una señal débil, consistente con que el modelo final</w:t>
      </w:r>
      <w:r>
        <w:t xml:space="preserve"> </w:t>
      </w:r>
      <w:r>
        <w:t xml:space="preserve">(sección 3) resulte en un MA(2) donde solo uno de los dos coeficientes</w:t>
      </w:r>
      <w:r>
        <w:t xml:space="preserve"> </w:t>
      </w:r>
      <w:r>
        <w:t xml:space="preserve">es significativo: no hay un patrón visual contundente, por eso se</w:t>
      </w:r>
      <w:r>
        <w:t xml:space="preserve"> </w:t>
      </w:r>
      <w:r>
        <w:t xml:space="preserve">delega la decisión final a</w:t>
      </w:r>
      <w:r>
        <w:t xml:space="preserve"> </w:t>
      </w:r>
      <w:r>
        <w:rPr>
          <w:rStyle w:val="VerbatimChar"/>
        </w:rPr>
        <w:t xml:space="preserve">auto.arima()</w:t>
      </w:r>
      <w:r>
        <w:t xml:space="preserve"> </w:t>
      </w:r>
      <w:r>
        <w:t xml:space="preserve">en vez de fijar p/q a ojo.</w:t>
      </w:r>
    </w:p>
    <w:p>
      <w:pPr>
        <w:pStyle w:val="BodyText"/>
      </w:pPr>
      <w:r>
        <w:rPr>
          <w:b/>
          <w:bCs/>
        </w:rPr>
        <w:t xml:space="preserve">BTC-USD — precio.</w:t>
      </w:r>
      <w:r>
        <w:t xml:space="preserve"> </w:t>
      </w:r>
      <w:r>
        <w:t xml:space="preserve">Sobre el nivel, ADF y PP no rechazan la raíz</w:t>
      </w:r>
      <w:r>
        <w:t xml:space="preserve"> </w:t>
      </w:r>
      <w:r>
        <w:t xml:space="preserve">unitaria en ninguna especificación (p-valores todos &gt; 0.5) — no</w:t>
      </w:r>
      <w:r>
        <w:t xml:space="preserve"> </w:t>
      </w:r>
      <w:r>
        <w:t xml:space="preserve">estacionaria, de forma incluso más clara que COLCAP. Igual que con</w:t>
      </w:r>
      <w:r>
        <w:t xml:space="preserve"> </w:t>
      </w:r>
      <w:r>
        <w:t xml:space="preserve">COLCAP, log + una diferencia bastan para lograr estacionariedad</w:t>
      </w:r>
      <w:r>
        <w:t xml:space="preserve"> </w:t>
      </w:r>
      <w:r>
        <w:t xml:space="preserve">(p ≤ 0.01 tras la transformación).</w:t>
      </w:r>
    </w:p>
    <w:p>
      <w:pPr>
        <w:pStyle w:val="BodyText"/>
      </w:pPr>
      <w:r>
        <w:rPr>
          <w:b/>
          <w:bCs/>
        </w:rPr>
        <w:t xml:space="preserve">BTC-USD — retorno.</w:t>
      </w:r>
      <w:r>
        <w:t xml:space="preserve"> </w:t>
      </w:r>
      <w:r>
        <w:t xml:space="preserve">Mismo caso que COLCAP: el retorno ya es la serie</w:t>
      </w:r>
      <w:r>
        <w:t xml:space="preserve"> </w:t>
      </w:r>
      <w:r>
        <w:t xml:space="preserve">transformada y diferenciada, estacionaria sin diferenciar de nuevo (d=0).</w:t>
      </w:r>
    </w:p>
    <w:p>
      <w:pPr>
        <w:pStyle w:val="BodyText"/>
      </w:pPr>
      <w:r>
        <w:t xml:space="preserve">Igual que con COLCAP, se grafican ACF y PACF de la serie estacionaria</w:t>
      </w:r>
      <w:r>
        <w:t xml:space="preserve"> </w:t>
      </w:r>
      <w:r>
        <w:t xml:space="preserve">(sirve tanto para el modelo de precio como el de retorno).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8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8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Lectura del gráfico:</w:t>
      </w:r>
      <w:r>
        <w:t xml:space="preserve"> </w:t>
      </w:r>
      <w:r>
        <w:t xml:space="preserve">con la misma banda de ±0.24,</w:t>
      </w:r>
      <w:r>
        <w:t xml:space="preserve"> </w:t>
      </w:r>
      <w:r>
        <w:rPr>
          <w:b/>
          <w:bCs/>
        </w:rPr>
        <w:t xml:space="preserve">ningún rezago</w:t>
      </w:r>
      <w:r>
        <w:rPr>
          <w:b/>
          <w:bCs/>
        </w:rPr>
        <w:t xml:space="preserve"> </w:t>
      </w:r>
      <w:r>
        <w:rPr>
          <w:b/>
          <w:bCs/>
        </w:rPr>
        <w:t xml:space="preserve">de la ACF ni de la PACF se sale de la banda</w:t>
      </w:r>
      <w:r>
        <w:t xml:space="preserve"> </w:t>
      </w:r>
      <w:r>
        <w:t xml:space="preserve">en ningún punto hasta el</w:t>
      </w:r>
      <w:r>
        <w:t xml:space="preserve"> </w:t>
      </w:r>
      <w:r>
        <w:t xml:space="preserve">rezago 12 — a diferencia de COLCAP, ni siquiera hay un candidato</w:t>
      </w:r>
      <w:r>
        <w:t xml:space="preserve"> </w:t>
      </w:r>
      <w:r>
        <w:t xml:space="preserve">“cercano”</w:t>
      </w:r>
      <w:r>
        <w:t xml:space="preserve">. Es la confirmación visual de que el modelo final (sección</w:t>
      </w:r>
      <w:r>
        <w:t xml:space="preserve"> </w:t>
      </w:r>
      <w:r>
        <w:t xml:space="preserve">3) es ruido blanco puro: no hay ningún patrón que identificar.</w:t>
      </w:r>
    </w:p>
    <w:bookmarkEnd w:id="28"/>
    <w:bookmarkStart w:id="33" w:name="estimación"/>
    <w:p>
      <w:pPr>
        <w:pStyle w:val="Heading2"/>
      </w:pPr>
      <w:r>
        <w:t xml:space="preserve">3. Estimación</w:t>
      </w:r>
    </w:p>
    <w:p>
      <w:pPr>
        <w:pStyle w:val="FirstParagraph"/>
      </w:pPr>
      <w:r>
        <w:t xml:space="preserve">Para las 4 series (COLCAP precio, COLCAP retorno, BTC precio, BTC</w:t>
      </w:r>
      <w:r>
        <w:t xml:space="preserve"> </w:t>
      </w:r>
      <w:r>
        <w:t xml:space="preserve">retorno) se usa</w:t>
      </w:r>
      <w:r>
        <w:t xml:space="preserve"> </w:t>
      </w:r>
      <w:r>
        <w:rPr>
          <w:rStyle w:val="VerbatimChar"/>
        </w:rPr>
        <w:t xml:space="preserve">auto.arima()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stepwise=FALSE</w:t>
      </w:r>
      <w:r>
        <w:t xml:space="preserve"> </w:t>
      </w:r>
      <w:r>
        <w:t xml:space="preserve">(explora todas las</w:t>
      </w:r>
      <w:r>
        <w:t xml:space="preserve"> </w:t>
      </w:r>
      <w:r>
        <w:t xml:space="preserve">combinaciones de p y q, no solo un atajo) sobre la serie ya adecuada del</w:t>
      </w:r>
      <w:r>
        <w:t xml:space="preserve"> </w:t>
      </w:r>
      <w:r>
        <w:t xml:space="preserve">punto 2 — para las series de precio, con</w:t>
      </w:r>
      <w:r>
        <w:t xml:space="preserve"> </w:t>
      </w:r>
      <w:r>
        <w:rPr>
          <w:rStyle w:val="VerbatimChar"/>
        </w:rPr>
        <w:t xml:space="preserve">lambda=0</w:t>
      </w:r>
      <w:r>
        <w:t xml:space="preserve"> </w:t>
      </w:r>
      <w:r>
        <w:t xml:space="preserve">para que el</w:t>
      </w:r>
      <w:r>
        <w:t xml:space="preserve"> </w:t>
      </w:r>
      <w:r>
        <w:t xml:space="preserve">pronóstico revierta la transformación logarítmica automáticamente.</w:t>
      </w:r>
    </w:p>
    <w:bookmarkStart w:id="29" w:name="colcap-precio"/>
    <w:p>
      <w:pPr>
        <w:pStyle w:val="Heading3"/>
      </w:pPr>
      <w:r>
        <w:t xml:space="preserve">3.1 COLCAP — precio</w:t>
      </w:r>
    </w:p>
    <w:p>
      <w:pPr>
        <w:pStyle w:val="FirstParagraph"/>
      </w:pPr>
      <w:r>
        <w:rPr>
          <w:b/>
          <w:bCs/>
        </w:rPr>
        <w:t xml:space="preserve">Interpretación de los rezagos.</w:t>
      </w:r>
      <w:r>
        <w:t xml:space="preserve"> </w:t>
      </w:r>
      <w:r>
        <w:t xml:space="preserve">El modelo encontrado es ARIMA(0,1,2):</w:t>
      </w:r>
      <w:r>
        <w:t xml:space="preserve"> </w:t>
      </w:r>
      <w:r>
        <w:t xml:space="preserve">sin parte autorregresiva, una diferenciación, y 2 rezagos de media móvil.</w:t>
      </w:r>
      <w:r>
        <w:t xml:space="preserve"> </w:t>
      </w:r>
      <w:r>
        <w:t xml:space="preserve">Es decir, el retorno mensual de COLCAP en el mes t no depende de sus</w:t>
      </w:r>
      <w:r>
        <w:t xml:space="preserve"> </w:t>
      </w:r>
      <w:r>
        <w:t xml:space="preserve">propios valores pasados (p=0), pero sí del error/sorpresa de los 2 meses</w:t>
      </w:r>
      <w:r>
        <w:t xml:space="preserve"> </w:t>
      </w:r>
      <w:r>
        <w:t xml:space="preserve">anteriores (q=2) — un shock inesperado en el mercado sigue</w:t>
      </w:r>
      <w:r>
        <w:t xml:space="preserve"> </w:t>
      </w:r>
      <w:r>
        <w:t xml:space="preserve">“haciendo eco”</w:t>
      </w:r>
      <w:r>
        <w:t xml:space="preserve"> </w:t>
      </w:r>
      <w:r>
        <w:t xml:space="preserve">hasta 2 meses después de ocurrir. La tabla de significancia (abajo)</w:t>
      </w:r>
      <w:r>
        <w:t xml:space="preserve"> </w:t>
      </w:r>
      <w:r>
        <w:t xml:space="preserve">muestra que</w:t>
      </w:r>
      <w:r>
        <w:t xml:space="preserve"> </w:t>
      </w:r>
      <w:r>
        <w:rPr>
          <w:b/>
          <w:bCs/>
        </w:rPr>
        <w:t xml:space="preserve">ma2 es significativo (p&lt;0.001) pero ma1 no lo es</w:t>
      </w:r>
      <w:r>
        <w:rPr>
          <w:b/>
          <w:bCs/>
        </w:rPr>
        <w:t xml:space="preserve"> </w:t>
      </w:r>
      <w:r>
        <w:rPr>
          <w:b/>
          <w:bCs/>
        </w:rPr>
        <w:t xml:space="preserve">(p=0.177)</w:t>
      </w:r>
      <w:r>
        <w:t xml:space="preserve"> </w:t>
      </w:r>
      <w:r>
        <w:t xml:space="preserve">— el eco del shock de hace 2 meses pesa más que el de hace 1</w:t>
      </w:r>
      <w:r>
        <w:t xml:space="preserve"> </w:t>
      </w:r>
      <w:r>
        <w:t xml:space="preserve">mes.</w:t>
      </w:r>
    </w:p>
    <w:bookmarkEnd w:id="29"/>
    <w:bookmarkStart w:id="30" w:name="colcap-retorno-mensual"/>
    <w:p>
      <w:pPr>
        <w:pStyle w:val="Heading3"/>
      </w:pPr>
      <w:r>
        <w:t xml:space="preserve">3.2 COLCAP — retorno mensual</w:t>
      </w:r>
    </w:p>
    <w:p>
      <w:pPr>
        <w:pStyle w:val="FirstParagraph"/>
      </w:pPr>
      <w:r>
        <w:rPr>
          <w:b/>
          <w:bCs/>
        </w:rPr>
        <w:t xml:space="preserve">Interpretación de los rezagos.</w:t>
      </w:r>
      <w:r>
        <w:t xml:space="preserve"> </w:t>
      </w:r>
      <w:r>
        <w:t xml:space="preserve">Al modelar el retorno directamente</w:t>
      </w:r>
      <w:r>
        <w:t xml:space="preserve"> </w:t>
      </w:r>
      <w:r>
        <w:t xml:space="preserve">(sin pasar por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), el resultado es ARIMA(0,0,2) con media cero —</w:t>
      </w:r>
      <w:r>
        <w:t xml:space="preserve"> </w:t>
      </w:r>
      <w:r>
        <w:t xml:space="preserve">matemáticamente el mismo modelo del punto 3.1, solo que aplicado</w:t>
      </w:r>
      <w:r>
        <w:t xml:space="preserve"> </w:t>
      </w:r>
      <w:r>
        <w:t xml:space="preserve">directamente sobre la serie ya diferenciada en vez de sobre el precio en</w:t>
      </w:r>
      <w:r>
        <w:t xml:space="preserve"> </w:t>
      </w:r>
      <w:r>
        <w:t xml:space="preserve">niveles. Los coeficientes ma1/ma2 y su significancia son prácticamente</w:t>
      </w:r>
      <w:r>
        <w:t xml:space="preserve"> </w:t>
      </w:r>
      <w:r>
        <w:t xml:space="preserve">idénticos.</w:t>
      </w:r>
    </w:p>
    <w:bookmarkEnd w:id="30"/>
    <w:bookmarkStart w:id="31" w:name="btc-usd-precio"/>
    <w:p>
      <w:pPr>
        <w:pStyle w:val="Heading3"/>
      </w:pPr>
      <w:r>
        <w:t xml:space="preserve">3.3 BTC-USD — precio</w:t>
      </w:r>
    </w:p>
    <w:p>
      <w:pPr>
        <w:pStyle w:val="FirstParagraph"/>
      </w:pPr>
      <w:r>
        <w:rPr>
          <w:b/>
          <w:bCs/>
        </w:rPr>
        <w:t xml:space="preserve">Interpretación de los rezagos.</w:t>
      </w:r>
      <w:r>
        <w:t xml:space="preserve"> </w:t>
      </w:r>
      <w:r>
        <w:t xml:space="preserve">El modelo encontrado es ARIMA(0,1,0):</w:t>
      </w:r>
      <w:r>
        <w:t xml:space="preserve"> </w:t>
      </w:r>
      <w:r>
        <w:rPr>
          <w:b/>
          <w:bCs/>
        </w:rPr>
        <w:t xml:space="preserve">sin parte autorregresiva, sin media móvil</w:t>
      </w:r>
      <w:r>
        <w:t xml:space="preserve"> </w:t>
      </w:r>
      <w:r>
        <w:t xml:space="preserve">— solo la diferenciación</w:t>
      </w:r>
      <w:r>
        <w:t xml:space="preserve"> </w:t>
      </w:r>
      <w:r>
        <w:t xml:space="preserve">logarítmica. No hay ningún coeficiente que estimar: es un</w:t>
      </w:r>
      <w:r>
        <w:t xml:space="preserve"> </w:t>
      </w:r>
      <w:r>
        <w:rPr>
          <w:b/>
          <w:bCs/>
        </w:rPr>
        <w:t xml:space="preserve">camino</w:t>
      </w:r>
      <w:r>
        <w:rPr>
          <w:b/>
          <w:bCs/>
        </w:rPr>
        <w:t xml:space="preserve"> </w:t>
      </w:r>
      <w:r>
        <w:rPr>
          <w:b/>
          <w:bCs/>
        </w:rPr>
        <w:t xml:space="preserve">aleatorio (random walk) puro</w:t>
      </w:r>
      <w:r>
        <w:t xml:space="preserve">. En la práctica, esto dice que el mejor</w:t>
      </w:r>
      <w:r>
        <w:t xml:space="preserve"> </w:t>
      </w:r>
      <w:r>
        <w:t xml:space="preserve">predictor del precio de Bitcoin el próximo mes es, literalmente, el</w:t>
      </w:r>
      <w:r>
        <w:t xml:space="preserve"> </w:t>
      </w:r>
      <w:r>
        <w:t xml:space="preserve">precio de este mes — ni su propia historia (AR) ni los shocks recientes</w:t>
      </w:r>
      <w:r>
        <w:t xml:space="preserve"> </w:t>
      </w:r>
      <w:r>
        <w:t xml:space="preserve">(MA) aportan información adicional una vez que se transformó la serie.</w:t>
      </w:r>
    </w:p>
    <w:bookmarkEnd w:id="31"/>
    <w:bookmarkStart w:id="32" w:name="btc-usd-retorno-mensual"/>
    <w:p>
      <w:pPr>
        <w:pStyle w:val="Heading3"/>
      </w:pPr>
      <w:r>
        <w:t xml:space="preserve">3.4 BTC-USD — retorno mensual</w:t>
      </w:r>
    </w:p>
    <w:p>
      <w:pPr>
        <w:pStyle w:val="FirstParagraph"/>
      </w:pPr>
      <w:r>
        <w:rPr>
          <w:b/>
          <w:bCs/>
        </w:rPr>
        <w:t xml:space="preserve">Interpretación de los rezagos.</w:t>
      </w:r>
      <w:r>
        <w:t xml:space="preserve"> </w:t>
      </w:r>
      <w:r>
        <w:t xml:space="preserve">ARIMA(0,0,0) con media cero — el</w:t>
      </w:r>
      <w:r>
        <w:t xml:space="preserve"> </w:t>
      </w:r>
      <w:r>
        <w:t xml:space="preserve">retorno mensual de Bitcoin no tiene ninguna estructura identificable, es</w:t>
      </w:r>
      <w:r>
        <w:t xml:space="preserve"> </w:t>
      </w:r>
      <w:r>
        <w:t xml:space="preserve">equivalente a</w:t>
      </w:r>
      <w:r>
        <w:t xml:space="preserve"> </w:t>
      </w:r>
      <w:r>
        <w:rPr>
          <w:b/>
          <w:bCs/>
        </w:rPr>
        <w:t xml:space="preserve">ruido blanco</w:t>
      </w:r>
      <w:r>
        <w:t xml:space="preserve">. Ningún rezago, propio o de error, ayuda a</w:t>
      </w:r>
      <w:r>
        <w:t xml:space="preserve"> </w:t>
      </w:r>
      <w:r>
        <w:t xml:space="preserve">explicarlo.</w:t>
      </w:r>
    </w:p>
    <w:p>
      <w:pPr>
        <w:pStyle w:val="BodyText"/>
      </w:pPr>
      <w:r>
        <w:rPr>
          <w:b/>
          <w:bCs/>
        </w:rPr>
        <w:t xml:space="preserve">Tabla resumen de significancia de coeficientes: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Coeficiente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p-valor</w:t>
            </w:r>
          </w:p>
        </w:tc>
        <w:tc>
          <w:tcPr/>
          <w:p>
            <w:pPr>
              <w:pStyle w:val="Compact"/>
            </w:pPr>
            <w:r>
              <w:t xml:space="preserve">¿Significativo?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COLCAP precio</w:t>
            </w:r>
          </w:p>
        </w:tc>
        <w:tc>
          <w:tcPr/>
          <w:p>
            <w:pPr>
              <w:pStyle w:val="Compact"/>
            </w:pPr>
            <w:r>
              <w:t xml:space="preserve">ARIMA(0,1,2)</w:t>
            </w:r>
          </w:p>
        </w:tc>
        <w:tc>
          <w:tcPr/>
          <w:p>
            <w:pPr>
              <w:pStyle w:val="Compact"/>
            </w:pPr>
            <w:r>
              <w:t xml:space="preserve">ma1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COLCAP precio</w:t>
            </w:r>
          </w:p>
        </w:tc>
        <w:tc>
          <w:tcPr/>
          <w:p>
            <w:pPr>
              <w:pStyle w:val="Compact"/>
            </w:pPr>
            <w:r>
              <w:t xml:space="preserve">ARIMA(0,1,2)</w:t>
            </w:r>
          </w:p>
        </w:tc>
        <w:tc>
          <w:tcPr/>
          <w:p>
            <w:pPr>
              <w:pStyle w:val="Compact"/>
            </w:pPr>
            <w:r>
              <w:t xml:space="preserve">ma2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COLCAP retorno</w:t>
            </w:r>
          </w:p>
        </w:tc>
        <w:tc>
          <w:tcPr/>
          <w:p>
            <w:pPr>
              <w:pStyle w:val="Compact"/>
            </w:pPr>
            <w:r>
              <w:t xml:space="preserve">ARIMA(0,0,2)</w:t>
            </w:r>
          </w:p>
        </w:tc>
        <w:tc>
          <w:tcPr/>
          <w:p>
            <w:pPr>
              <w:pStyle w:val="Compact"/>
            </w:pPr>
            <w:r>
              <w:t xml:space="preserve">ma1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COLCAP retorno</w:t>
            </w:r>
          </w:p>
        </w:tc>
        <w:tc>
          <w:tcPr/>
          <w:p>
            <w:pPr>
              <w:pStyle w:val="Compact"/>
            </w:pPr>
            <w:r>
              <w:t xml:space="preserve">ARIMA(0,0,2)</w:t>
            </w:r>
          </w:p>
        </w:tc>
        <w:tc>
          <w:tcPr/>
          <w:p>
            <w:pPr>
              <w:pStyle w:val="Compact"/>
            </w:pPr>
            <w:r>
              <w:t xml:space="preserve">ma2</w:t>
            </w:r>
          </w:p>
        </w:tc>
        <w:tc>
          <w:tcPr/>
          <w:p>
            <w:pPr>
              <w:pStyle w:val="Compact"/>
            </w:pPr>
            <w:r>
              <w:t xml:space="preserve">0.534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 precio</w:t>
            </w:r>
          </w:p>
        </w:tc>
        <w:tc>
          <w:tcPr/>
          <w:p>
            <w:pPr>
              <w:pStyle w:val="Compact"/>
            </w:pPr>
            <w:r>
              <w:t xml:space="preserve">ARIMA(0,1,0)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 coeficientes (random walk)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BTC retorno</w:t>
            </w:r>
          </w:p>
        </w:tc>
        <w:tc>
          <w:tcPr/>
          <w:p>
            <w:pPr>
              <w:pStyle w:val="Compact"/>
            </w:pPr>
            <w:r>
              <w:t xml:space="preserve">ARIMA(0,0,0)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 coeficientes (ruido blanco)</w:t>
            </w:r>
          </w:p>
        </w:tc>
      </w:tr>
    </w:tbl>
    <w:bookmarkEnd w:id="32"/>
    <w:bookmarkEnd w:id="33"/>
    <w:bookmarkStart w:id="38" w:name="X32a242f9278b3ac1365ae7eb8103ce427c15473"/>
    <w:p>
      <w:pPr>
        <w:pStyle w:val="Heading2"/>
      </w:pPr>
      <w:r>
        <w:t xml:space="preserve">4. Validación de los supuestos del modelo estimado</w:t>
      </w:r>
    </w:p>
    <w:p>
      <w:pPr>
        <w:pStyle w:val="FirstParagraph"/>
      </w:pPr>
      <w:r>
        <w:t xml:space="preserve">Para cada uno de los 4 modelos se revisan los mismos 4 supuestos sobre</w:t>
      </w:r>
      <w:r>
        <w:t xml:space="preserve"> </w:t>
      </w:r>
      <w:r>
        <w:t xml:space="preserve">los residuales: media 0 (t-test), no autocorrelación (Ljung-Box sobre</w:t>
      </w:r>
      <w:r>
        <w:t xml:space="preserve"> </w:t>
      </w:r>
      <w:r>
        <w:t xml:space="preserve">residuales), varianza constante (Ljung-Box sobre residuales al cuadrado +</w:t>
      </w:r>
      <w:r>
        <w:t xml:space="preserve"> </w:t>
      </w:r>
      <w:r>
        <w:t xml:space="preserve">ARCH-LM) y normalidad (Jarque-Bera).</w:t>
      </w:r>
    </w:p>
    <w:bookmarkStart w:id="34" w:name="colcap-precio-1"/>
    <w:p>
      <w:pPr>
        <w:pStyle w:val="Heading3"/>
      </w:pPr>
      <w:r>
        <w:t xml:space="preserve">4.1 COLCAP — precio</w:t>
      </w:r>
    </w:p>
    <w:p>
      <w:pPr>
        <w:pStyle w:val="FirstParagraph"/>
      </w:pPr>
      <w:r>
        <w:rPr>
          <w:b/>
          <w:bCs/>
        </w:rPr>
        <w:t xml:space="preserve">Análisis:</w:t>
      </w:r>
      <w:r>
        <w:t xml:space="preserve"> </w:t>
      </w:r>
      <w:r>
        <w:t xml:space="preserve">media 0 no se rechaza (p=0.29, cumple). Ljung-Box sobre los</w:t>
      </w:r>
      <w:r>
        <w:t xml:space="preserve"> </w:t>
      </w:r>
      <w:r>
        <w:t xml:space="preserve">residuales no rechaza en ningún rezago hasta 12 (todos p&gt;0.05) — no hay</w:t>
      </w:r>
      <w:r>
        <w:t xml:space="preserve"> </w:t>
      </w:r>
      <w:r>
        <w:t xml:space="preserve">autocorrelación, cumple. Ljung-Box sobre residuales² y ARCH-LM tampoco</w:t>
      </w:r>
      <w:r>
        <w:t xml:space="preserve"> </w:t>
      </w:r>
      <w:r>
        <w:t xml:space="preserve">rechazan en ningún rezago — varianza constante, cumple.</w:t>
      </w:r>
      <w:r>
        <w:t xml:space="preserve"> </w:t>
      </w:r>
      <w:r>
        <w:rPr>
          <w:b/>
          <w:bCs/>
        </w:rPr>
        <w:t xml:space="preserve">Jarque-Bera sí</w:t>
      </w:r>
      <w:r>
        <w:rPr>
          <w:b/>
          <w:bCs/>
        </w:rPr>
        <w:t xml:space="preserve"> </w:t>
      </w:r>
      <w:r>
        <w:rPr>
          <w:b/>
          <w:bCs/>
        </w:rPr>
        <w:t xml:space="preserve">rechaza (p=0.025)</w:t>
      </w:r>
      <w:r>
        <w:t xml:space="preserve"> </w:t>
      </w:r>
      <w:r>
        <w:t xml:space="preserve">— los residuales no son normales. Como el supuesto</w:t>
      </w:r>
      <w:r>
        <w:t xml:space="preserve"> </w:t>
      </w:r>
      <w:r>
        <w:t xml:space="preserve">que falla es normalidad y no varianza constante, no aplica el comentario</w:t>
      </w:r>
      <w:r>
        <w:t xml:space="preserve"> </w:t>
      </w:r>
      <w:r>
        <w:t xml:space="preserve">de la nota del enunciado sobre ARCH/GARCH; simplemente se deja constancia</w:t>
      </w:r>
      <w:r>
        <w:t xml:space="preserve"> </w:t>
      </w:r>
      <w:r>
        <w:t xml:space="preserve">de que este supuesto no se cumple del todo.</w:t>
      </w:r>
    </w:p>
    <w:bookmarkEnd w:id="34"/>
    <w:bookmarkStart w:id="35" w:name="colcap-retorno-mensual-1"/>
    <w:p>
      <w:pPr>
        <w:pStyle w:val="Heading3"/>
      </w:pPr>
      <w:r>
        <w:t xml:space="preserve">4.2 COLCAP — retorno mensual</w:t>
      </w:r>
    </w:p>
    <w:p>
      <w:pPr>
        <w:pStyle w:val="FirstParagraph"/>
      </w:pPr>
      <w:r>
        <w:rPr>
          <w:b/>
          <w:bCs/>
        </w:rPr>
        <w:t xml:space="preserve">Análisis:</w:t>
      </w:r>
      <w:r>
        <w:t xml:space="preserve"> </w:t>
      </w:r>
      <w:r>
        <w:t xml:space="preserve">mismo patrón que 4.1 (es, en la práctica, el mismo</w:t>
      </w:r>
      <w:r>
        <w:t xml:space="preserve"> </w:t>
      </w:r>
      <w:r>
        <w:t xml:space="preserve">modelo): media 0 cumple (p=0.30), no autocorrelación cumple, varianza</w:t>
      </w:r>
      <w:r>
        <w:t xml:space="preserve"> </w:t>
      </w:r>
      <w:r>
        <w:t xml:space="preserve">constante cumple, y normalidad</w:t>
      </w:r>
      <w:r>
        <w:t xml:space="preserve"> </w:t>
      </w:r>
      <w:r>
        <w:rPr>
          <w:b/>
          <w:bCs/>
        </w:rPr>
        <w:t xml:space="preserve">no cumple</w:t>
      </w:r>
      <w:r>
        <w:t xml:space="preserve"> </w:t>
      </w:r>
      <w:r>
        <w:t xml:space="preserve">(p=0.034).</w:t>
      </w:r>
    </w:p>
    <w:bookmarkEnd w:id="35"/>
    <w:bookmarkStart w:id="36" w:name="btc-usd-precio-1"/>
    <w:p>
      <w:pPr>
        <w:pStyle w:val="Heading3"/>
      </w:pPr>
      <w:r>
        <w:t xml:space="preserve">4.3 BTC-USD — precio</w:t>
      </w:r>
    </w:p>
    <w:p>
      <w:pPr>
        <w:pStyle w:val="FirstParagraph"/>
      </w:pPr>
      <w:r>
        <w:rPr>
          <w:b/>
          <w:bCs/>
        </w:rPr>
        <w:t xml:space="preserve">Análisis:</w:t>
      </w:r>
      <w:r>
        <w:t xml:space="preserve"> </w:t>
      </w:r>
      <w:r>
        <w:t xml:space="preserve">los 4 supuestos se cumplen sin ninguna alerta — media 0</w:t>
      </w:r>
      <w:r>
        <w:t xml:space="preserve"> </w:t>
      </w:r>
      <w:r>
        <w:t xml:space="preserve">(p=0.53), no autocorrelación (todos los rezagos p&gt;0.4), varianza</w:t>
      </w:r>
      <w:r>
        <w:t xml:space="preserve"> </w:t>
      </w:r>
      <w:r>
        <w:t xml:space="preserve">constante (Ljung-Box² y ARCH-LM con p&gt;0.25 en todos los rezagos), y</w:t>
      </w:r>
      <w:r>
        <w:t xml:space="preserve"> </w:t>
      </w:r>
      <w:r>
        <w:t xml:space="preserve">normalidad (p=0.52, no se rechaza). Es el modelo mejor comportado de los</w:t>
      </w:r>
      <w:r>
        <w:t xml:space="preserve"> </w:t>
      </w:r>
      <w:r>
        <w:t xml:space="preserve">4, consistente con ser el más simple (random walk puro).</w:t>
      </w:r>
    </w:p>
    <w:bookmarkEnd w:id="36"/>
    <w:bookmarkStart w:id="37" w:name="btc-usd-retorno-mensual-1"/>
    <w:p>
      <w:pPr>
        <w:pStyle w:val="Heading3"/>
      </w:pPr>
      <w:r>
        <w:t xml:space="preserve">4.4 BTC-USD — retorno mensual</w:t>
      </w:r>
    </w:p>
    <w:p>
      <w:pPr>
        <w:pStyle w:val="FirstParagraph"/>
      </w:pPr>
      <w:r>
        <w:rPr>
          <w:b/>
          <w:bCs/>
        </w:rPr>
        <w:t xml:space="preserve">Análisis:</w:t>
      </w:r>
      <w:r>
        <w:t xml:space="preserve"> </w:t>
      </w:r>
      <w:r>
        <w:t xml:space="preserve">igual que 4.3, los 4 supuestos se cumplen limpio (media 0</w:t>
      </w:r>
      <w:r>
        <w:t xml:space="preserve"> </w:t>
      </w:r>
      <w:r>
        <w:t xml:space="preserve">p=0.53, sin autocorrelación, varianza constante, normalidad p=0.56).</w:t>
      </w:r>
    </w:p>
    <w:bookmarkEnd w:id="37"/>
    <w:bookmarkEnd w:id="38"/>
    <w:bookmarkStart w:id="55" w:name="pronósticos"/>
    <w:p>
      <w:pPr>
        <w:pStyle w:val="Heading2"/>
      </w:pPr>
      <w:r>
        <w:t xml:space="preserve">5. Pronósticos</w:t>
      </w:r>
    </w:p>
    <w:p>
      <w:pPr>
        <w:pStyle w:val="FirstParagraph"/>
      </w:pPr>
      <w:r>
        <w:t xml:space="preserve">Se pronostican los 3 meses siguientes (septiembre-noviembre 2026) para</w:t>
      </w:r>
      <w:r>
        <w:t xml:space="preserve"> </w:t>
      </w:r>
      <w:r>
        <w:t xml:space="preserve">cada una de las 4 series, con</w:t>
      </w:r>
      <w:r>
        <w:t xml:space="preserve"> </w:t>
      </w:r>
      <w:r>
        <w:rPr>
          <w:rStyle w:val="VerbatimChar"/>
        </w:rPr>
        <w:t xml:space="preserve">forecast(modelo, h=3)</w:t>
      </w:r>
      <w:r>
        <w:t xml:space="preserve">.</w:t>
      </w:r>
    </w:p>
    <w:bookmarkStart w:id="42" w:name="colcap-precio-2"/>
    <w:p>
      <w:pPr>
        <w:pStyle w:val="Heading3"/>
      </w:pPr>
      <w:r>
        <w:t xml:space="preserve">5.1 COLCAP — precio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1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 del primer valor pronosticado:</w:t>
      </w:r>
      <w:r>
        <w:t xml:space="preserve"> </w:t>
      </w:r>
      <w:r>
        <w:t xml:space="preserve">para septiembre de</w:t>
      </w:r>
      <w:r>
        <w:t xml:space="preserve"> </w:t>
      </w:r>
      <w:r>
        <w:t xml:space="preserve">2026 se espera un COLCAP de</w:t>
      </w:r>
      <w:r>
        <w:t xml:space="preserve"> </w:t>
      </w:r>
      <w:r>
        <w:rPr>
          <w:b/>
          <w:bCs/>
        </w:rPr>
        <w:t xml:space="preserve">2,485.4 puntos</w:t>
      </w:r>
      <w:r>
        <w:t xml:space="preserve"> </w:t>
      </w:r>
      <w:r>
        <w:t xml:space="preserve">(intervalo 95%: entre</w:t>
      </w:r>
      <w:r>
        <w:t xml:space="preserve"> </w:t>
      </w:r>
      <w:r>
        <w:t xml:space="preserve">2,245.6 y 2,750.8) — apenas por debajo del cierre real de agosto 2026</w:t>
      </w:r>
      <w:r>
        <w:t xml:space="preserve"> </w:t>
      </w:r>
      <w:r>
        <w:t xml:space="preserve">(2,425.1), lo que es consistente con una parte MA(2) con coeficiente</w:t>
      </w:r>
      <w:r>
        <w:t xml:space="preserve"> </w:t>
      </w:r>
      <w:r>
        <w:t xml:space="preserve">negativo en el primer rezago. Octubre y noviembre convergen al mismo</w:t>
      </w:r>
      <w:r>
        <w:t xml:space="preserve"> </w:t>
      </w:r>
      <w:r>
        <w:t xml:space="preserve">valor (2,473.5), porque un modelo puramente MA(2) deja de</w:t>
      </w:r>
      <w:r>
        <w:t xml:space="preserve"> </w:t>
      </w:r>
      <w:r>
        <w:t xml:space="preserve">“recordar”</w:t>
      </w:r>
      <w:r>
        <w:t xml:space="preserve"> </w:t>
      </w:r>
      <w:r>
        <w:t xml:space="preserve">información después de 2 períodos.</w:t>
      </w:r>
    </w:p>
    <w:bookmarkEnd w:id="42"/>
    <w:bookmarkStart w:id="46" w:name="colcap-retorno-mensual-2"/>
    <w:p>
      <w:pPr>
        <w:pStyle w:val="Heading3"/>
      </w:pPr>
      <w:r>
        <w:t xml:space="preserve">5.2 COLCAP — retorno mensual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1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 del primer valor pronosticado:</w:t>
      </w:r>
      <w:r>
        <w:t xml:space="preserve"> </w:t>
      </w:r>
      <w:r>
        <w:t xml:space="preserve">para septiembre de</w:t>
      </w:r>
      <w:r>
        <w:t xml:space="preserve"> </w:t>
      </w:r>
      <w:r>
        <w:t xml:space="preserve">2026 se espera un retorno mensual de</w:t>
      </w:r>
      <w:r>
        <w:t xml:space="preserve"> </w:t>
      </w:r>
      <w:r>
        <w:rPr>
          <w:b/>
          <w:bCs/>
        </w:rPr>
        <w:t xml:space="preserve">+2.46%</w:t>
      </w:r>
      <w:r>
        <w:t xml:space="preserve"> </w:t>
      </w:r>
      <w:r>
        <w:t xml:space="preserve">(intervalo 95%: entre</w:t>
      </w:r>
      <w:r>
        <w:t xml:space="preserve"> </w:t>
      </w:r>
      <w:r>
        <w:t xml:space="preserve">-7.7% y +12.6%, un rango amplio típico de un activo volátil). Octubre</w:t>
      </w:r>
      <w:r>
        <w:t xml:space="preserve"> </w:t>
      </w:r>
      <w:r>
        <w:t xml:space="preserve">pronostica -0.48% y noviembre 0.00% (una vez el modelo MA(2) agota su</w:t>
      </w:r>
      <w:r>
        <w:t xml:space="preserve"> </w:t>
      </w:r>
      <w:r>
        <w:t xml:space="preserve">memoria, el pronóstico converge a la media incondicional).</w:t>
      </w:r>
    </w:p>
    <w:bookmarkEnd w:id="46"/>
    <w:bookmarkStart w:id="50" w:name="btc-usd-precio-2"/>
    <w:p>
      <w:pPr>
        <w:pStyle w:val="Heading3"/>
      </w:pPr>
      <w:r>
        <w:t xml:space="preserve">5.3 BTC-USD — precio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1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 del primer valor pronosticado:</w:t>
      </w:r>
      <w:r>
        <w:t xml:space="preserve"> </w:t>
      </w:r>
      <w:r>
        <w:t xml:space="preserve">para septiembre de</w:t>
      </w:r>
      <w:r>
        <w:t xml:space="preserve"> </w:t>
      </w:r>
      <w:r>
        <w:t xml:space="preserve">2026 se espera un precio de</w:t>
      </w:r>
      <w:r>
        <w:t xml:space="preserve"> </w:t>
      </w:r>
      <w:r>
        <w:rPr>
          <w:b/>
          <w:bCs/>
        </w:rPr>
        <w:t xml:space="preserve">USD 78,548.6</w:t>
      </w:r>
      <w:r>
        <w:t xml:space="preserve"> </w:t>
      </w:r>
      <w:r>
        <w:t xml:space="preserve">— exactamente el último</w:t>
      </w:r>
      <w:r>
        <w:t xml:space="preserve"> </w:t>
      </w:r>
      <w:r>
        <w:t xml:space="preserve">precio observado (agosto 2026), porque el modelo es un random walk sin</w:t>
      </w:r>
      <w:r>
        <w:t xml:space="preserve"> </w:t>
      </w:r>
      <w:r>
        <w:t xml:space="preserve">deriva: la mejor predicción de mañana es el valor de hoy. Octubre y</w:t>
      </w:r>
      <w:r>
        <w:t xml:space="preserve"> </w:t>
      </w:r>
      <w:r>
        <w:t xml:space="preserve">noviembre repiten el mismo punto central, con</w:t>
      </w:r>
      <w:r>
        <w:t xml:space="preserve"> </w:t>
      </w:r>
      <w:r>
        <w:rPr>
          <w:b/>
          <w:bCs/>
        </w:rPr>
        <w:t xml:space="preserve">intervalos de confianza</w:t>
      </w:r>
      <w:r>
        <w:rPr>
          <w:b/>
          <w:bCs/>
        </w:rPr>
        <w:t xml:space="preserve"> </w:t>
      </w:r>
      <w:r>
        <w:rPr>
          <w:b/>
          <w:bCs/>
        </w:rPr>
        <w:t xml:space="preserve">que se ensanchan mes a mes</w:t>
      </w:r>
      <w:r>
        <w:t xml:space="preserve"> </w:t>
      </w:r>
      <w:r>
        <w:t xml:space="preserve">(de ±30,627 a 80% en septiembre hasta</w:t>
      </w:r>
      <w:r>
        <w:t xml:space="preserve"> </w:t>
      </w:r>
      <w:r>
        <w:t xml:space="preserve">±59,904 en noviembre) — cada mes adicional acumula más incertidumbre sin</w:t>
      </w:r>
      <w:r>
        <w:t xml:space="preserve"> </w:t>
      </w:r>
      <w:r>
        <w:t xml:space="preserve">que el modelo tenga ninguna señal direccional que la reduzca.</w:t>
      </w:r>
    </w:p>
    <w:bookmarkEnd w:id="50"/>
    <w:bookmarkStart w:id="54" w:name="btc-usd-retorno-mensual-2"/>
    <w:p>
      <w:pPr>
        <w:pStyle w:val="Heading3"/>
      </w:pPr>
      <w:r>
        <w:t xml:space="preserve">5.4 BTC-USD — retorno mensual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Taller series de tiempo_files/Taller series de tiempo_files/figure-docx/unnamed-chunk-20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Interpretación del primer valor pronosticado:</w:t>
      </w:r>
      <w:r>
        <w:t xml:space="preserve"> </w:t>
      </w:r>
      <w:r>
        <w:t xml:space="preserve">para septiembre de</w:t>
      </w:r>
      <w:r>
        <w:t xml:space="preserve"> </w:t>
      </w:r>
      <w:r>
        <w:t xml:space="preserve">2026 se espera un retorno de</w:t>
      </w:r>
      <w:r>
        <w:t xml:space="preserve"> </w:t>
      </w:r>
      <w:r>
        <w:rPr>
          <w:b/>
          <w:bCs/>
        </w:rPr>
        <w:t xml:space="preserve">0.00%</w:t>
      </w:r>
      <w:r>
        <w:t xml:space="preserve"> </w:t>
      </w:r>
      <w:r>
        <w:t xml:space="preserve">(intervalo 95%: entre -32.9% y</w:t>
      </w:r>
      <w:r>
        <w:t xml:space="preserve"> </w:t>
      </w:r>
      <w:r>
        <w:t xml:space="preserve">+32.9%) — el modelo de ruido blanco no tiene ninguna base para predecir</w:t>
      </w:r>
      <w:r>
        <w:t xml:space="preserve"> </w:t>
      </w:r>
      <w:r>
        <w:t xml:space="preserve">dirección, así que el pronóstico puntual es simplemente</w:t>
      </w:r>
      <w:r>
        <w:t xml:space="preserve"> </w:t>
      </w:r>
      <w:r>
        <w:t xml:space="preserve">“sin cambio</w:t>
      </w:r>
      <w:r>
        <w:t xml:space="preserve"> </w:t>
      </w:r>
      <w:r>
        <w:t xml:space="preserve">esperado”</w:t>
      </w:r>
      <w:r>
        <w:t xml:space="preserve">, con toda la incertidumbre reflejada en un intervalo muy</w:t>
      </w:r>
      <w:r>
        <w:t xml:space="preserve"> </w:t>
      </w:r>
      <w:r>
        <w:t xml:space="preserve">amplio.</w:t>
      </w:r>
    </w:p>
    <w:p>
      <w:pPr>
        <w:pStyle w:val="BodyText"/>
      </w:pPr>
      <w:r>
        <w:rPr>
          <w:b/>
          <w:bCs/>
        </w:rPr>
        <w:t xml:space="preserve">Conclusión general.</w:t>
      </w:r>
      <w:r>
        <w:t xml:space="preserve"> </w:t>
      </w:r>
      <w:r>
        <w:t xml:space="preserve">COLCAP mostró algo de estructura explotable (un</w:t>
      </w:r>
      <w:r>
        <w:t xml:space="preserve"> </w:t>
      </w:r>
      <w:r>
        <w:t xml:space="preserve">MA(2) con el segundo rezago significativo), mientras que Bitcoin no</w:t>
      </w:r>
      <w:r>
        <w:t xml:space="preserve"> </w:t>
      </w:r>
      <w:r>
        <w:t xml:space="preserve">mostró ninguna — ni en precio (random walk puro) ni en retorno (ruido</w:t>
      </w:r>
      <w:r>
        <w:t xml:space="preserve"> </w:t>
      </w:r>
      <w:r>
        <w:t xml:space="preserve">blanco). Es un resultado consistente con la hipótesis de mercados</w:t>
      </w:r>
      <w:r>
        <w:t xml:space="preserve"> </w:t>
      </w:r>
      <w:r>
        <w:t xml:space="preserve">eficientes vista en clase: cuanto más líquido y global es un activo, más</w:t>
      </w:r>
      <w:r>
        <w:t xml:space="preserve"> </w:t>
      </w:r>
      <w:r>
        <w:t xml:space="preserve">rápido se incorpora la información nueva al precio, dejando menos</w:t>
      </w:r>
      <w:r>
        <w:t xml:space="preserve"> </w:t>
      </w:r>
      <w:r>
        <w:t xml:space="preserve">estructura predecible en su propia historia.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ARIMA aplicado a COLCAP y Bitcoin: ¿hay estructura que explotar?</dc:title>
  <dc:creator>Andrés Londoño</dc:creator>
  <cp:keywords/>
  <dcterms:created xsi:type="dcterms:W3CDTF">2026-09-07T23:28:41Z</dcterms:created>
  <dcterms:modified xsi:type="dcterms:W3CDTF">2026-09-07T23:28:41Z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