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2" w:name="Xe814b2f3e00135febacb6b560bf915e386dab6b"/>
    <w:p>
      <w:pPr>
        <w:pStyle w:val="Heading1"/>
      </w:pPr>
      <w:r>
        <w:t xml:space="preserve">Scenario — PrecisionFurniture Manufacturing Corp. — Storyline</w:t>
      </w:r>
    </w:p>
    <w:bookmarkStart w:id="13" w:name="summary"/>
    <w:p>
      <w:pPr>
        <w:pStyle w:val="Heading2"/>
      </w:pPr>
      <w:r>
        <w:t xml:space="preserve">Summary</w:t>
      </w:r>
    </w:p>
    <w:bookmarkStart w:id="9" w:name="company-profile"/>
    <w:p>
      <w:pPr>
        <w:pStyle w:val="Heading3"/>
      </w:pPr>
      <w:r>
        <w:t xml:space="preserve">Company profile</w:t>
      </w:r>
    </w:p>
    <w:p>
      <w:pPr>
        <w:pStyle w:val="FirstParagraph"/>
      </w:pPr>
      <w:r>
        <w:t xml:space="preserve">PrecisionFurniture Manufacturing Corp. is a B2B furniture manufacturer operating three production facilities across the United States (Ohio, North Carolina, and Texas). The company employs 450 people and generates approximately $180M in annual revenue, serving corporate clients including major office furniture retailers, hospitality chains, and commercial real estate developers. The manufacturing process is 85% automated across 450 pieces of critical production equipment including CNC routers, edge banders, pneumatic presses, and automated finishing lines.</w:t>
      </w:r>
    </w:p>
    <w:bookmarkEnd w:id="9"/>
    <w:bookmarkStart w:id="10" w:name="manufacturing-operations-context"/>
    <w:p>
      <w:pPr>
        <w:pStyle w:val="Heading3"/>
      </w:pPr>
      <w:r>
        <w:t xml:space="preserve">Manufacturing operations context</w:t>
      </w:r>
    </w:p>
    <w:p>
      <w:pPr>
        <w:pStyle w:val="FirstParagraph"/>
      </w:pPr>
      <w:r>
        <w:t xml:space="preserve">11 production lines across three sites operate two shifts each (16 hours/day, 5 days/week), totaling 11,520 hours per quarter across all three sites. The company’s maintenance approach has historically been fixed-interval preventive maintenance based on manufacturer recommendations (typically every 500 operating hours), with reactive repairs when equipment fails unexpectedly.</w:t>
      </w:r>
    </w:p>
    <w:bookmarkEnd w:id="10"/>
    <w:bookmarkStart w:id="11" w:name="manufacturing-process-overview"/>
    <w:p>
      <w:pPr>
        <w:pStyle w:val="Heading3"/>
      </w:pPr>
      <w:r>
        <w:t xml:space="preserve">Manufacturing process overview</w:t>
      </w:r>
    </w:p>
    <w:p>
      <w:pPr>
        <w:pStyle w:val="FirstParagraph"/>
      </w:pPr>
      <w:r>
        <w:t xml:space="preserve">PrecisionFurniture’s production process follows a structured, sequential flow that transforms raw materials and pre-manufactured components into finished B2B furniture products — office chairs, workstations, conference tables, hospitality seating, and storage solutions — ready for customer delivery.</w:t>
      </w:r>
    </w:p>
    <w:p>
      <w:pPr>
        <w:pStyle w:val="BodyText"/>
      </w:pPr>
      <w:r>
        <w:rPr>
          <w:b/>
          <w:bCs/>
        </w:rPr>
        <w:t xml:space="preserve">Stage 1 — Material intake and preparation.</w:t>
      </w:r>
      <w:r>
        <w:t xml:space="preserve"> </w:t>
      </w:r>
      <w:r>
        <w:t xml:space="preserve">Production begins with the receipt of raw materials and pre-manufactured parts at each facility’s receiving dock. Primary inputs include engineered wood panels (MDF, plywood, and particleboard), solid hardwood stock, metal hardware components, fabric and foam upholstery materials, and pre-finished surface laminates sourced from approved vendors. Incoming materials are inspected against quality specifications, staged in facility warehouses, and allocated to production runs based on active order schedules managed through the ERP system.</w:t>
      </w:r>
    </w:p>
    <w:p>
      <w:pPr>
        <w:pStyle w:val="BodyText"/>
      </w:pPr>
      <w:r>
        <w:rPr>
          <w:b/>
          <w:bCs/>
        </w:rPr>
        <w:t xml:space="preserve">Stage 2 — Cutting and shaping.</w:t>
      </w:r>
      <w:r>
        <w:t xml:space="preserve"> </w:t>
      </w:r>
      <w:r>
        <w:t xml:space="preserve">Panel and solid wood stock move first to CNC (Computer Numerical Control) routers, which execute precision cuts, profile routing, and drilling based on CAD-driven programs loaded from the product design library. CNC routers are the highest-throughput machines in each facility and serve as critical upstream dependencies for the rest of the production sequence — a CNC failure holds up all downstream work for the affected product lines. Metal subcomponents are cut and formed in parallel using press brakes and stamping equipment.</w:t>
      </w:r>
    </w:p>
    <w:p>
      <w:pPr>
        <w:pStyle w:val="BodyText"/>
      </w:pPr>
      <w:r>
        <w:rPr>
          <w:b/>
          <w:bCs/>
        </w:rPr>
        <w:t xml:space="preserve">Stage 3 — Edge treatment.</w:t>
      </w:r>
      <w:r>
        <w:t xml:space="preserve"> </w:t>
      </w:r>
      <w:r>
        <w:t xml:space="preserve">Cut panels proceed to edge banders, which apply PVC or veneer edge tape to all exposed panel edges, sealing them against moisture, wear, and aesthetic inconsistency. Edge banding is largely automated and operates at high cycle rates, processing panels continuously as they are fed from the cutting stage. Edge quality is critical for product durability and appearance, and edge bander calibration is sensitive to humidity fluctuations in the production environment.</w:t>
      </w:r>
    </w:p>
    <w:p>
      <w:pPr>
        <w:pStyle w:val="BodyText"/>
      </w:pPr>
      <w:r>
        <w:rPr>
          <w:b/>
          <w:bCs/>
        </w:rPr>
        <w:t xml:space="preserve">Stage 4 — Sub-assembly and pressing.</w:t>
      </w:r>
      <w:r>
        <w:t xml:space="preserve"> </w:t>
      </w:r>
      <w:r>
        <w:t xml:space="preserve">Pre-cut and edge-treated components move to sub-assembly stations where adhesives are applied and components are positioned for bonding. Pneumatic presses apply controlled pressure to laminated panels, case goods frames, and upholstered seat assemblies, ensuring structural integrity and surface adhesion. Press cycle times vary by product type (typically 8 to 22 minutes), and failures during pressing — which frequently involve hydraulic or pneumatic system components — can damage in-process assemblies, generating both downtime and material waste.</w:t>
      </w:r>
    </w:p>
    <w:p>
      <w:pPr>
        <w:pStyle w:val="BodyText"/>
      </w:pPr>
      <w:r>
        <w:rPr>
          <w:b/>
          <w:bCs/>
        </w:rPr>
        <w:t xml:space="preserve">Stage 5 — Finishing.</w:t>
      </w:r>
      <w:r>
        <w:t xml:space="preserve"> </w:t>
      </w:r>
      <w:r>
        <w:t xml:space="preserve">Assembled components proceed to automated finishing lines, which apply stain, paint, or clear coat in controlled spray environments with integrated drying and curing stages. Finishing line throughput governs the maximum daily output of each facility, as curing times cannot be compressed without compromising product quality. Surface defects introduced at this stage require rework or scrap, making finishing line reliability a direct driver of both output volume and unit cost.</w:t>
      </w:r>
    </w:p>
    <w:p>
      <w:pPr>
        <w:pStyle w:val="BodyText"/>
      </w:pPr>
      <w:r>
        <w:rPr>
          <w:b/>
          <w:bCs/>
        </w:rPr>
        <w:t xml:space="preserve">Stage 6 — Final assembly and quality inspection.</w:t>
      </w:r>
      <w:r>
        <w:t xml:space="preserve"> </w:t>
      </w:r>
      <w:r>
        <w:t xml:space="preserve">Finished components are brought together at final assembly stations where hardware is installed, upholstery is attached, and product-level assembly is completed. Each unit passes a quality inspection checkpoint before being approved for packaging. Units that fail inspection re-enter the process at the appropriate corrective stage, adding cycle time and consuming maintenance and labor resources.</w:t>
      </w:r>
    </w:p>
    <w:p>
      <w:pPr>
        <w:pStyle w:val="BodyText"/>
      </w:pPr>
      <w:r>
        <w:rPr>
          <w:b/>
          <w:bCs/>
        </w:rPr>
        <w:t xml:space="preserve">Stage 7 — Packaging and outbound logistics.</w:t>
      </w:r>
      <w:r>
        <w:t xml:space="preserve"> </w:t>
      </w:r>
      <w:r>
        <w:t xml:space="preserve">Approved units are packaged to customer and shipping specifications — typically flat-pack for large-volume B2B orders — and staged in finished goods inventory. Outbound shipments are coordinated with third-party logistics partners and scheduled to meet customer delivery commitments recorded in the order management system.</w:t>
      </w:r>
    </w:p>
    <w:p>
      <w:pPr>
        <w:pStyle w:val="BodyText"/>
      </w:pPr>
      <w:r>
        <w:rPr>
          <w:b/>
          <w:bCs/>
        </w:rPr>
        <w:t xml:space="preserve">Why equipment reliability is central to this process.</w:t>
      </w:r>
      <w:r>
        <w:t xml:space="preserve"> </w:t>
      </w:r>
      <w:r>
        <w:t xml:space="preserve">The manufacturing sequence is tightly coupled — each stage feeds the next, and output from one machine is the input to another. An unplanned failure at any stage, particularly in high-utilization upstream equipment such as CNC routers or pneumatic presses, does not affect only the failed machine: it disrupts the entire downstream production queue, stalls in-process assemblies, and creates scheduling cascades that propagate into delivery commitments.</w:t>
      </w:r>
    </w:p>
    <w:bookmarkEnd w:id="11"/>
    <w:bookmarkStart w:id="12" w:name="proposed-ai-initiative"/>
    <w:p>
      <w:pPr>
        <w:pStyle w:val="Heading3"/>
      </w:pPr>
      <w:r>
        <w:t xml:space="preserve">Proposed AI initiative</w:t>
      </w:r>
    </w:p>
    <w:p>
      <w:pPr>
        <w:pStyle w:val="FirstParagraph"/>
      </w:pPr>
      <w:r>
        <w:t xml:space="preserve">PrecisionFurniture’s Chief Operating Officer, Maria Delgado, has put forward a proposal to implement an AI-driven predictive maintenance program across the company’s three production facilities. The initiative would apply machine learning models to continuous sensor data from production equipment — replacing the current fixed-interval maintenance schedule with a dynamic, condition-based approach that anticipates failures before they occur.</w:t>
      </w:r>
    </w:p>
    <w:p>
      <w:pPr>
        <w:pStyle w:val="BodyText"/>
      </w:pPr>
      <w:r>
        <w:t xml:space="preserve">The expected outcomes are threefold: a meaningful reduction in unplanned equipment downtime, a more efficient use of maintenance resources by servicing equipment only when conditions indicate it is needed, and — as a direct consequence — improved on-time delivery performance for customers. Maria has framed this as an operational initiative with a clear commercial impact, and she is building the internal business case to bring it to the executive team for investment approval.</w:t>
      </w:r>
    </w:p>
    <w:bookmarkEnd w:id="12"/>
    <w:bookmarkEnd w:id="13"/>
    <w:bookmarkStart w:id="20" w:name="executive-profiles"/>
    <w:p>
      <w:pPr>
        <w:pStyle w:val="Heading2"/>
      </w:pPr>
      <w:r>
        <w:t xml:space="preserve">Executive profiles</w:t>
      </w:r>
    </w:p>
    <w:p>
      <w:pPr>
        <w:pStyle w:val="FirstParagraph"/>
      </w:pPr>
      <w:r>
        <w:t xml:space="preserve">PrecisionFurniture’s leadership team reflects the company’s dual identity as a traditional manufacturer navigating an increasingly technology-driven competitive environment. The executive team is lean and operationally focused, with growing recognition that data and automation are becoming as central to the business as craftsmanship and supply chain efficiency.</w:t>
      </w:r>
    </w:p>
    <w:bookmarkStart w:id="14" w:name="X001b5ce6d0d37a98b3d2c9b1c20445e748a9cd7"/>
    <w:p>
      <w:pPr>
        <w:pStyle w:val="Heading3"/>
      </w:pPr>
      <w:r>
        <w:t xml:space="preserve">Robert</w:t>
      </w:r>
      <w:r>
        <w:t xml:space="preserve"> </w:t>
      </w:r>
      <w:r>
        <w:t xml:space="preserve">“Bob”</w:t>
      </w:r>
      <w:r>
        <w:t xml:space="preserve"> </w:t>
      </w:r>
      <w:r>
        <w:t xml:space="preserve">Hartman — Chief Executive Officer (CEO)</w:t>
      </w:r>
    </w:p>
    <w:p>
      <w:pPr>
        <w:pStyle w:val="FirstParagraph"/>
      </w:pPr>
      <w:r>
        <w:t xml:space="preserve">Bob Hartman joined PrecisionFurniture in 2018 after 20 years in B2B manufacturing, including senior roles at two industrial equipment companies. He holds an MBA from Indiana University and a bachelor’s degree in industrial engineering. Bob is widely respected for his ability to translate operational complexity into clear strategic direction, and his tenure has coincided with a 31% revenue increase — from $137M to $180M.</w:t>
      </w:r>
    </w:p>
    <w:p>
      <w:pPr>
        <w:pStyle w:val="BodyText"/>
      </w:pPr>
      <w:r>
        <w:rPr>
          <w:b/>
          <w:bCs/>
        </w:rPr>
        <w:t xml:space="preserve">Responsibilities.</w:t>
      </w:r>
      <w:r>
        <w:t xml:space="preserve"> </w:t>
      </w:r>
      <w:r>
        <w:t xml:space="preserve">Bob sets the company’s long-term strategy, manages relationships with the board and major investors, leads the executive team, and serves as the primary relationship owner for PrecisionFurniture’s largest accounts. He is deeply involved in capital allocation decisions and has final authority over investments exceeding $500K.</w:t>
      </w:r>
    </w:p>
    <w:p>
      <w:pPr>
        <w:pStyle w:val="BodyText"/>
      </w:pPr>
      <w:r>
        <w:rPr>
          <w:b/>
          <w:bCs/>
        </w:rPr>
        <w:t xml:space="preserve">Focus for the business.</w:t>
      </w:r>
      <w:r>
        <w:t xml:space="preserve"> </w:t>
      </w:r>
      <w:r>
        <w:t xml:space="preserve">Bob’s current strategic priorities center on protecting and expanding PrecisionFurniture’s competitive position as larger automated manufacturers begin to compete for the mid-market B2B segment. He is increasingly focused on operational reliability as a commercial differentiator — recognizing that delivery consistency is the primary reason customers renew contracts. He is supportive of technology investment when a clear financial case can be made but is cautious about initiatives that carry implementation risk without proven ROI.</w:t>
      </w:r>
    </w:p>
    <w:p>
      <w:pPr>
        <w:pStyle w:val="BodyText"/>
      </w:pPr>
      <w:r>
        <w:rPr>
          <w:b/>
          <w:bCs/>
        </w:rPr>
        <w:t xml:space="preserve">Stake in the AI initiative.</w:t>
      </w:r>
      <w:r>
        <w:t xml:space="preserve"> </w:t>
      </w:r>
      <w:r>
        <w:t xml:space="preserve">Bob has approved a preliminary exploration of the predictive maintenance initiative. He wants to see a credible financial case before committing capital, with specific attention to payback period and downtime reduction targets. His threshold question is simple:</w:t>
      </w:r>
      <w:r>
        <w:t xml:space="preserve"> </w:t>
      </w:r>
      <w:r>
        <w:rPr>
          <w:i/>
          <w:iCs/>
        </w:rPr>
        <w:t xml:space="preserve">“Will this make us more reliable for our customers, and does the return justify the risk?”</w:t>
      </w:r>
    </w:p>
    <w:bookmarkEnd w:id="14"/>
    <w:bookmarkStart w:id="15" w:name="Xed44d4c2dc9566e2a172c97390f8af0d7ab3950"/>
    <w:p>
      <w:pPr>
        <w:pStyle w:val="Heading3"/>
      </w:pPr>
      <w:r>
        <w:t xml:space="preserve">Maria Delgado — Chief Operating Officer (COO)</w:t>
      </w:r>
    </w:p>
    <w:p>
      <w:pPr>
        <w:pStyle w:val="FirstParagraph"/>
      </w:pPr>
      <w:r>
        <w:t xml:space="preserve">Maria Delgado joined PrecisionFurniture in 2020 following 15 years in manufacturing operations, most recently as VP of Operations at a mid-size aerospace components manufacturer. She holds a degree in mechanical engineering from Purdue University and a Lean Six Sigma Black Belt certification. Maria is the driving force behind the predictive maintenance initiative, and the executive most closely engaged with its development.</w:t>
      </w:r>
    </w:p>
    <w:p>
      <w:pPr>
        <w:pStyle w:val="BodyText"/>
      </w:pPr>
      <w:r>
        <w:rPr>
          <w:b/>
          <w:bCs/>
        </w:rPr>
        <w:t xml:space="preserve">Responsibilities.</w:t>
      </w:r>
      <w:r>
        <w:t xml:space="preserve"> </w:t>
      </w:r>
      <w:r>
        <w:t xml:space="preserve">Maria oversees all three production facilities, the maintenance organization, quality assurance, supply chain, and logistics. She manages 310 of PrecisionFurniture’s 450 employees and is accountable for production output, unit costs, equipment uptime, and on-time delivery performance.</w:t>
      </w:r>
    </w:p>
    <w:p>
      <w:pPr>
        <w:pStyle w:val="BodyText"/>
      </w:pPr>
      <w:r>
        <w:rPr>
          <w:b/>
          <w:bCs/>
        </w:rPr>
        <w:t xml:space="preserve">Focus for the business.</w:t>
      </w:r>
      <w:r>
        <w:t xml:space="preserve"> </w:t>
      </w:r>
      <w:r>
        <w:t xml:space="preserve">Maria’s core objective is to break the cycle of reactive maintenance that she believes is the single largest controllable drag on performance. She has observed that the current fixed-interval maintenance model was designed for a lower-volume, less-automated operation and that it no longer fits the demands placed on equipment. She is building the internal business case for condition-based maintenance and views the AI-driven predictive maintenance program as the highest-priority operations investment for 2026.</w:t>
      </w:r>
    </w:p>
    <w:p>
      <w:pPr>
        <w:pStyle w:val="BodyText"/>
      </w:pPr>
      <w:r>
        <w:rPr>
          <w:b/>
          <w:bCs/>
        </w:rPr>
        <w:t xml:space="preserve">Stake in the AI initiative.</w:t>
      </w:r>
      <w:r>
        <w:t xml:space="preserve"> </w:t>
      </w:r>
      <w:r>
        <w:t xml:space="preserve">Maria is the primary internal sponsor of the initiative. She has direct visibility into the operational cost of unplanned failures — overtime labor, expedited parts, disrupted production schedules — and is the most data-literate executive on the team regarding maintenance metrics. She is personally committed to reducing the unplanned downtime rate from 2.8% toward the industry benchmark of 1.5% and sees the OTD (On-time delivery) rate decline as a reputational risk the company cannot afford.</w:t>
      </w:r>
    </w:p>
    <w:bookmarkEnd w:id="15"/>
    <w:bookmarkStart w:id="16" w:name="david-park-chief-financial-officer-cfo"/>
    <w:p>
      <w:pPr>
        <w:pStyle w:val="Heading3"/>
      </w:pPr>
      <w:r>
        <w:t xml:space="preserve">David Park — Chief Financial Officer (CFO)</w:t>
      </w:r>
    </w:p>
    <w:p>
      <w:pPr>
        <w:pStyle w:val="FirstParagraph"/>
      </w:pPr>
      <w:r>
        <w:t xml:space="preserve">David Park has served as PrecisionFurniture’s CFO since 2016, making him the longest-tenured member of the executive team. He came up through public accounting before transitioning to industry finance roles. He holds a CPA designation and a degree in accounting from Ohio State University. David is precise, data-driven, and deeply skeptical of technology investments that cannot be tied to measurable financial outcomes.</w:t>
      </w:r>
    </w:p>
    <w:p>
      <w:pPr>
        <w:pStyle w:val="BodyText"/>
      </w:pPr>
      <w:r>
        <w:rPr>
          <w:b/>
          <w:bCs/>
        </w:rPr>
        <w:t xml:space="preserve">Responsibilities.</w:t>
      </w:r>
      <w:r>
        <w:t xml:space="preserve"> </w:t>
      </w:r>
      <w:r>
        <w:t xml:space="preserve">David oversees all financial planning and analysis, accounting, treasury, tax, and investor relations. He manages capital allocation processes, approves major vendor contracts, and leads the company’s annual budgeting and forecasting cycles. He is also responsible for the company’s banking relationships and monitors working capital closely given the seasonal nature of large hospitality contracts.</w:t>
      </w:r>
    </w:p>
    <w:p>
      <w:pPr>
        <w:pStyle w:val="BodyText"/>
      </w:pPr>
      <w:r>
        <w:rPr>
          <w:b/>
          <w:bCs/>
        </w:rPr>
        <w:t xml:space="preserve">Focus for the business.</w:t>
      </w:r>
      <w:r>
        <w:t xml:space="preserve"> </w:t>
      </w:r>
      <w:r>
        <w:t xml:space="preserve">David’s primary concern is margin integrity. He has watched maintenance costs grow from $10.85 to $12.00 per unit over two years while competitive pressure limits the ability to pass costs through to customers. He is also focused on the financial exposure created by late delivery penalties, which he estimates cost between $400K and $600K annually across the customer portfolio. David has been skeptical of previous technology proposals but is open to the predictive maintenance initiative if the financial model is sound.</w:t>
      </w:r>
    </w:p>
    <w:p>
      <w:pPr>
        <w:pStyle w:val="BodyText"/>
      </w:pPr>
      <w:r>
        <w:rPr>
          <w:b/>
          <w:bCs/>
        </w:rPr>
        <w:t xml:space="preserve">Stake in the AI initiative.</w:t>
      </w:r>
      <w:r>
        <w:t xml:space="preserve"> </w:t>
      </w:r>
      <w:r>
        <w:t xml:space="preserve">David will scrutinize the business value model closely. He wants to see a conservative case, not an optimistic one, and will focus on the reliability of the improvement assumptions. He is particularly interested in the emergency repair cost reduction case and will ask whether the $2.88M annual emergency repair line can be materially reduced. He will also evaluate whether implementation cost estimates are complete and whether the financial projections account for a ramp-up period before full benefits are realized.</w:t>
      </w:r>
    </w:p>
    <w:bookmarkEnd w:id="16"/>
    <w:bookmarkStart w:id="17" w:name="X8cc7db1e8de87739fe84b169da7cf986c6cd0f4"/>
    <w:p>
      <w:pPr>
        <w:pStyle w:val="Heading3"/>
      </w:pPr>
      <w:r>
        <w:t xml:space="preserve">Jennifer Kwon — Chief Information Officer (CIO)</w:t>
      </w:r>
    </w:p>
    <w:p>
      <w:pPr>
        <w:pStyle w:val="FirstParagraph"/>
      </w:pPr>
      <w:r>
        <w:t xml:space="preserve">Jennifer Kwon joined PrecisionFurniture in 2022 from a regional manufacturing technology consultancy where she led digital transformation engagements for mid-market industrial clients. She holds a degree in information systems from the University of Michigan and is a certified AWS Cloud Practitioner. Jennifer is the executive responsible for ensuring that the company’s technology infrastructure can support the predictive maintenance initiative.</w:t>
      </w:r>
    </w:p>
    <w:p>
      <w:pPr>
        <w:pStyle w:val="BodyText"/>
      </w:pPr>
      <w:r>
        <w:rPr>
          <w:b/>
          <w:bCs/>
        </w:rPr>
        <w:t xml:space="preserve">Responsibilities.</w:t>
      </w:r>
      <w:r>
        <w:t xml:space="preserve"> </w:t>
      </w:r>
      <w:r>
        <w:t xml:space="preserve">Jennifer oversees all enterprise technology systems including the ERP platform (SAP Business One), the maintenance management system (CMMS), manufacturing execution systems (MES), and the company’s network and cloud infrastructure. She manages a team of 12 technology professionals and owns all vendor relationships with technology providers. She is also responsible for data governance, cybersecurity, and IT compliance.</w:t>
      </w:r>
    </w:p>
    <w:p>
      <w:pPr>
        <w:pStyle w:val="BodyText"/>
      </w:pPr>
      <w:r>
        <w:rPr>
          <w:b/>
          <w:bCs/>
        </w:rPr>
        <w:t xml:space="preserve">Focus for the business.</w:t>
      </w:r>
      <w:r>
        <w:t xml:space="preserve"> </w:t>
      </w:r>
      <w:r>
        <w:t xml:space="preserve">Jennifer’s strategic agenda centers on consolidating the company’s fragmented data landscape. Each facility currently operates with slightly different data practices, and the maintenance management system lacks standardized data entry protocols, which complicates cross-facility analytics. She is building toward a unified operational data platform that would provide real-time visibility across all three sites. The predictive maintenance initiative aligns directly with this agenda.</w:t>
      </w:r>
    </w:p>
    <w:p>
      <w:pPr>
        <w:pStyle w:val="BodyText"/>
      </w:pPr>
      <w:r>
        <w:rPr>
          <w:b/>
          <w:bCs/>
        </w:rPr>
        <w:t xml:space="preserve">Stake in the AI initiative.</w:t>
      </w:r>
      <w:r>
        <w:t xml:space="preserve"> </w:t>
      </w:r>
      <w:r>
        <w:t xml:space="preserve">Jennifer is a pragmatic supporter of the initiative. She has already assessed the sensor data infrastructure across facilities and identified that the Ohio and Texas sites have reasonably complete IoT sensor coverage, while North Carolina requires supplemental sensor deployment on approximately 30% of equipment. She will play a central role in technical architecture decisions and will need to ensure integration between the predictive maintenance platform and the existing CMMS and MES systems.</w:t>
      </w:r>
    </w:p>
    <w:bookmarkEnd w:id="17"/>
    <w:bookmarkStart w:id="18" w:name="Xedd9408b0bd6d0e144432f6cfdaca8c62fb9d8f"/>
    <w:p>
      <w:pPr>
        <w:pStyle w:val="Heading3"/>
      </w:pPr>
      <w:r>
        <w:t xml:space="preserve">Carlos Reyes — Chief Technology Officer (CTO)</w:t>
      </w:r>
    </w:p>
    <w:p>
      <w:pPr>
        <w:pStyle w:val="FirstParagraph"/>
      </w:pPr>
      <w:r>
        <w:t xml:space="preserve">Carlos Reyes joined PrecisionFurniture in 2023, becoming the company’s first dedicated CTO — a hire that signaled the board’s intent to compete on manufacturing technology as a differentiator. He previously served as a principal engineer and later VP of Engineering at an industrial automation startup. He holds advanced degrees in mechanical engineering and control systems from Georgia Tech and has deep expertise in sensor networks, machine condition monitoring, and industrial automation.</w:t>
      </w:r>
    </w:p>
    <w:p>
      <w:pPr>
        <w:pStyle w:val="BodyText"/>
      </w:pPr>
      <w:r>
        <w:rPr>
          <w:b/>
          <w:bCs/>
        </w:rPr>
        <w:t xml:space="preserve">Responsibilities.</w:t>
      </w:r>
      <w:r>
        <w:t xml:space="preserve"> </w:t>
      </w:r>
      <w:r>
        <w:t xml:space="preserve">Carlos leads product and manufacturing technology strategy, including automation roadmap development, sensor infrastructure, machine learning research, and pilot program management. He oversees a team of eight engineers and data scientists and is responsible for evaluating and implementing technology that improves manufacturing capability, efficiency, and quality. He collaborates closely with Maria on operations improvement initiatives and with Jennifer on data and systems architecture.</w:t>
      </w:r>
    </w:p>
    <w:p>
      <w:pPr>
        <w:pStyle w:val="BodyText"/>
      </w:pPr>
      <w:r>
        <w:rPr>
          <w:b/>
          <w:bCs/>
        </w:rPr>
        <w:t xml:space="preserve">Focus for the business.</w:t>
      </w:r>
      <w:r>
        <w:t xml:space="preserve"> </w:t>
      </w:r>
      <w:r>
        <w:t xml:space="preserve">Carlos believes PrecisionFurniture’s long-term competitive advantage lies in its ability to manufacture with greater precision, less waste, and higher reliability than competitors who rely on older, less automated processes. He has been developing a condition monitoring proof of concept using sensor data from the Ohio facility for the past six months and has preliminary evidence that vibration signature anomalies detected by existing sensors preceded three of the four major press failures that occurred in 2025.</w:t>
      </w:r>
    </w:p>
    <w:p>
      <w:pPr>
        <w:pStyle w:val="BodyText"/>
      </w:pPr>
      <w:r>
        <w:rPr>
          <w:b/>
          <w:bCs/>
        </w:rPr>
        <w:t xml:space="preserve">Stake in the AI initiative.</w:t>
      </w:r>
      <w:r>
        <w:t xml:space="preserve"> </w:t>
      </w:r>
      <w:r>
        <w:t xml:space="preserve">Carlos is the technical architect and primary advocate of the AI-driven predictive maintenance approach. He has already identified AWS SageMaker as the preferred platform for model development and has begun discussions with sensor vendors about expanding data collection coverage at the North Carolina facility. His key concerns are model accuracy — specifically minimizing false positives that would generate unnecessary maintenance interventions — and ensuring the maintenance team receives actionable, interpretable outputs rather than opaque model scores.</w:t>
      </w:r>
    </w:p>
    <w:bookmarkEnd w:id="18"/>
    <w:bookmarkStart w:id="19" w:name="X9c1361015c1b29646975e610796e9d18e94c9ee"/>
    <w:p>
      <w:pPr>
        <w:pStyle w:val="Heading3"/>
      </w:pPr>
      <w:r>
        <w:t xml:space="preserve">Patricia</w:t>
      </w:r>
      <w:r>
        <w:t xml:space="preserve"> </w:t>
      </w:r>
      <w:r>
        <w:t xml:space="preserve">“Pat”</w:t>
      </w:r>
      <w:r>
        <w:t xml:space="preserve"> </w:t>
      </w:r>
      <w:r>
        <w:t xml:space="preserve">Sullivan — Chief Revenue Officer (CRO)</w:t>
      </w:r>
    </w:p>
    <w:p>
      <w:pPr>
        <w:pStyle w:val="FirstParagraph"/>
      </w:pPr>
      <w:r>
        <w:t xml:space="preserve">Pat Sullivan joined PrecisionFurniture in 2019 with a mandate to professionalize the company’s commercial function. She came from a regional competitor where she led national account management and grew key account revenue by 40% over four years. She holds a degree in business from Penn State and has completed executive education in strategic sales management at the Wharton School. Pat reports directly to Bob Hartman and leads all revenue-generating functions.</w:t>
      </w:r>
    </w:p>
    <w:p>
      <w:pPr>
        <w:pStyle w:val="BodyText"/>
      </w:pPr>
      <w:r>
        <w:rPr>
          <w:b/>
          <w:bCs/>
        </w:rPr>
        <w:t xml:space="preserve">Responsibilities.</w:t>
      </w:r>
      <w:r>
        <w:t xml:space="preserve"> </w:t>
      </w:r>
      <w:r>
        <w:t xml:space="preserve">Pat oversees a sales team of 22 people organized into three segments: national accounts (large hospitality chains and commercial real estate developers), regional accounts (office furniture retailers and distributors), and new business development. She is responsible for revenue growth, customer retention, contract renewals, and pricing strategy. She also owns the company’s customer satisfaction measurement program and has direct visibility into the contractual penalty exposure created by late deliveries.</w:t>
      </w:r>
    </w:p>
    <w:p>
      <w:pPr>
        <w:pStyle w:val="BodyText"/>
      </w:pPr>
      <w:r>
        <w:rPr>
          <w:b/>
          <w:bCs/>
        </w:rPr>
        <w:t xml:space="preserve">Focus for the business.</w:t>
      </w:r>
      <w:r>
        <w:t xml:space="preserve"> </w:t>
      </w:r>
      <w:r>
        <w:t xml:space="preserve">Pat’s central challenge is defending and expanding revenue in a market where larger, more automated competitors are beginning to offer shorter lead times and more aggressive pricing. She views delivery reliability as PrecisionFurniture’s primary differentiator — the reason most long-tenured customers remain — and is acutely aware that the OTD rate decline from 92.4% to 90.0% is creating friction in annual contract renewal conversations. Two large hospitality clients have explicitly referenced delivery performance in recent reviews.</w:t>
      </w:r>
    </w:p>
    <w:p>
      <w:pPr>
        <w:pStyle w:val="BodyText"/>
      </w:pPr>
      <w:r>
        <w:rPr>
          <w:b/>
          <w:bCs/>
        </w:rPr>
        <w:t xml:space="preserve">Stake in the AI initiative.</w:t>
      </w:r>
      <w:r>
        <w:t xml:space="preserve"> </w:t>
      </w:r>
      <w:r>
        <w:t xml:space="preserve">Pat is a strong commercial advocate for the initiative. She has quantified that the company loses an estimated $2.5M in potential contract value annually due to delivery-related customer concerns and sees the predictive maintenance program as the most direct lever available to protect the revenue base. She has offered to facilitate customer interviews to validate how much OTD improvement would impact renewal rates and competitive win rates — data she believes will strengthen the financial case for investment.</w:t>
      </w:r>
    </w:p>
    <w:bookmarkEnd w:id="19"/>
    <w:bookmarkEnd w:id="20"/>
    <w:bookmarkStart w:id="28" w:name="historical-performance"/>
    <w:p>
      <w:pPr>
        <w:pStyle w:val="Heading2"/>
      </w:pPr>
      <w:r>
        <w:t xml:space="preserve">Historical performance</w:t>
      </w:r>
    </w:p>
    <w:bookmarkStart w:id="21" w:name="unplanned-downtime-rate"/>
    <w:p>
      <w:pPr>
        <w:pStyle w:val="Heading3"/>
      </w:pPr>
      <w:r>
        <w:t xml:space="preserve">Unplanned downtime rate</w:t>
      </w:r>
    </w:p>
    <w:p>
      <w:pPr>
        <w:pStyle w:val="FirstParagraph"/>
      </w:pPr>
      <w:r>
        <w:rPr>
          <w:b/>
          <w:bCs/>
        </w:rPr>
        <w:t xml:space="preserve">Current baseline (Q4 2025)</w:t>
      </w:r>
      <w:r>
        <w:t xml:space="preserve">: Across all eleven production lines, PrecisionFurniture experienced 324 hours of unplanned downtime during Q4 2025, representing 2.8% of total available production hours (324 hours ÷ 11,520 hours × 100).</w:t>
      </w:r>
    </w:p>
    <w:p>
      <w:pPr>
        <w:pStyle w:val="BodyText"/>
      </w:pPr>
      <w:r>
        <w:rPr>
          <w:b/>
          <w:bCs/>
        </w:rPr>
        <w:t xml:space="preserve">Historical trend</w:t>
      </w:r>
      <w:r>
        <w:t xml:space="preserv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Quarter</w:t>
            </w:r>
          </w:p>
        </w:tc>
        <w:tc>
          <w:tcPr/>
          <w:p>
            <w:pPr>
              <w:pStyle w:val="Compact"/>
            </w:pPr>
            <w:r>
              <w:t xml:space="preserve">Hours</w:t>
            </w:r>
          </w:p>
        </w:tc>
        <w:tc>
          <w:tcPr/>
          <w:p>
            <w:pPr>
              <w:pStyle w:val="Compact"/>
            </w:pPr>
            <w:r>
              <w:t xml:space="preserve">Rate</w:t>
            </w:r>
          </w:p>
        </w:tc>
      </w:tr>
      <w:tr>
        <w:tc>
          <w:tcPr/>
          <w:p>
            <w:pPr>
              <w:pStyle w:val="Compact"/>
            </w:pPr>
            <w:r>
              <w:t xml:space="preserve">Q1 2024</w:t>
            </w:r>
          </w:p>
        </w:tc>
        <w:tc>
          <w:tcPr/>
          <w:p>
            <w:pPr>
              <w:pStyle w:val="Compact"/>
            </w:pPr>
            <w:r>
              <w:t xml:space="preserve">298</w:t>
            </w:r>
          </w:p>
        </w:tc>
        <w:tc>
          <w:tcPr/>
          <w:p>
            <w:pPr>
              <w:pStyle w:val="Compact"/>
            </w:pPr>
            <w:r>
              <w:t xml:space="preserve">2.6%</w:t>
            </w:r>
          </w:p>
        </w:tc>
      </w:tr>
      <w:tr>
        <w:tc>
          <w:tcPr/>
          <w:p>
            <w:pPr>
              <w:pStyle w:val="Compact"/>
            </w:pPr>
            <w:r>
              <w:t xml:space="preserve">Q2 2024</w:t>
            </w:r>
          </w:p>
        </w:tc>
        <w:tc>
          <w:tcPr/>
          <w:p>
            <w:pPr>
              <w:pStyle w:val="Compact"/>
            </w:pPr>
            <w:r>
              <w:t xml:space="preserve">312</w:t>
            </w:r>
          </w:p>
        </w:tc>
        <w:tc>
          <w:tcPr/>
          <w:p>
            <w:pPr>
              <w:pStyle w:val="Compact"/>
            </w:pPr>
            <w:r>
              <w:t xml:space="preserve">2.7%</w:t>
            </w:r>
          </w:p>
        </w:tc>
      </w:tr>
      <w:tr>
        <w:tc>
          <w:tcPr/>
          <w:p>
            <w:pPr>
              <w:pStyle w:val="Compact"/>
            </w:pPr>
            <w:r>
              <w:t xml:space="preserve">Q3 2024</w:t>
            </w:r>
          </w:p>
        </w:tc>
        <w:tc>
          <w:tcPr/>
          <w:p>
            <w:pPr>
              <w:pStyle w:val="Compact"/>
            </w:pPr>
            <w:r>
              <w:t xml:space="preserve">287</w:t>
            </w:r>
          </w:p>
        </w:tc>
        <w:tc>
          <w:tcPr/>
          <w:p>
            <w:pPr>
              <w:pStyle w:val="Compact"/>
            </w:pPr>
            <w:r>
              <w:t xml:space="preserve">2.5%</w:t>
            </w:r>
          </w:p>
        </w:tc>
      </w:tr>
      <w:tr>
        <w:tc>
          <w:tcPr/>
          <w:p>
            <w:pPr>
              <w:pStyle w:val="Compact"/>
            </w:pPr>
            <w:r>
              <w:t xml:space="preserve">Q4 2024</w:t>
            </w:r>
          </w:p>
        </w:tc>
        <w:tc>
          <w:tcPr/>
          <w:p>
            <w:pPr>
              <w:pStyle w:val="Compact"/>
            </w:pPr>
            <w:r>
              <w:t xml:space="preserve">305</w:t>
            </w:r>
          </w:p>
        </w:tc>
        <w:tc>
          <w:tcPr/>
          <w:p>
            <w:pPr>
              <w:pStyle w:val="Compact"/>
            </w:pPr>
            <w:r>
              <w:t xml:space="preserve">2.6%</w:t>
            </w:r>
          </w:p>
        </w:tc>
      </w:tr>
      <w:tr>
        <w:tc>
          <w:tcPr/>
          <w:p>
            <w:pPr>
              <w:pStyle w:val="Compact"/>
            </w:pPr>
            <w:r>
              <w:t xml:space="preserve">Q1 2025</w:t>
            </w:r>
          </w:p>
        </w:tc>
        <w:tc>
          <w:tcPr/>
          <w:p>
            <w:pPr>
              <w:pStyle w:val="Compact"/>
            </w:pPr>
            <w:r>
              <w:t xml:space="preserve">318</w:t>
            </w:r>
          </w:p>
        </w:tc>
        <w:tc>
          <w:tcPr/>
          <w:p>
            <w:pPr>
              <w:pStyle w:val="Compact"/>
            </w:pPr>
            <w:r>
              <w:t xml:space="preserve">2.8%</w:t>
            </w:r>
          </w:p>
        </w:tc>
      </w:tr>
      <w:tr>
        <w:tc>
          <w:tcPr/>
          <w:p>
            <w:pPr>
              <w:pStyle w:val="Compact"/>
            </w:pPr>
            <w:r>
              <w:t xml:space="preserve">Q2 2025</w:t>
            </w:r>
          </w:p>
        </w:tc>
        <w:tc>
          <w:tcPr/>
          <w:p>
            <w:pPr>
              <w:pStyle w:val="Compact"/>
            </w:pPr>
            <w:r>
              <w:t xml:space="preserve">342</w:t>
            </w:r>
          </w:p>
        </w:tc>
        <w:tc>
          <w:tcPr/>
          <w:p>
            <w:pPr>
              <w:pStyle w:val="Compact"/>
            </w:pPr>
            <w:r>
              <w:t xml:space="preserve">3.0%</w:t>
            </w:r>
          </w:p>
        </w:tc>
      </w:tr>
      <w:tr>
        <w:tc>
          <w:tcPr/>
          <w:p>
            <w:pPr>
              <w:pStyle w:val="Compact"/>
            </w:pPr>
            <w:r>
              <w:t xml:space="preserve">Q3 2025</w:t>
            </w:r>
          </w:p>
        </w:tc>
        <w:tc>
          <w:tcPr/>
          <w:p>
            <w:pPr>
              <w:pStyle w:val="Compact"/>
            </w:pPr>
            <w:r>
              <w:t xml:space="preserve">336</w:t>
            </w:r>
          </w:p>
        </w:tc>
        <w:tc>
          <w:tcPr/>
          <w:p>
            <w:pPr>
              <w:pStyle w:val="Compact"/>
            </w:pPr>
            <w:r>
              <w:t xml:space="preserve">2.9%</w:t>
            </w:r>
          </w:p>
        </w:tc>
      </w:tr>
      <w:tr>
        <w:tc>
          <w:tcPr/>
          <w:p>
            <w:pPr>
              <w:pStyle w:val="Compact"/>
            </w:pPr>
            <w:r>
              <w:t xml:space="preserve">Q4 2025</w:t>
            </w:r>
          </w:p>
        </w:tc>
        <w:tc>
          <w:tcPr/>
          <w:p>
            <w:pPr>
              <w:pStyle w:val="Compact"/>
            </w:pPr>
            <w:r>
              <w:t xml:space="preserve">324</w:t>
            </w:r>
          </w:p>
        </w:tc>
        <w:tc>
          <w:tcPr/>
          <w:p>
            <w:pPr>
              <w:pStyle w:val="Compact"/>
            </w:pPr>
            <w:r>
              <w:t xml:space="preserve">2.8%</w:t>
            </w:r>
          </w:p>
        </w:tc>
      </w:tr>
    </w:tbl>
    <w:p>
      <w:pPr>
        <w:pStyle w:val="BodyText"/>
      </w:pPr>
      <w:r>
        <w:rPr>
          <w:b/>
          <w:bCs/>
        </w:rPr>
        <w:t xml:space="preserve">Key context.</w:t>
      </w:r>
      <w:r>
        <w:t xml:space="preserve"> </w:t>
      </w:r>
      <w:r>
        <w:t xml:space="preserve">The trend has worsened over the past two years as equipment ages and production volume has increased by 18%. Each hour of unplanned downtime results in approximately $11,500 in lost production value based on average throughput rates and contribution margin. Q2 2025 was particularly challenging due to three major CNC router failures at the North Carolina facility that resulted in 78 hours of downtime alone. (A Computer Numerical Control router is an automated cutting machine that precisely cuts, carves, and shapes materials based on digital designs.)</w:t>
      </w:r>
    </w:p>
    <w:p>
      <w:pPr>
        <w:pStyle w:val="BodyText"/>
      </w:pPr>
      <w:r>
        <w:rPr>
          <w:b/>
          <w:bCs/>
        </w:rPr>
        <w:t xml:space="preserve">Industry benchmark.</w:t>
      </w:r>
      <w:r>
        <w:t xml:space="preserve"> </w:t>
      </w:r>
      <w:r>
        <w:t xml:space="preserve">According to industry data from the Woodworking Machinery Industry Association, leading furniture manufacturers maintain unplanned downtime rates below 1.5%, suggesting PrecisionFurniture has significant opportunity for improvement.</w:t>
      </w:r>
    </w:p>
    <w:bookmarkEnd w:id="21"/>
    <w:bookmarkStart w:id="22" w:name="mean-time-between-failures-mtbf"/>
    <w:p>
      <w:pPr>
        <w:pStyle w:val="Heading3"/>
      </w:pPr>
      <w:r>
        <w:t xml:space="preserve">Mean Time Between Failures (MTBF)</w:t>
      </w:r>
    </w:p>
    <w:p>
      <w:pPr>
        <w:pStyle w:val="FirstParagraph"/>
      </w:pPr>
      <w:r>
        <w:rPr>
          <w:b/>
          <w:bCs/>
        </w:rPr>
        <w:t xml:space="preserve">Current baseline (Q4 2025)</w:t>
      </w:r>
      <w:r>
        <w:t xml:space="preserve">: The company experienced 42 unplanned equipment failures across 450 machines during Q4 2025. With total equipment operating time of 172,800 hours (450 machines × 384 hours/quarter average operation), the MTBF is 4,114 hours (172,800 ÷ 42).</w:t>
      </w:r>
    </w:p>
    <w:p>
      <w:pPr>
        <w:pStyle w:val="BodyText"/>
      </w:pPr>
      <w:r>
        <w:rPr>
          <w:b/>
          <w:bCs/>
        </w:rPr>
        <w:t xml:space="preserve">Historical trend</w:t>
      </w:r>
      <w:r>
        <w:t xml:space="preserv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Quarter</w:t>
            </w:r>
          </w:p>
        </w:tc>
        <w:tc>
          <w:tcPr/>
          <w:p>
            <w:pPr>
              <w:pStyle w:val="Compact"/>
            </w:pPr>
            <w:r>
              <w:t xml:space="preserve">MTBF (hours)</w:t>
            </w:r>
          </w:p>
        </w:tc>
        <w:tc>
          <w:tcPr/>
          <w:p>
            <w:pPr>
              <w:pStyle w:val="Compact"/>
            </w:pPr>
            <w:r>
              <w:t xml:space="preserve">Failures</w:t>
            </w:r>
          </w:p>
        </w:tc>
      </w:tr>
      <w:tr>
        <w:tc>
          <w:tcPr/>
          <w:p>
            <w:pPr>
              <w:pStyle w:val="Compact"/>
            </w:pPr>
            <w:r>
              <w:t xml:space="preserve">Q1 2024</w:t>
            </w:r>
          </w:p>
        </w:tc>
        <w:tc>
          <w:tcPr/>
          <w:p>
            <w:pPr>
              <w:pStyle w:val="Compact"/>
            </w:pPr>
            <w:r>
              <w:t xml:space="preserve">4,680</w:t>
            </w:r>
          </w:p>
        </w:tc>
        <w:tc>
          <w:tcPr/>
          <w:p>
            <w:pPr>
              <w:pStyle w:val="Compact"/>
            </w:pPr>
            <w:r>
              <w:t xml:space="preserve">37</w:t>
            </w:r>
          </w:p>
        </w:tc>
      </w:tr>
      <w:tr>
        <w:tc>
          <w:tcPr/>
          <w:p>
            <w:pPr>
              <w:pStyle w:val="Compact"/>
            </w:pPr>
            <w:r>
              <w:t xml:space="preserve">Q2 2024</w:t>
            </w:r>
          </w:p>
        </w:tc>
        <w:tc>
          <w:tcPr/>
          <w:p>
            <w:pPr>
              <w:pStyle w:val="Compact"/>
            </w:pPr>
            <w:r>
              <w:t xml:space="preserve">4,425</w:t>
            </w:r>
          </w:p>
        </w:tc>
        <w:tc>
          <w:tcPr/>
          <w:p>
            <w:pPr>
              <w:pStyle w:val="Compact"/>
            </w:pPr>
            <w:r>
              <w:t xml:space="preserve">39</w:t>
            </w:r>
          </w:p>
        </w:tc>
      </w:tr>
      <w:tr>
        <w:tc>
          <w:tcPr/>
          <w:p>
            <w:pPr>
              <w:pStyle w:val="Compact"/>
            </w:pPr>
            <w:r>
              <w:t xml:space="preserve">Q3 2024</w:t>
            </w:r>
          </w:p>
        </w:tc>
        <w:tc>
          <w:tcPr/>
          <w:p>
            <w:pPr>
              <w:pStyle w:val="Compact"/>
            </w:pPr>
            <w:r>
              <w:t xml:space="preserve">4,520</w:t>
            </w:r>
          </w:p>
        </w:tc>
        <w:tc>
          <w:tcPr/>
          <w:p>
            <w:pPr>
              <w:pStyle w:val="Compact"/>
            </w:pPr>
            <w:r>
              <w:t xml:space="preserve">38</w:t>
            </w:r>
          </w:p>
        </w:tc>
      </w:tr>
      <w:tr>
        <w:tc>
          <w:tcPr/>
          <w:p>
            <w:pPr>
              <w:pStyle w:val="Compact"/>
            </w:pPr>
            <w:r>
              <w:t xml:space="preserve">Q4 2024</w:t>
            </w:r>
          </w:p>
        </w:tc>
        <w:tc>
          <w:tcPr/>
          <w:p>
            <w:pPr>
              <w:pStyle w:val="Compact"/>
            </w:pPr>
            <w:r>
              <w:t xml:space="preserve">4,365</w:t>
            </w:r>
          </w:p>
        </w:tc>
        <w:tc>
          <w:tcPr/>
          <w:p>
            <w:pPr>
              <w:pStyle w:val="Compact"/>
            </w:pPr>
            <w:r>
              <w:t xml:space="preserve">40</w:t>
            </w:r>
          </w:p>
        </w:tc>
      </w:tr>
      <w:tr>
        <w:tc>
          <w:tcPr/>
          <w:p>
            <w:pPr>
              <w:pStyle w:val="Compact"/>
            </w:pPr>
            <w:r>
              <w:t xml:space="preserve">Q1 2025</w:t>
            </w:r>
          </w:p>
        </w:tc>
        <w:tc>
          <w:tcPr/>
          <w:p>
            <w:pPr>
              <w:pStyle w:val="Compact"/>
            </w:pPr>
            <w:r>
              <w:t xml:space="preserve">4,245</w:t>
            </w:r>
          </w:p>
        </w:tc>
        <w:tc>
          <w:tcPr/>
          <w:p>
            <w:pPr>
              <w:pStyle w:val="Compact"/>
            </w:pPr>
            <w:r>
              <w:t xml:space="preserve">41</w:t>
            </w:r>
          </w:p>
        </w:tc>
      </w:tr>
      <w:tr>
        <w:tc>
          <w:tcPr/>
          <w:p>
            <w:pPr>
              <w:pStyle w:val="Compact"/>
            </w:pPr>
            <w:r>
              <w:t xml:space="preserve">Q2 2025</w:t>
            </w:r>
          </w:p>
        </w:tc>
        <w:tc>
          <w:tcPr/>
          <w:p>
            <w:pPr>
              <w:pStyle w:val="Compact"/>
            </w:pPr>
            <w:r>
              <w:t xml:space="preserve">3,885</w:t>
            </w:r>
          </w:p>
        </w:tc>
        <w:tc>
          <w:tcPr/>
          <w:p>
            <w:pPr>
              <w:pStyle w:val="Compact"/>
            </w:pPr>
            <w:r>
              <w:t xml:space="preserve">45</w:t>
            </w:r>
          </w:p>
        </w:tc>
      </w:tr>
      <w:tr>
        <w:tc>
          <w:tcPr/>
          <w:p>
            <w:pPr>
              <w:pStyle w:val="Compact"/>
            </w:pPr>
            <w:r>
              <w:t xml:space="preserve">Q3 2025</w:t>
            </w:r>
          </w:p>
        </w:tc>
        <w:tc>
          <w:tcPr/>
          <w:p>
            <w:pPr>
              <w:pStyle w:val="Compact"/>
            </w:pPr>
            <w:r>
              <w:t xml:space="preserve">4,020</w:t>
            </w:r>
          </w:p>
        </w:tc>
        <w:tc>
          <w:tcPr/>
          <w:p>
            <w:pPr>
              <w:pStyle w:val="Compact"/>
            </w:pPr>
            <w:r>
              <w:t xml:space="preserve">43</w:t>
            </w:r>
          </w:p>
        </w:tc>
      </w:tr>
      <w:tr>
        <w:tc>
          <w:tcPr/>
          <w:p>
            <w:pPr>
              <w:pStyle w:val="Compact"/>
            </w:pPr>
            <w:r>
              <w:t xml:space="preserve">Q4 2025</w:t>
            </w:r>
          </w:p>
        </w:tc>
        <w:tc>
          <w:tcPr/>
          <w:p>
            <w:pPr>
              <w:pStyle w:val="Compact"/>
            </w:pPr>
            <w:r>
              <w:t xml:space="preserve">4,114</w:t>
            </w:r>
          </w:p>
        </w:tc>
        <w:tc>
          <w:tcPr/>
          <w:p>
            <w:pPr>
              <w:pStyle w:val="Compact"/>
            </w:pPr>
            <w:r>
              <w:t xml:space="preserve">42</w:t>
            </w:r>
          </w:p>
        </w:tc>
      </w:tr>
    </w:tbl>
    <w:p>
      <w:pPr>
        <w:pStyle w:val="BodyText"/>
      </w:pPr>
      <w:r>
        <w:rPr>
          <w:b/>
          <w:bCs/>
        </w:rPr>
        <w:t xml:space="preserve">Key context.</w:t>
      </w:r>
      <w:r>
        <w:t xml:space="preserve"> </w:t>
      </w:r>
      <w:r>
        <w:t xml:space="preserve">MTBF has declined by 12% from Q1 2024 to Q4 2025 as equipment ages. The most problematic equipment categories are pneumatic press systems (MTBF: 2,890 hours) and automated finishing lines (MTBF: 3,240 hours). CNC routers perform better (MTBF: 5,670 hours) but represent critical single points of failure in production workflows.</w:t>
      </w:r>
    </w:p>
    <w:p>
      <w:pPr>
        <w:pStyle w:val="BodyText"/>
      </w:pPr>
      <w:r>
        <w:rPr>
          <w:b/>
          <w:bCs/>
        </w:rPr>
        <w:t xml:space="preserve">Industry benchmark.</w:t>
      </w:r>
      <w:r>
        <w:t xml:space="preserve"> </w:t>
      </w:r>
      <w:r>
        <w:t xml:space="preserve">Best-in-class furniture manufacturers achieve MTBF rates exceeding 6,000 hours through condition-based maintenance programs.</w:t>
      </w:r>
    </w:p>
    <w:bookmarkEnd w:id="22"/>
    <w:bookmarkStart w:id="23" w:name="maintenance-cost-per-production-unit"/>
    <w:p>
      <w:pPr>
        <w:pStyle w:val="Heading3"/>
      </w:pPr>
      <w:r>
        <w:t xml:space="preserve">Maintenance cost per production unit</w:t>
      </w:r>
    </w:p>
    <w:p>
      <w:pPr>
        <w:pStyle w:val="FirstParagraph"/>
      </w:pPr>
      <w:r>
        <w:rPr>
          <w:b/>
          <w:bCs/>
        </w:rPr>
        <w:t xml:space="preserve">Current baseline (2025 annual)</w:t>
      </w:r>
      <w:r>
        <w:t xml:space="preserve">: Total maintenance costs in 2025 were $8,640,000 across all three facilities. With total production of 720,000 units, the maintenance cost per unit is $12.00 ($8,640,000 ÷ 720,000 units).</w:t>
      </w:r>
    </w:p>
    <w:p>
      <w:pPr>
        <w:pStyle w:val="BodyText"/>
      </w:pPr>
      <w:r>
        <w:rPr>
          <w:b/>
          <w:bCs/>
        </w:rPr>
        <w:t xml:space="preserve">Historical trend</w:t>
      </w:r>
      <w:r>
        <w:t xml:space="preserv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Year</w:t>
            </w:r>
          </w:p>
        </w:tc>
        <w:tc>
          <w:tcPr/>
          <w:p>
            <w:pPr>
              <w:pStyle w:val="Compact"/>
            </w:pPr>
            <w:r>
              <w:t xml:space="preserve">Cost per unit</w:t>
            </w:r>
          </w:p>
        </w:tc>
        <w:tc>
          <w:tcPr/>
          <w:p>
            <w:pPr>
              <w:pStyle w:val="Compact"/>
            </w:pPr>
            <w:r>
              <w:t xml:space="preserve">Total maintenance</w:t>
            </w:r>
          </w:p>
        </w:tc>
        <w:tc>
          <w:tcPr/>
          <w:p>
            <w:pPr>
              <w:pStyle w:val="Compact"/>
            </w:pPr>
            <w:r>
              <w:t xml:space="preserve">Units produced</w:t>
            </w:r>
          </w:p>
        </w:tc>
      </w:tr>
      <w:tr>
        <w:tc>
          <w:tcPr/>
          <w:p>
            <w:pPr>
              <w:pStyle w:val="Compact"/>
            </w:pPr>
            <w:r>
              <w:t xml:space="preserve">2023</w:t>
            </w:r>
          </w:p>
        </w:tc>
        <w:tc>
          <w:tcPr/>
          <w:p>
            <w:pPr>
              <w:pStyle w:val="Compact"/>
            </w:pPr>
            <w:r>
              <w:t xml:space="preserve">$10.85</w:t>
            </w:r>
          </w:p>
        </w:tc>
        <w:tc>
          <w:tcPr/>
          <w:p>
            <w:pPr>
              <w:pStyle w:val="Compact"/>
            </w:pPr>
            <w:r>
              <w:t xml:space="preserve">$7,470,000</w:t>
            </w:r>
          </w:p>
        </w:tc>
        <w:tc>
          <w:tcPr/>
          <w:p>
            <w:pPr>
              <w:pStyle w:val="Compact"/>
            </w:pPr>
            <w:r>
              <w:t xml:space="preserve">688,000</w:t>
            </w:r>
          </w:p>
        </w:tc>
      </w:tr>
      <w:tr>
        <w:tc>
          <w:tcPr/>
          <w:p>
            <w:pPr>
              <w:pStyle w:val="Compact"/>
            </w:pPr>
            <w:r>
              <w:t xml:space="preserve">2024</w:t>
            </w:r>
          </w:p>
        </w:tc>
        <w:tc>
          <w:tcPr/>
          <w:p>
            <w:pPr>
              <w:pStyle w:val="Compact"/>
            </w:pPr>
            <w:r>
              <w:t xml:space="preserve">$11.42</w:t>
            </w:r>
          </w:p>
        </w:tc>
        <w:tc>
          <w:tcPr/>
          <w:p>
            <w:pPr>
              <w:pStyle w:val="Compact"/>
            </w:pPr>
            <w:r>
              <w:t xml:space="preserve">$7,980,000</w:t>
            </w:r>
          </w:p>
        </w:tc>
        <w:tc>
          <w:tcPr/>
          <w:p>
            <w:pPr>
              <w:pStyle w:val="Compact"/>
            </w:pPr>
            <w:r>
              <w:t xml:space="preserve">698,500</w:t>
            </w:r>
          </w:p>
        </w:tc>
      </w:tr>
      <w:tr>
        <w:tc>
          <w:tcPr/>
          <w:p>
            <w:pPr>
              <w:pStyle w:val="Compact"/>
            </w:pPr>
            <w:r>
              <w:t xml:space="preserve">2025</w:t>
            </w:r>
          </w:p>
        </w:tc>
        <w:tc>
          <w:tcPr/>
          <w:p>
            <w:pPr>
              <w:pStyle w:val="Compact"/>
            </w:pPr>
            <w:r>
              <w:t xml:space="preserve">$12.00</w:t>
            </w:r>
          </w:p>
        </w:tc>
        <w:tc>
          <w:tcPr/>
          <w:p>
            <w:pPr>
              <w:pStyle w:val="Compact"/>
            </w:pPr>
            <w:r>
              <w:t xml:space="preserve">$8,640,000</w:t>
            </w:r>
          </w:p>
        </w:tc>
        <w:tc>
          <w:tcPr/>
          <w:p>
            <w:pPr>
              <w:pStyle w:val="Compact"/>
            </w:pPr>
            <w:r>
              <w:t xml:space="preserve">720,000</w:t>
            </w:r>
          </w:p>
        </w:tc>
      </w:tr>
    </w:tbl>
    <w:p>
      <w:pPr>
        <w:pStyle w:val="BodyText"/>
      </w:pPr>
      <w:r>
        <w:rPr>
          <w:b/>
          <w:bCs/>
        </w:rPr>
        <w:t xml:space="preserve">2025 cost breakdown</w:t>
      </w:r>
      <w:r>
        <w:t xml:space="preserv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Category</w:t>
            </w:r>
          </w:p>
        </w:tc>
        <w:tc>
          <w:tcPr/>
          <w:p>
            <w:pPr>
              <w:pStyle w:val="Compact"/>
            </w:pPr>
            <w:r>
              <w:t xml:space="preserve">Amount</w:t>
            </w:r>
          </w:p>
        </w:tc>
        <w:tc>
          <w:tcPr/>
          <w:p>
            <w:pPr>
              <w:pStyle w:val="Compact"/>
            </w:pPr>
            <w:r>
              <w:t xml:space="preserve">Share</w:t>
            </w:r>
          </w:p>
        </w:tc>
      </w:tr>
      <w:tr>
        <w:tc>
          <w:tcPr/>
          <w:p>
            <w:pPr>
              <w:pStyle w:val="Compact"/>
            </w:pPr>
            <w:r>
              <w:t xml:space="preserve">Scheduled preventive maintenance labor</w:t>
            </w:r>
          </w:p>
        </w:tc>
        <w:tc>
          <w:tcPr/>
          <w:p>
            <w:pPr>
              <w:pStyle w:val="Compact"/>
            </w:pPr>
            <w:r>
              <w:t xml:space="preserve">$3,240,000</w:t>
            </w:r>
          </w:p>
        </w:tc>
        <w:tc>
          <w:tcPr/>
          <w:p>
            <w:pPr>
              <w:pStyle w:val="Compact"/>
            </w:pPr>
            <w:r>
              <w:t xml:space="preserve">37.5%</w:t>
            </w:r>
          </w:p>
        </w:tc>
      </w:tr>
      <w:tr>
        <w:tc>
          <w:tcPr/>
          <w:p>
            <w:pPr>
              <w:pStyle w:val="Compact"/>
            </w:pPr>
            <w:r>
              <w:t xml:space="preserve">Emergency reactive repair labor</w:t>
            </w:r>
          </w:p>
        </w:tc>
        <w:tc>
          <w:tcPr/>
          <w:p>
            <w:pPr>
              <w:pStyle w:val="Compact"/>
            </w:pPr>
            <w:r>
              <w:t xml:space="preserve">$2,880,000</w:t>
            </w:r>
          </w:p>
        </w:tc>
        <w:tc>
          <w:tcPr/>
          <w:p>
            <w:pPr>
              <w:pStyle w:val="Compact"/>
            </w:pPr>
            <w:r>
              <w:t xml:space="preserve">33.3%</w:t>
            </w:r>
          </w:p>
        </w:tc>
      </w:tr>
      <w:tr>
        <w:tc>
          <w:tcPr/>
          <w:p>
            <w:pPr>
              <w:pStyle w:val="Compact"/>
            </w:pPr>
            <w:r>
              <w:t xml:space="preserve">Replacement parts and components</w:t>
            </w:r>
          </w:p>
        </w:tc>
        <w:tc>
          <w:tcPr/>
          <w:p>
            <w:pPr>
              <w:pStyle w:val="Compact"/>
            </w:pPr>
            <w:r>
              <w:t xml:space="preserve">$1,920,000</w:t>
            </w:r>
          </w:p>
        </w:tc>
        <w:tc>
          <w:tcPr/>
          <w:p>
            <w:pPr>
              <w:pStyle w:val="Compact"/>
            </w:pPr>
            <w:r>
              <w:t xml:space="preserve">22.2%</w:t>
            </w:r>
          </w:p>
        </w:tc>
      </w:tr>
      <w:tr>
        <w:tc>
          <w:tcPr/>
          <w:p>
            <w:pPr>
              <w:pStyle w:val="Compact"/>
            </w:pPr>
            <w:r>
              <w:t xml:space="preserve">External contractor services</w:t>
            </w:r>
          </w:p>
        </w:tc>
        <w:tc>
          <w:tcPr/>
          <w:p>
            <w:pPr>
              <w:pStyle w:val="Compact"/>
            </w:pPr>
            <w:r>
              <w:t xml:space="preserve">$600,000</w:t>
            </w:r>
          </w:p>
        </w:tc>
        <w:tc>
          <w:tcPr/>
          <w:p>
            <w:pPr>
              <w:pStyle w:val="Compact"/>
            </w:pPr>
            <w:r>
              <w:t xml:space="preserve">7.0%</w:t>
            </w:r>
          </w:p>
        </w:tc>
      </w:tr>
    </w:tbl>
    <w:p>
      <w:pPr>
        <w:pStyle w:val="BodyText"/>
      </w:pPr>
      <w:r>
        <w:rPr>
          <w:b/>
          <w:bCs/>
        </w:rPr>
        <w:t xml:space="preserve">Key context.</w:t>
      </w:r>
      <w:r>
        <w:t xml:space="preserve"> </w:t>
      </w:r>
      <w:r>
        <w:t xml:space="preserve">Maintenance costs per unit have increased 10.6% over two years despite production volume increasing only 4.6%. The primary driver is emergency reactive repair costs, which have grown from $2,160,000 in 2023 to $2,880,000 in 2025 (33% increase). The company’s maintenance team consists of 24 technicians across three facilities operating on a scheduled rotation, with overtime rates applied during emergency callouts contributing to cost growth.</w:t>
      </w:r>
    </w:p>
    <w:p>
      <w:pPr>
        <w:pStyle w:val="BodyText"/>
      </w:pPr>
      <w:r>
        <w:rPr>
          <w:b/>
          <w:bCs/>
        </w:rPr>
        <w:t xml:space="preserve">Industry benchmark.</w:t>
      </w:r>
      <w:r>
        <w:t xml:space="preserve"> </w:t>
      </w:r>
      <w:r>
        <w:t xml:space="preserve">Comparable furniture manufacturers report maintenance costs between $9.50 and $10.50 per unit, suggesting PrecisionFurniture is operating 14–26% above industry efficiency levels.</w:t>
      </w:r>
    </w:p>
    <w:bookmarkEnd w:id="23"/>
    <w:bookmarkStart w:id="24" w:name="Xf5b32160c005d7771fe7bc4eeba7997de2c60cb"/>
    <w:p>
      <w:pPr>
        <w:pStyle w:val="Heading3"/>
      </w:pPr>
      <w:r>
        <w:t xml:space="preserve">Ratio of predictive vs. reactive maintenance events</w:t>
      </w:r>
    </w:p>
    <w:p>
      <w:pPr>
        <w:pStyle w:val="FirstParagraph"/>
      </w:pPr>
      <w:r>
        <w:rPr>
          <w:b/>
          <w:bCs/>
        </w:rPr>
        <w:t xml:space="preserve">Current baseline (Q4 2025)</w:t>
      </w:r>
      <w:r>
        <w:t xml:space="preserve">: During Q4 2025, maintenance teams logged 1,680 total maintenance interventions across all equipment. Of these, 1,428 were scheduled preventive maintenance events based on fixed operating-hour intervals, and 252 were reactive (break-fix) events responding to failures. This results in a 15% reactive maintenance rate (252 ÷ 1,680 × 100).</w:t>
      </w:r>
    </w:p>
    <w:p>
      <w:pPr>
        <w:pStyle w:val="BodyText"/>
      </w:pPr>
      <w:r>
        <w:t xml:space="preserve">Importantly,</w:t>
      </w:r>
      <w:r>
        <w:t xml:space="preserve"> </w:t>
      </w:r>
      <w:r>
        <w:rPr>
          <w:b/>
          <w:bCs/>
        </w:rPr>
        <w:t xml:space="preserve">zero maintenance events were condition-based or predictive</w:t>
      </w:r>
      <w:r>
        <w:t xml:space="preserve">, as no predictive maintenance system currently exists. All scheduled maintenance follows fixed manufacturer recommendations regardless of actual equipment condition.</w:t>
      </w:r>
    </w:p>
    <w:p>
      <w:pPr>
        <w:pStyle w:val="BodyText"/>
      </w:pPr>
      <w:r>
        <w:rPr>
          <w:b/>
          <w:bCs/>
        </w:rPr>
        <w:t xml:space="preserve">Historical trend</w:t>
      </w:r>
      <w:r>
        <w:t xml:space="preserv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Quarter</w:t>
            </w:r>
          </w:p>
        </w:tc>
        <w:tc>
          <w:tcPr/>
          <w:p>
            <w:pPr>
              <w:pStyle w:val="Compact"/>
            </w:pPr>
            <w:r>
              <w:t xml:space="preserve">Reactive rate</w:t>
            </w:r>
          </w:p>
        </w:tc>
        <w:tc>
          <w:tcPr/>
          <w:p>
            <w:pPr>
              <w:pStyle w:val="Compact"/>
            </w:pPr>
            <w:r>
              <w:t xml:space="preserve">Reactive events (of 1,680)</w:t>
            </w:r>
          </w:p>
        </w:tc>
      </w:tr>
      <w:tr>
        <w:tc>
          <w:tcPr/>
          <w:p>
            <w:pPr>
              <w:pStyle w:val="Compact"/>
            </w:pPr>
            <w:r>
              <w:t xml:space="preserve">Q1 2024</w:t>
            </w:r>
          </w:p>
        </w:tc>
        <w:tc>
          <w:tcPr/>
          <w:p>
            <w:pPr>
              <w:pStyle w:val="Compact"/>
            </w:pPr>
            <w:r>
              <w:t xml:space="preserve">13.8%</w:t>
            </w:r>
          </w:p>
        </w:tc>
        <w:tc>
          <w:tcPr/>
          <w:p>
            <w:pPr>
              <w:pStyle w:val="Compact"/>
            </w:pPr>
            <w:r>
              <w:t xml:space="preserve">232</w:t>
            </w:r>
          </w:p>
        </w:tc>
      </w:tr>
      <w:tr>
        <w:tc>
          <w:tcPr/>
          <w:p>
            <w:pPr>
              <w:pStyle w:val="Compact"/>
            </w:pPr>
            <w:r>
              <w:t xml:space="preserve">Q2 2024</w:t>
            </w:r>
          </w:p>
        </w:tc>
        <w:tc>
          <w:tcPr/>
          <w:p>
            <w:pPr>
              <w:pStyle w:val="Compact"/>
            </w:pPr>
            <w:r>
              <w:t xml:space="preserve">14.5%</w:t>
            </w:r>
          </w:p>
        </w:tc>
        <w:tc>
          <w:tcPr/>
          <w:p>
            <w:pPr>
              <w:pStyle w:val="Compact"/>
            </w:pPr>
            <w:r>
              <w:t xml:space="preserve">244</w:t>
            </w:r>
          </w:p>
        </w:tc>
      </w:tr>
      <w:tr>
        <w:tc>
          <w:tcPr/>
          <w:p>
            <w:pPr>
              <w:pStyle w:val="Compact"/>
            </w:pPr>
            <w:r>
              <w:t xml:space="preserve">Q3 2024</w:t>
            </w:r>
          </w:p>
        </w:tc>
        <w:tc>
          <w:tcPr/>
          <w:p>
            <w:pPr>
              <w:pStyle w:val="Compact"/>
            </w:pPr>
            <w:r>
              <w:t xml:space="preserve">14.2%</w:t>
            </w:r>
          </w:p>
        </w:tc>
        <w:tc>
          <w:tcPr/>
          <w:p>
            <w:pPr>
              <w:pStyle w:val="Compact"/>
            </w:pPr>
            <w:r>
              <w:t xml:space="preserve">238</w:t>
            </w:r>
          </w:p>
        </w:tc>
      </w:tr>
      <w:tr>
        <w:tc>
          <w:tcPr/>
          <w:p>
            <w:pPr>
              <w:pStyle w:val="Compact"/>
            </w:pPr>
            <w:r>
              <w:t xml:space="preserve">Q4 2024</w:t>
            </w:r>
          </w:p>
        </w:tc>
        <w:tc>
          <w:tcPr/>
          <w:p>
            <w:pPr>
              <w:pStyle w:val="Compact"/>
            </w:pPr>
            <w:r>
              <w:t xml:space="preserve">14.9%</w:t>
            </w:r>
          </w:p>
        </w:tc>
        <w:tc>
          <w:tcPr/>
          <w:p>
            <w:pPr>
              <w:pStyle w:val="Compact"/>
            </w:pPr>
            <w:r>
              <w:t xml:space="preserve">250</w:t>
            </w:r>
          </w:p>
        </w:tc>
      </w:tr>
      <w:tr>
        <w:tc>
          <w:tcPr/>
          <w:p>
            <w:pPr>
              <w:pStyle w:val="Compact"/>
            </w:pPr>
            <w:r>
              <w:t xml:space="preserve">Q1 2025</w:t>
            </w:r>
          </w:p>
        </w:tc>
        <w:tc>
          <w:tcPr/>
          <w:p>
            <w:pPr>
              <w:pStyle w:val="Compact"/>
            </w:pPr>
            <w:r>
              <w:t xml:space="preserve">15.4%</w:t>
            </w:r>
          </w:p>
        </w:tc>
        <w:tc>
          <w:tcPr/>
          <w:p>
            <w:pPr>
              <w:pStyle w:val="Compact"/>
            </w:pPr>
            <w:r>
              <w:t xml:space="preserve">259</w:t>
            </w:r>
          </w:p>
        </w:tc>
      </w:tr>
      <w:tr>
        <w:tc>
          <w:tcPr/>
          <w:p>
            <w:pPr>
              <w:pStyle w:val="Compact"/>
            </w:pPr>
            <w:r>
              <w:t xml:space="preserve">Q2 2025</w:t>
            </w:r>
          </w:p>
        </w:tc>
        <w:tc>
          <w:tcPr/>
          <w:p>
            <w:pPr>
              <w:pStyle w:val="Compact"/>
            </w:pPr>
            <w:r>
              <w:t xml:space="preserve">16.8%</w:t>
            </w:r>
          </w:p>
        </w:tc>
        <w:tc>
          <w:tcPr/>
          <w:p>
            <w:pPr>
              <w:pStyle w:val="Compact"/>
            </w:pPr>
            <w:r>
              <w:t xml:space="preserve">282</w:t>
            </w:r>
          </w:p>
        </w:tc>
      </w:tr>
      <w:tr>
        <w:tc>
          <w:tcPr/>
          <w:p>
            <w:pPr>
              <w:pStyle w:val="Compact"/>
            </w:pPr>
            <w:r>
              <w:t xml:space="preserve">Q3 2025</w:t>
            </w:r>
          </w:p>
        </w:tc>
        <w:tc>
          <w:tcPr/>
          <w:p>
            <w:pPr>
              <w:pStyle w:val="Compact"/>
            </w:pPr>
            <w:r>
              <w:t xml:space="preserve">16.1%</w:t>
            </w:r>
          </w:p>
        </w:tc>
        <w:tc>
          <w:tcPr/>
          <w:p>
            <w:pPr>
              <w:pStyle w:val="Compact"/>
            </w:pPr>
            <w:r>
              <w:t xml:space="preserve">270</w:t>
            </w:r>
          </w:p>
        </w:tc>
      </w:tr>
      <w:tr>
        <w:tc>
          <w:tcPr/>
          <w:p>
            <w:pPr>
              <w:pStyle w:val="Compact"/>
            </w:pPr>
            <w:r>
              <w:t xml:space="preserve">Q4 2025</w:t>
            </w:r>
          </w:p>
        </w:tc>
        <w:tc>
          <w:tcPr/>
          <w:p>
            <w:pPr>
              <w:pStyle w:val="Compact"/>
            </w:pPr>
            <w:r>
              <w:t xml:space="preserve">15.0%</w:t>
            </w:r>
          </w:p>
        </w:tc>
        <w:tc>
          <w:tcPr/>
          <w:p>
            <w:pPr>
              <w:pStyle w:val="Compact"/>
            </w:pPr>
            <w:r>
              <w:t xml:space="preserve">252</w:t>
            </w:r>
          </w:p>
        </w:tc>
      </w:tr>
    </w:tbl>
    <w:p>
      <w:pPr>
        <w:pStyle w:val="BodyText"/>
      </w:pPr>
      <w:r>
        <w:rPr>
          <w:b/>
          <w:bCs/>
        </w:rPr>
        <w:t xml:space="preserve">Key context.</w:t>
      </w:r>
      <w:r>
        <w:t xml:space="preserve"> </w:t>
      </w:r>
      <w:r>
        <w:t xml:space="preserve">The reactive maintenance rate has increased by 8.7% from Q1 2024 to the current period, indicating that fixed-interval preventive maintenance is becoming less effective as equipment ages and production demands increase. Each reactive event is significantly more expensive than scheduled maintenance due to:</w:t>
      </w:r>
    </w:p>
    <w:p>
      <w:pPr>
        <w:pStyle w:val="Compact"/>
        <w:numPr>
          <w:ilvl w:val="0"/>
          <w:numId w:val="1001"/>
        </w:numPr>
      </w:pPr>
      <w:r>
        <w:t xml:space="preserve">Unplanned production line stoppages (average 7.7 hours per emergency event).</w:t>
      </w:r>
    </w:p>
    <w:p>
      <w:pPr>
        <w:pStyle w:val="Compact"/>
        <w:numPr>
          <w:ilvl w:val="0"/>
          <w:numId w:val="1001"/>
        </w:numPr>
      </w:pPr>
      <w:r>
        <w:t xml:space="preserve">Overtime labor rates (1.5× to 2× standard rates).</w:t>
      </w:r>
    </w:p>
    <w:p>
      <w:pPr>
        <w:pStyle w:val="Compact"/>
        <w:numPr>
          <w:ilvl w:val="0"/>
          <w:numId w:val="1001"/>
        </w:numPr>
      </w:pPr>
      <w:r>
        <w:t xml:space="preserve">Expedited parts shipping (adding 40–60% premium to parts costs).</w:t>
      </w:r>
    </w:p>
    <w:p>
      <w:pPr>
        <w:pStyle w:val="Compact"/>
        <w:numPr>
          <w:ilvl w:val="0"/>
          <w:numId w:val="1001"/>
        </w:numPr>
      </w:pPr>
      <w:r>
        <w:t xml:space="preserve">External contractor callouts when internal capacity is exhausted.</w:t>
      </w:r>
    </w:p>
    <w:p>
      <w:pPr>
        <w:pStyle w:val="FirstParagraph"/>
      </w:pPr>
      <w:r>
        <w:t xml:space="preserve">While the company does not separately track emergency maintenance costs in financial systems, operations leadership estimates emergency events cost 3–4× more per intervention than scheduled preventive maintenance based on labor hour analysis and parts procurement records.</w:t>
      </w:r>
    </w:p>
    <w:p>
      <w:pPr>
        <w:pStyle w:val="BodyText"/>
      </w:pPr>
      <w:r>
        <w:rPr>
          <w:b/>
          <w:bCs/>
        </w:rPr>
        <w:t xml:space="preserve">Industry benchmark.</w:t>
      </w:r>
      <w:r>
        <w:t xml:space="preserve"> </w:t>
      </w:r>
      <w:r>
        <w:t xml:space="preserve">Organizations with mature predictive maintenance programs achieve reactive maintenance rates below 8%, with 75–85% of maintenance events being condition-based and proactive.</w:t>
      </w:r>
    </w:p>
    <w:bookmarkEnd w:id="24"/>
    <w:bookmarkStart w:id="25" w:name="on-time-delivery-otd-rate"/>
    <w:p>
      <w:pPr>
        <w:pStyle w:val="Heading3"/>
      </w:pPr>
      <w:r>
        <w:t xml:space="preserve">On-time delivery (OTD) rate</w:t>
      </w:r>
    </w:p>
    <w:p>
      <w:pPr>
        <w:pStyle w:val="FirstParagraph"/>
      </w:pPr>
      <w:r>
        <w:rPr>
          <w:b/>
          <w:bCs/>
        </w:rPr>
        <w:t xml:space="preserve">Current baseline (Q4 2025)</w:t>
      </w:r>
      <w:r>
        <w:t xml:space="preserve">: PrecisionFurniture delivered 2,340 orders during Q4 2025. Of these, 2,106 were delivered on or before the committed delivery date, resulting in an OTD rate of 90.0% (2,106 ÷ 2,340 × 100).</w:t>
      </w:r>
    </w:p>
    <w:p>
      <w:pPr>
        <w:pStyle w:val="BodyText"/>
      </w:pPr>
      <w:r>
        <w:rPr>
          <w:b/>
          <w:bCs/>
        </w:rPr>
        <w:t xml:space="preserve">Historical trend</w:t>
      </w:r>
      <w:r>
        <w:t xml:space="preserv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Quarter</w:t>
            </w:r>
          </w:p>
        </w:tc>
        <w:tc>
          <w:tcPr/>
          <w:p>
            <w:pPr>
              <w:pStyle w:val="Compact"/>
            </w:pPr>
            <w:r>
              <w:t xml:space="preserve">OTD rate</w:t>
            </w:r>
          </w:p>
        </w:tc>
        <w:tc>
          <w:tcPr/>
          <w:p>
            <w:pPr>
              <w:pStyle w:val="Compact"/>
            </w:pPr>
            <w:r>
              <w:t xml:space="preserve">On-time orders</w:t>
            </w:r>
          </w:p>
        </w:tc>
        <w:tc>
          <w:tcPr/>
          <w:p>
            <w:pPr>
              <w:pStyle w:val="Compact"/>
            </w:pPr>
            <w:r>
              <w:t xml:space="preserve">Total orders</w:t>
            </w:r>
          </w:p>
        </w:tc>
      </w:tr>
      <w:tr>
        <w:tc>
          <w:tcPr/>
          <w:p>
            <w:pPr>
              <w:pStyle w:val="Compact"/>
            </w:pPr>
            <w:r>
              <w:t xml:space="preserve">Q1 2024</w:t>
            </w:r>
          </w:p>
        </w:tc>
        <w:tc>
          <w:tcPr/>
          <w:p>
            <w:pPr>
              <w:pStyle w:val="Compact"/>
            </w:pPr>
            <w:r>
              <w:t xml:space="preserve">92.4%</w:t>
            </w:r>
          </w:p>
        </w:tc>
        <w:tc>
          <w:tcPr/>
          <w:p>
            <w:pPr>
              <w:pStyle w:val="Compact"/>
            </w:pPr>
            <w:r>
              <w:t xml:space="preserve">2,186</w:t>
            </w:r>
          </w:p>
        </w:tc>
        <w:tc>
          <w:tcPr/>
          <w:p>
            <w:pPr>
              <w:pStyle w:val="Compact"/>
            </w:pPr>
            <w:r>
              <w:t xml:space="preserve">2,365</w:t>
            </w:r>
          </w:p>
        </w:tc>
      </w:tr>
      <w:tr>
        <w:tc>
          <w:tcPr/>
          <w:p>
            <w:pPr>
              <w:pStyle w:val="Compact"/>
            </w:pPr>
            <w:r>
              <w:t xml:space="preserve">Q2 2024</w:t>
            </w:r>
          </w:p>
        </w:tc>
        <w:tc>
          <w:tcPr/>
          <w:p>
            <w:pPr>
              <w:pStyle w:val="Compact"/>
            </w:pPr>
            <w:r>
              <w:t xml:space="preserve">91.8%</w:t>
            </w:r>
          </w:p>
        </w:tc>
        <w:tc>
          <w:tcPr/>
          <w:p>
            <w:pPr>
              <w:pStyle w:val="Compact"/>
            </w:pPr>
            <w:r>
              <w:t xml:space="preserve">2,175</w:t>
            </w:r>
          </w:p>
        </w:tc>
        <w:tc>
          <w:tcPr/>
          <w:p>
            <w:pPr>
              <w:pStyle w:val="Compact"/>
            </w:pPr>
            <w:r>
              <w:t xml:space="preserve">2,370</w:t>
            </w:r>
          </w:p>
        </w:tc>
      </w:tr>
      <w:tr>
        <w:tc>
          <w:tcPr/>
          <w:p>
            <w:pPr>
              <w:pStyle w:val="Compact"/>
            </w:pPr>
            <w:r>
              <w:t xml:space="preserve">Q3 2024</w:t>
            </w:r>
          </w:p>
        </w:tc>
        <w:tc>
          <w:tcPr/>
          <w:p>
            <w:pPr>
              <w:pStyle w:val="Compact"/>
            </w:pPr>
            <w:r>
              <w:t xml:space="preserve">91.2%</w:t>
            </w:r>
          </w:p>
        </w:tc>
        <w:tc>
          <w:tcPr/>
          <w:p>
            <w:pPr>
              <w:pStyle w:val="Compact"/>
            </w:pPr>
            <w:r>
              <w:t xml:space="preserve">2,159</w:t>
            </w:r>
          </w:p>
        </w:tc>
        <w:tc>
          <w:tcPr/>
          <w:p>
            <w:pPr>
              <w:pStyle w:val="Compact"/>
            </w:pPr>
            <w:r>
              <w:t xml:space="preserve">2,368</w:t>
            </w:r>
          </w:p>
        </w:tc>
      </w:tr>
      <w:tr>
        <w:tc>
          <w:tcPr/>
          <w:p>
            <w:pPr>
              <w:pStyle w:val="Compact"/>
            </w:pPr>
            <w:r>
              <w:t xml:space="preserve">Q4 2024</w:t>
            </w:r>
          </w:p>
        </w:tc>
        <w:tc>
          <w:tcPr/>
          <w:p>
            <w:pPr>
              <w:pStyle w:val="Compact"/>
            </w:pPr>
            <w:r>
              <w:t xml:space="preserve">90.6%</w:t>
            </w:r>
          </w:p>
        </w:tc>
        <w:tc>
          <w:tcPr/>
          <w:p>
            <w:pPr>
              <w:pStyle w:val="Compact"/>
            </w:pPr>
            <w:r>
              <w:t xml:space="preserve">2,138</w:t>
            </w:r>
          </w:p>
        </w:tc>
        <w:tc>
          <w:tcPr/>
          <w:p>
            <w:pPr>
              <w:pStyle w:val="Compact"/>
            </w:pPr>
            <w:r>
              <w:t xml:space="preserve">2,360</w:t>
            </w:r>
          </w:p>
        </w:tc>
      </w:tr>
      <w:tr>
        <w:tc>
          <w:tcPr/>
          <w:p>
            <w:pPr>
              <w:pStyle w:val="Compact"/>
            </w:pPr>
            <w:r>
              <w:t xml:space="preserve">Q1 2025</w:t>
            </w:r>
          </w:p>
        </w:tc>
        <w:tc>
          <w:tcPr/>
          <w:p>
            <w:pPr>
              <w:pStyle w:val="Compact"/>
            </w:pPr>
            <w:r>
              <w:t xml:space="preserve">91.1%</w:t>
            </w:r>
          </w:p>
        </w:tc>
        <w:tc>
          <w:tcPr/>
          <w:p>
            <w:pPr>
              <w:pStyle w:val="Compact"/>
            </w:pPr>
            <w:r>
              <w:t xml:space="preserve">2,142</w:t>
            </w:r>
          </w:p>
        </w:tc>
        <w:tc>
          <w:tcPr/>
          <w:p>
            <w:pPr>
              <w:pStyle w:val="Compact"/>
            </w:pPr>
            <w:r>
              <w:t xml:space="preserve">2,352</w:t>
            </w:r>
          </w:p>
        </w:tc>
      </w:tr>
      <w:tr>
        <w:tc>
          <w:tcPr/>
          <w:p>
            <w:pPr>
              <w:pStyle w:val="Compact"/>
            </w:pPr>
            <w:r>
              <w:t xml:space="preserve">Q2 2025</w:t>
            </w:r>
          </w:p>
        </w:tc>
        <w:tc>
          <w:tcPr/>
          <w:p>
            <w:pPr>
              <w:pStyle w:val="Compact"/>
            </w:pPr>
            <w:r>
              <w:t xml:space="preserve">88.5%</w:t>
            </w:r>
          </w:p>
        </w:tc>
        <w:tc>
          <w:tcPr/>
          <w:p>
            <w:pPr>
              <w:pStyle w:val="Compact"/>
            </w:pPr>
            <w:r>
              <w:t xml:space="preserve">2,084</w:t>
            </w:r>
          </w:p>
        </w:tc>
        <w:tc>
          <w:tcPr/>
          <w:p>
            <w:pPr>
              <w:pStyle w:val="Compact"/>
            </w:pPr>
            <w:r>
              <w:t xml:space="preserve">2,355</w:t>
            </w:r>
          </w:p>
        </w:tc>
      </w:tr>
      <w:tr>
        <w:tc>
          <w:tcPr/>
          <w:p>
            <w:pPr>
              <w:pStyle w:val="Compact"/>
            </w:pPr>
            <w:r>
              <w:t xml:space="preserve">Q3 2025</w:t>
            </w:r>
          </w:p>
        </w:tc>
        <w:tc>
          <w:tcPr/>
          <w:p>
            <w:pPr>
              <w:pStyle w:val="Compact"/>
            </w:pPr>
            <w:r>
              <w:t xml:space="preserve">89.2%</w:t>
            </w:r>
          </w:p>
        </w:tc>
        <w:tc>
          <w:tcPr/>
          <w:p>
            <w:pPr>
              <w:pStyle w:val="Compact"/>
            </w:pPr>
            <w:r>
              <w:t xml:space="preserve">2,095</w:t>
            </w:r>
          </w:p>
        </w:tc>
        <w:tc>
          <w:tcPr/>
          <w:p>
            <w:pPr>
              <w:pStyle w:val="Compact"/>
            </w:pPr>
            <w:r>
              <w:t xml:space="preserve">2,349</w:t>
            </w:r>
          </w:p>
        </w:tc>
      </w:tr>
      <w:tr>
        <w:tc>
          <w:tcPr/>
          <w:p>
            <w:pPr>
              <w:pStyle w:val="Compact"/>
            </w:pPr>
            <w:r>
              <w:t xml:space="preserve">Q4 2025</w:t>
            </w:r>
          </w:p>
        </w:tc>
        <w:tc>
          <w:tcPr/>
          <w:p>
            <w:pPr>
              <w:pStyle w:val="Compact"/>
            </w:pPr>
            <w:r>
              <w:t xml:space="preserve">90.0%</w:t>
            </w:r>
          </w:p>
        </w:tc>
        <w:tc>
          <w:tcPr/>
          <w:p>
            <w:pPr>
              <w:pStyle w:val="Compact"/>
            </w:pPr>
            <w:r>
              <w:t xml:space="preserve">2,106</w:t>
            </w:r>
          </w:p>
        </w:tc>
        <w:tc>
          <w:tcPr/>
          <w:p>
            <w:pPr>
              <w:pStyle w:val="Compact"/>
            </w:pPr>
            <w:r>
              <w:t xml:space="preserve">2,340</w:t>
            </w:r>
          </w:p>
        </w:tc>
      </w:tr>
    </w:tbl>
    <w:p>
      <w:pPr>
        <w:pStyle w:val="BodyText"/>
      </w:pPr>
      <w:r>
        <w:rPr>
          <w:b/>
          <w:bCs/>
        </w:rPr>
        <w:t xml:space="preserve">Key context.</w:t>
      </w:r>
      <w:r>
        <w:t xml:space="preserve"> </w:t>
      </w:r>
      <w:r>
        <w:t xml:space="preserve">OTD performance has declined 2.4 percentage points from Q1 2024 to Q4 2025. Root cause analysis conducted by the operations team identified that 68% of late deliveries in 2025 were directly attributable to unplanned production downtime. When major equipment failures occur, production schedules are disrupted, causing cascading delays across multiple customer orders.</w:t>
      </w:r>
    </w:p>
    <w:p>
      <w:pPr>
        <w:pStyle w:val="BodyText"/>
      </w:pPr>
      <w:r>
        <w:t xml:space="preserve">The Q2 2025 dip to 88.5% was directly linked to the three major CNC router failures at the North Carolina facility mentioned earlier, which delayed 273 customer orders by 3–14 days.</w:t>
      </w:r>
    </w:p>
    <w:p>
      <w:pPr>
        <w:pStyle w:val="BodyText"/>
      </w:pPr>
      <w:r>
        <w:rPr>
          <w:b/>
          <w:bCs/>
        </w:rPr>
        <w:t xml:space="preserve">Customer impact.</w:t>
      </w:r>
      <w:r>
        <w:t xml:space="preserve"> </w:t>
      </w:r>
      <w:r>
        <w:t xml:space="preserve">PrecisionFurniture’s B2B customers include large retailers and hospitality chains with firm project deadlines. Late deliveries result in:</w:t>
      </w:r>
    </w:p>
    <w:p>
      <w:pPr>
        <w:pStyle w:val="Compact"/>
        <w:numPr>
          <w:ilvl w:val="0"/>
          <w:numId w:val="1002"/>
        </w:numPr>
      </w:pPr>
      <w:r>
        <w:t xml:space="preserve">Contractual penalties (averaging $2,500 per late order for large accounts).</w:t>
      </w:r>
    </w:p>
    <w:p>
      <w:pPr>
        <w:pStyle w:val="Compact"/>
        <w:numPr>
          <w:ilvl w:val="0"/>
          <w:numId w:val="1002"/>
        </w:numPr>
      </w:pPr>
      <w:r>
        <w:t xml:space="preserve">Damaged customer relationships and trust erosion.</w:t>
      </w:r>
    </w:p>
    <w:p>
      <w:pPr>
        <w:pStyle w:val="Compact"/>
        <w:numPr>
          <w:ilvl w:val="0"/>
          <w:numId w:val="1002"/>
        </w:numPr>
      </w:pPr>
      <w:r>
        <w:t xml:space="preserve">Risk of contract non-renewal during annual negotiations.</w:t>
      </w:r>
    </w:p>
    <w:p>
      <w:pPr>
        <w:pStyle w:val="Compact"/>
        <w:numPr>
          <w:ilvl w:val="0"/>
          <w:numId w:val="1002"/>
        </w:numPr>
      </w:pPr>
      <w:r>
        <w:t xml:space="preserve">Lost competitive differentiation in a market where delivery reliability is a primary selection criterion.</w:t>
      </w:r>
    </w:p>
    <w:p>
      <w:pPr>
        <w:pStyle w:val="FirstParagraph"/>
      </w:pPr>
      <w:r>
        <w:rPr>
          <w:b/>
          <w:bCs/>
        </w:rPr>
        <w:t xml:space="preserve">Industry benchmark.</w:t>
      </w:r>
      <w:r>
        <w:t xml:space="preserve"> </w:t>
      </w:r>
      <w:r>
        <w:t xml:space="preserve">Leading B2B furniture manufacturers consistently maintain OTD rates above 95%, with best-in-class organizations achieving 97–98%.</w:t>
      </w:r>
    </w:p>
    <w:bookmarkEnd w:id="25"/>
    <w:bookmarkStart w:id="26" w:name="Xe8b4279a56675e978badeb2f5e1620de9b305f6"/>
    <w:p>
      <w:pPr>
        <w:pStyle w:val="Heading3"/>
      </w:pPr>
      <w:r>
        <w:t xml:space="preserve">Production output loss rate during downtime</w:t>
      </w:r>
    </w:p>
    <w:p>
      <w:pPr>
        <w:pStyle w:val="FirstParagraph"/>
      </w:pPr>
      <w:r>
        <w:rPr>
          <w:b/>
          <w:bCs/>
        </w:rPr>
        <w:t xml:space="preserve">Current baseline (Q4 2025)</w:t>
      </w:r>
      <w:r>
        <w:t xml:space="preserve">: During Q4 2025, unplanned downtime resulted in 28,080 units of lost production across all three facilities. With expected quarterly production of 180,000 units (720,000 annual ÷ 4), this represents a production output loss rate of 15.6% (28,080 ÷ 180,000 × 100).</w:t>
      </w:r>
    </w:p>
    <w:p>
      <w:pPr>
        <w:pStyle w:val="BodyText"/>
      </w:pPr>
      <w:r>
        <w:rPr>
          <w:b/>
          <w:bCs/>
        </w:rPr>
        <w:t xml:space="preserve">Calculation method.</w:t>
      </w:r>
      <w:r>
        <w:t xml:space="preserve"> </w:t>
      </w:r>
      <w:r>
        <w:t xml:space="preserve">Each hour of unplanned downtime results in an average loss of 86.7 units based on standard throughput rates across the facility portfolio. With 324 hours of unplanned downtime in Q4 2025: 324 hours × 86.7 units/hour = 28,080 units lost.</w:t>
      </w:r>
    </w:p>
    <w:p>
      <w:pPr>
        <w:pStyle w:val="BodyText"/>
      </w:pPr>
      <w:r>
        <w:rPr>
          <w:b/>
          <w:bCs/>
        </w:rPr>
        <w:t xml:space="preserve">Historical trend</w:t>
      </w:r>
      <w:r>
        <w:t xml:space="preserv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Quarter</w:t>
            </w:r>
          </w:p>
        </w:tc>
        <w:tc>
          <w:tcPr/>
          <w:p>
            <w:pPr>
              <w:pStyle w:val="Compact"/>
            </w:pPr>
            <w:r>
              <w:t xml:space="preserve">Loss rate</w:t>
            </w:r>
          </w:p>
        </w:tc>
        <w:tc>
          <w:tcPr/>
          <w:p>
            <w:pPr>
              <w:pStyle w:val="Compact"/>
            </w:pPr>
            <w:r>
              <w:t xml:space="preserve">Units lost</w:t>
            </w:r>
          </w:p>
        </w:tc>
        <w:tc>
          <w:tcPr/>
          <w:p>
            <w:pPr>
              <w:pStyle w:val="Compact"/>
            </w:pPr>
            <w:r>
              <w:t xml:space="preserve">Expected quarterly production</w:t>
            </w:r>
          </w:p>
        </w:tc>
      </w:tr>
      <w:tr>
        <w:tc>
          <w:tcPr/>
          <w:p>
            <w:pPr>
              <w:pStyle w:val="Compact"/>
            </w:pPr>
            <w:r>
              <w:t xml:space="preserve">Q1 2024</w:t>
            </w:r>
          </w:p>
        </w:tc>
        <w:tc>
          <w:tcPr/>
          <w:p>
            <w:pPr>
              <w:pStyle w:val="Compact"/>
            </w:pPr>
            <w:r>
              <w:t xml:space="preserve">14.4%</w:t>
            </w:r>
          </w:p>
        </w:tc>
        <w:tc>
          <w:tcPr/>
          <w:p>
            <w:pPr>
              <w:pStyle w:val="Compact"/>
            </w:pPr>
            <w:r>
              <w:t xml:space="preserve">25,092</w:t>
            </w:r>
          </w:p>
        </w:tc>
        <w:tc>
          <w:tcPr/>
          <w:p>
            <w:pPr>
              <w:pStyle w:val="Compact"/>
            </w:pPr>
            <w:r>
              <w:t xml:space="preserve">174,625</w:t>
            </w:r>
          </w:p>
        </w:tc>
      </w:tr>
      <w:tr>
        <w:tc>
          <w:tcPr/>
          <w:p>
            <w:pPr>
              <w:pStyle w:val="Compact"/>
            </w:pPr>
            <w:r>
              <w:t xml:space="preserve">Q2 2024</w:t>
            </w:r>
          </w:p>
        </w:tc>
        <w:tc>
          <w:tcPr/>
          <w:p>
            <w:pPr>
              <w:pStyle w:val="Compact"/>
            </w:pPr>
            <w:r>
              <w:t xml:space="preserve">15.0%</w:t>
            </w:r>
          </w:p>
        </w:tc>
        <w:tc>
          <w:tcPr/>
          <w:p>
            <w:pPr>
              <w:pStyle w:val="Compact"/>
            </w:pPr>
            <w:r>
              <w:t xml:space="preserve">26,198</w:t>
            </w:r>
          </w:p>
        </w:tc>
        <w:tc>
          <w:tcPr/>
          <w:p>
            <w:pPr>
              <w:pStyle w:val="Compact"/>
            </w:pPr>
            <w:r>
              <w:t xml:space="preserve">174,625</w:t>
            </w:r>
          </w:p>
        </w:tc>
      </w:tr>
      <w:tr>
        <w:tc>
          <w:tcPr/>
          <w:p>
            <w:pPr>
              <w:pStyle w:val="Compact"/>
            </w:pPr>
            <w:r>
              <w:t xml:space="preserve">Q3 2024</w:t>
            </w:r>
          </w:p>
        </w:tc>
        <w:tc>
          <w:tcPr/>
          <w:p>
            <w:pPr>
              <w:pStyle w:val="Compact"/>
            </w:pPr>
            <w:r>
              <w:t xml:space="preserve">13.8%</w:t>
            </w:r>
          </w:p>
        </w:tc>
        <w:tc>
          <w:tcPr/>
          <w:p>
            <w:pPr>
              <w:pStyle w:val="Compact"/>
            </w:pPr>
            <w:r>
              <w:t xml:space="preserve">24,098</w:t>
            </w:r>
          </w:p>
        </w:tc>
        <w:tc>
          <w:tcPr/>
          <w:p>
            <w:pPr>
              <w:pStyle w:val="Compact"/>
            </w:pPr>
            <w:r>
              <w:t xml:space="preserve">174,625</w:t>
            </w:r>
          </w:p>
        </w:tc>
      </w:tr>
      <w:tr>
        <w:tc>
          <w:tcPr/>
          <w:p>
            <w:pPr>
              <w:pStyle w:val="Compact"/>
            </w:pPr>
            <w:r>
              <w:t xml:space="preserve">Q4 2024</w:t>
            </w:r>
          </w:p>
        </w:tc>
        <w:tc>
          <w:tcPr/>
          <w:p>
            <w:pPr>
              <w:pStyle w:val="Compact"/>
            </w:pPr>
            <w:r>
              <w:t xml:space="preserve">14.7%</w:t>
            </w:r>
          </w:p>
        </w:tc>
        <w:tc>
          <w:tcPr/>
          <w:p>
            <w:pPr>
              <w:pStyle w:val="Compact"/>
            </w:pPr>
            <w:r>
              <w:t xml:space="preserve">25,670</w:t>
            </w:r>
          </w:p>
        </w:tc>
        <w:tc>
          <w:tcPr/>
          <w:p>
            <w:pPr>
              <w:pStyle w:val="Compact"/>
            </w:pPr>
            <w:r>
              <w:t xml:space="preserve">174,625</w:t>
            </w:r>
          </w:p>
        </w:tc>
      </w:tr>
      <w:tr>
        <w:tc>
          <w:tcPr/>
          <w:p>
            <w:pPr>
              <w:pStyle w:val="Compact"/>
            </w:pPr>
            <w:r>
              <w:t xml:space="preserve">Q1 2025</w:t>
            </w:r>
          </w:p>
        </w:tc>
        <w:tc>
          <w:tcPr/>
          <w:p>
            <w:pPr>
              <w:pStyle w:val="Compact"/>
            </w:pPr>
            <w:r>
              <w:t xml:space="preserve">15.3%</w:t>
            </w:r>
          </w:p>
        </w:tc>
        <w:tc>
          <w:tcPr/>
          <w:p>
            <w:pPr>
              <w:pStyle w:val="Compact"/>
            </w:pPr>
            <w:r>
              <w:t xml:space="preserve">27,540</w:t>
            </w:r>
          </w:p>
        </w:tc>
        <w:tc>
          <w:tcPr/>
          <w:p>
            <w:pPr>
              <w:pStyle w:val="Compact"/>
            </w:pPr>
            <w:r>
              <w:t xml:space="preserve">180,000</w:t>
            </w:r>
          </w:p>
        </w:tc>
      </w:tr>
      <w:tr>
        <w:tc>
          <w:tcPr/>
          <w:p>
            <w:pPr>
              <w:pStyle w:val="Compact"/>
            </w:pPr>
            <w:r>
              <w:t xml:space="preserve">Q2 2025</w:t>
            </w:r>
          </w:p>
        </w:tc>
        <w:tc>
          <w:tcPr/>
          <w:p>
            <w:pPr>
              <w:pStyle w:val="Compact"/>
            </w:pPr>
            <w:r>
              <w:t xml:space="preserve">16.5%</w:t>
            </w:r>
          </w:p>
        </w:tc>
        <w:tc>
          <w:tcPr/>
          <w:p>
            <w:pPr>
              <w:pStyle w:val="Compact"/>
            </w:pPr>
            <w:r>
              <w:t xml:space="preserve">29,700</w:t>
            </w:r>
          </w:p>
        </w:tc>
        <w:tc>
          <w:tcPr/>
          <w:p>
            <w:pPr>
              <w:pStyle w:val="Compact"/>
            </w:pPr>
            <w:r>
              <w:t xml:space="preserve">180,000</w:t>
            </w:r>
          </w:p>
        </w:tc>
      </w:tr>
      <w:tr>
        <w:tc>
          <w:tcPr/>
          <w:p>
            <w:pPr>
              <w:pStyle w:val="Compact"/>
            </w:pPr>
            <w:r>
              <w:t xml:space="preserve">Q3 2025</w:t>
            </w:r>
          </w:p>
        </w:tc>
        <w:tc>
          <w:tcPr/>
          <w:p>
            <w:pPr>
              <w:pStyle w:val="Compact"/>
            </w:pPr>
            <w:r>
              <w:t xml:space="preserve">16.2%</w:t>
            </w:r>
          </w:p>
        </w:tc>
        <w:tc>
          <w:tcPr/>
          <w:p>
            <w:pPr>
              <w:pStyle w:val="Compact"/>
            </w:pPr>
            <w:r>
              <w:t xml:space="preserve">29,160</w:t>
            </w:r>
          </w:p>
        </w:tc>
        <w:tc>
          <w:tcPr/>
          <w:p>
            <w:pPr>
              <w:pStyle w:val="Compact"/>
            </w:pPr>
            <w:r>
              <w:t xml:space="preserve">180,000</w:t>
            </w:r>
          </w:p>
        </w:tc>
      </w:tr>
      <w:tr>
        <w:tc>
          <w:tcPr/>
          <w:p>
            <w:pPr>
              <w:pStyle w:val="Compact"/>
            </w:pPr>
            <w:r>
              <w:t xml:space="preserve">Q4 2025</w:t>
            </w:r>
          </w:p>
        </w:tc>
        <w:tc>
          <w:tcPr/>
          <w:p>
            <w:pPr>
              <w:pStyle w:val="Compact"/>
            </w:pPr>
            <w:r>
              <w:t xml:space="preserve">15.6%</w:t>
            </w:r>
          </w:p>
        </w:tc>
        <w:tc>
          <w:tcPr/>
          <w:p>
            <w:pPr>
              <w:pStyle w:val="Compact"/>
            </w:pPr>
            <w:r>
              <w:t xml:space="preserve">28,080</w:t>
            </w:r>
          </w:p>
        </w:tc>
        <w:tc>
          <w:tcPr/>
          <w:p>
            <w:pPr>
              <w:pStyle w:val="Compact"/>
            </w:pPr>
            <w:r>
              <w:t xml:space="preserve">180,000</w:t>
            </w:r>
          </w:p>
        </w:tc>
      </w:tr>
    </w:tbl>
    <w:p>
      <w:pPr>
        <w:pStyle w:val="BodyText"/>
      </w:pPr>
      <w:r>
        <w:rPr>
          <w:b/>
          <w:bCs/>
        </w:rPr>
        <w:t xml:space="preserve">Key context.</w:t>
      </w:r>
      <w:r>
        <w:t xml:space="preserve"> </w:t>
      </w:r>
      <w:r>
        <w:t xml:space="preserve">Production output loss directly translates to revenue exposure, as units not produced cannot fulfill customer orders. At an average unit revenue of $250 and contribution margin of 46%, each hour of downtime represents:</w:t>
      </w:r>
    </w:p>
    <w:p>
      <w:pPr>
        <w:pStyle w:val="Compact"/>
        <w:numPr>
          <w:ilvl w:val="0"/>
          <w:numId w:val="1003"/>
        </w:numPr>
      </w:pPr>
      <w:r>
        <w:rPr>
          <w:b/>
          <w:bCs/>
        </w:rPr>
        <w:t xml:space="preserve">Revenue impact</w:t>
      </w:r>
      <w:r>
        <w:t xml:space="preserve">: 86.7 units × $250 =</w:t>
      </w:r>
      <w:r>
        <w:t xml:space="preserve"> </w:t>
      </w:r>
      <w:r>
        <w:rPr>
          <w:b/>
          <w:bCs/>
        </w:rPr>
        <w:t xml:space="preserve">$21,675 per hour</w:t>
      </w:r>
      <w:r>
        <w:t xml:space="preserve">.</w:t>
      </w:r>
    </w:p>
    <w:p>
      <w:pPr>
        <w:pStyle w:val="Compact"/>
        <w:numPr>
          <w:ilvl w:val="0"/>
          <w:numId w:val="1003"/>
        </w:numPr>
      </w:pPr>
      <w:r>
        <w:rPr>
          <w:b/>
          <w:bCs/>
        </w:rPr>
        <w:t xml:space="preserve">Contribution margin impact</w:t>
      </w:r>
      <w:r>
        <w:t xml:space="preserve">: $21,675 × 46% =</w:t>
      </w:r>
      <w:r>
        <w:t xml:space="preserve"> </w:t>
      </w:r>
      <w:r>
        <w:rPr>
          <w:b/>
          <w:bCs/>
        </w:rPr>
        <w:t xml:space="preserve">$9,971 per hour</w:t>
      </w:r>
      <w:r>
        <w:t xml:space="preserve">.</w:t>
      </w:r>
    </w:p>
    <w:p>
      <w:pPr>
        <w:pStyle w:val="FirstParagraph"/>
      </w:pPr>
      <w:r>
        <w:t xml:space="preserve">This production loss rate serves as a reliable upstream proxy for the original Revenue at Risk from Downtime Events metric, capturing the operational driver of revenue exposure without requiring complex ERP integration to link downtime events to specific customer orders.</w:t>
      </w:r>
    </w:p>
    <w:p>
      <w:pPr>
        <w:pStyle w:val="BodyText"/>
      </w:pPr>
      <w:r>
        <w:rPr>
          <w:b/>
          <w:bCs/>
        </w:rPr>
        <w:t xml:space="preserve">Target context.</w:t>
      </w:r>
      <w:r>
        <w:t xml:space="preserve"> </w:t>
      </w:r>
      <w:r>
        <w:t xml:space="preserve">Reducing production output loss during downtime protects revenue capacity and enables the company to fulfill more customer commitments, directly supporting the OTD rate improvement objective.</w:t>
      </w:r>
    </w:p>
    <w:bookmarkEnd w:id="26"/>
    <w:bookmarkStart w:id="27" w:name="order-fulfillment-cycle-time"/>
    <w:p>
      <w:pPr>
        <w:pStyle w:val="Heading3"/>
      </w:pPr>
      <w:r>
        <w:t xml:space="preserve">Order fulfillment cycle time</w:t>
      </w:r>
    </w:p>
    <w:p>
      <w:pPr>
        <w:pStyle w:val="FirstParagraph"/>
      </w:pPr>
      <w:r>
        <w:rPr>
          <w:b/>
          <w:bCs/>
        </w:rPr>
        <w:t xml:space="preserve">Current baseline (Q4 2025)</w:t>
      </w:r>
      <w:r>
        <w:t xml:space="preserve">: The average time from order confirmation to customer delivery during Q4 2025 was 18.7 days across 2,340 orders delivered.</w:t>
      </w:r>
    </w:p>
    <w:p>
      <w:pPr>
        <w:pStyle w:val="BodyText"/>
      </w:pPr>
      <w:r>
        <w:rPr>
          <w:b/>
          <w:bCs/>
        </w:rPr>
        <w:t xml:space="preserve">Historical trend</w:t>
      </w:r>
      <w:r>
        <w:t xml:space="preserv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Quarter</w:t>
            </w:r>
          </w:p>
        </w:tc>
        <w:tc>
          <w:tcPr/>
          <w:p>
            <w:pPr>
              <w:pStyle w:val="Compact"/>
            </w:pPr>
            <w:r>
              <w:t xml:space="preserve">Cycle time (days)</w:t>
            </w:r>
          </w:p>
        </w:tc>
      </w:tr>
      <w:tr>
        <w:tc>
          <w:tcPr/>
          <w:p>
            <w:pPr>
              <w:pStyle w:val="Compact"/>
            </w:pPr>
            <w:r>
              <w:t xml:space="preserve">Q1 2024</w:t>
            </w:r>
          </w:p>
        </w:tc>
        <w:tc>
          <w:tcPr/>
          <w:p>
            <w:pPr>
              <w:pStyle w:val="Compact"/>
            </w:pPr>
            <w:r>
              <w:t xml:space="preserve">17.2</w:t>
            </w:r>
          </w:p>
        </w:tc>
      </w:tr>
      <w:tr>
        <w:tc>
          <w:tcPr/>
          <w:p>
            <w:pPr>
              <w:pStyle w:val="Compact"/>
            </w:pPr>
            <w:r>
              <w:t xml:space="preserve">Q2 2024</w:t>
            </w:r>
          </w:p>
        </w:tc>
        <w:tc>
          <w:tcPr/>
          <w:p>
            <w:pPr>
              <w:pStyle w:val="Compact"/>
            </w:pPr>
            <w:r>
              <w:t xml:space="preserve">17.6</w:t>
            </w:r>
          </w:p>
        </w:tc>
      </w:tr>
      <w:tr>
        <w:tc>
          <w:tcPr/>
          <w:p>
            <w:pPr>
              <w:pStyle w:val="Compact"/>
            </w:pPr>
            <w:r>
              <w:t xml:space="preserve">Q3 2024</w:t>
            </w:r>
          </w:p>
        </w:tc>
        <w:tc>
          <w:tcPr/>
          <w:p>
            <w:pPr>
              <w:pStyle w:val="Compact"/>
            </w:pPr>
            <w:r>
              <w:t xml:space="preserve">17.8</w:t>
            </w:r>
          </w:p>
        </w:tc>
      </w:tr>
      <w:tr>
        <w:tc>
          <w:tcPr/>
          <w:p>
            <w:pPr>
              <w:pStyle w:val="Compact"/>
            </w:pPr>
            <w:r>
              <w:t xml:space="preserve">Q4 2024</w:t>
            </w:r>
          </w:p>
        </w:tc>
        <w:tc>
          <w:tcPr/>
          <w:p>
            <w:pPr>
              <w:pStyle w:val="Compact"/>
            </w:pPr>
            <w:r>
              <w:t xml:space="preserve">18.1</w:t>
            </w:r>
          </w:p>
        </w:tc>
      </w:tr>
      <w:tr>
        <w:tc>
          <w:tcPr/>
          <w:p>
            <w:pPr>
              <w:pStyle w:val="Compact"/>
            </w:pPr>
            <w:r>
              <w:t xml:space="preserve">Q1 2025</w:t>
            </w:r>
          </w:p>
        </w:tc>
        <w:tc>
          <w:tcPr/>
          <w:p>
            <w:pPr>
              <w:pStyle w:val="Compact"/>
            </w:pPr>
            <w:r>
              <w:t xml:space="preserve">18.0</w:t>
            </w:r>
          </w:p>
        </w:tc>
      </w:tr>
      <w:tr>
        <w:tc>
          <w:tcPr/>
          <w:p>
            <w:pPr>
              <w:pStyle w:val="Compact"/>
            </w:pPr>
            <w:r>
              <w:t xml:space="preserve">Q2 2025</w:t>
            </w:r>
          </w:p>
        </w:tc>
        <w:tc>
          <w:tcPr/>
          <w:p>
            <w:pPr>
              <w:pStyle w:val="Compact"/>
            </w:pPr>
            <w:r>
              <w:t xml:space="preserve">19.8</w:t>
            </w:r>
          </w:p>
        </w:tc>
      </w:tr>
      <w:tr>
        <w:tc>
          <w:tcPr/>
          <w:p>
            <w:pPr>
              <w:pStyle w:val="Compact"/>
            </w:pPr>
            <w:r>
              <w:t xml:space="preserve">Q3 2025</w:t>
            </w:r>
          </w:p>
        </w:tc>
        <w:tc>
          <w:tcPr/>
          <w:p>
            <w:pPr>
              <w:pStyle w:val="Compact"/>
            </w:pPr>
            <w:r>
              <w:t xml:space="preserve">19.2</w:t>
            </w:r>
          </w:p>
        </w:tc>
      </w:tr>
      <w:tr>
        <w:tc>
          <w:tcPr/>
          <w:p>
            <w:pPr>
              <w:pStyle w:val="Compact"/>
            </w:pPr>
            <w:r>
              <w:t xml:space="preserve">Q4 2025</w:t>
            </w:r>
          </w:p>
        </w:tc>
        <w:tc>
          <w:tcPr/>
          <w:p>
            <w:pPr>
              <w:pStyle w:val="Compact"/>
            </w:pPr>
            <w:r>
              <w:t xml:space="preserve">18.7</w:t>
            </w:r>
          </w:p>
        </w:tc>
      </w:tr>
    </w:tbl>
    <w:p>
      <w:pPr>
        <w:pStyle w:val="BodyText"/>
      </w:pPr>
      <w:r>
        <w:rPr>
          <w:b/>
          <w:bCs/>
        </w:rPr>
        <w:t xml:space="preserve">Key context.</w:t>
      </w:r>
      <w:r>
        <w:t xml:space="preserve"> </w:t>
      </w:r>
      <w:r>
        <w:t xml:space="preserve">Order fulfillment cycle time has increased by 8.7% (1.5 days) from Q1 2024 to Q4 2025. Analysis shows that production disruptions from unplanned downtime account for approximately 40% of this increase, with the remainder driven by increased volume per order and supply chain delays.</w:t>
      </w:r>
    </w:p>
    <w:p>
      <w:pPr>
        <w:pStyle w:val="BodyText"/>
      </w:pPr>
      <w:r>
        <w:t xml:space="preserve">When unplanned equipment failures occur, production schedules must be reconfigured, causing ripple effects across multiple orders in the queue. Orders already in production may be paused, and new orders experience delayed start times while maintenance teams address failures.</w:t>
      </w:r>
    </w:p>
    <w:p>
      <w:pPr>
        <w:pStyle w:val="BodyText"/>
      </w:pPr>
      <w:r>
        <w:rPr>
          <w:b/>
          <w:bCs/>
        </w:rPr>
        <w:t xml:space="preserve">Customer expectations.</w:t>
      </w:r>
      <w:r>
        <w:t xml:space="preserve"> </w:t>
      </w:r>
      <w:r>
        <w:t xml:space="preserve">PrecisionFurniture’s standard lead time promise is 21 days for custom orders and 14 days for standard catalog items. The company has mostly maintained these commitments, but the number of broken SLAs has increased in recent times. Internal operations teams are concerned that continued cycle time increases will eventually force lead time extensions, reducing competitive positioning.</w:t>
      </w:r>
    </w:p>
    <w:p>
      <w:pPr>
        <w:pStyle w:val="BodyText"/>
      </w:pPr>
      <w:r>
        <w:rPr>
          <w:b/>
          <w:bCs/>
        </w:rPr>
        <w:t xml:space="preserve">Competitive context.</w:t>
      </w:r>
      <w:r>
        <w:t xml:space="preserve"> </w:t>
      </w:r>
      <w:r>
        <w:t xml:space="preserve">Two major competitors have recently invested in manufacturing automation and predictive maintenance, enabling them to offer 16-day and 17-day standard lead times respectively. PrecisionFurniture risks losing competitive bids if cycle time trends continue to worsen.</w:t>
      </w:r>
    </w:p>
    <w:bookmarkEnd w:id="27"/>
    <w:bookmarkEnd w:id="28"/>
    <w:bookmarkStart w:id="31" w:name="decision-making-context"/>
    <w:p>
      <w:pPr>
        <w:pStyle w:val="Heading2"/>
      </w:pPr>
      <w:r>
        <w:t xml:space="preserve">Decision-making context</w:t>
      </w:r>
    </w:p>
    <w:p>
      <w:pPr>
        <w:pStyle w:val="FirstParagraph"/>
      </w:pPr>
      <w:r>
        <w:t xml:space="preserve">The historical performance data reveals clear deterioration across operational efficiency and revenue-oriented metrics over the past two years. Equipment is aging, production demands are increasing, and the fixed-interval preventive maintenance approach is proving inadequate to prevent failures.</w:t>
      </w:r>
    </w:p>
    <w:bookmarkStart w:id="29" w:name="key-decision-making-insights"/>
    <w:p>
      <w:pPr>
        <w:pStyle w:val="Heading3"/>
      </w:pPr>
      <w:r>
        <w:t xml:space="preserve">Key decision-making insights</w:t>
      </w:r>
    </w:p>
    <w:p>
      <w:pPr>
        <w:pStyle w:val="Compact"/>
        <w:numPr>
          <w:ilvl w:val="0"/>
          <w:numId w:val="1004"/>
        </w:numPr>
      </w:pPr>
      <w:r>
        <w:rPr>
          <w:b/>
          <w:bCs/>
        </w:rPr>
        <w:t xml:space="preserve">Unplanned downtime rate (2.8%)</w:t>
      </w:r>
      <w:r>
        <w:t xml:space="preserve"> </w:t>
      </w:r>
      <w:r>
        <w:t xml:space="preserve">is nearly double the industry best-practice level of 1.5%, representing significant opportunity for improvement.</w:t>
      </w:r>
    </w:p>
    <w:p>
      <w:pPr>
        <w:pStyle w:val="Compact"/>
        <w:numPr>
          <w:ilvl w:val="0"/>
          <w:numId w:val="1004"/>
        </w:numPr>
      </w:pPr>
      <w:r>
        <w:rPr>
          <w:b/>
          <w:bCs/>
        </w:rPr>
        <w:t xml:space="preserve">MTBF (4,114 hours)</w:t>
      </w:r>
      <w:r>
        <w:t xml:space="preserve"> </w:t>
      </w:r>
      <w:r>
        <w:t xml:space="preserve">has declined 12% from two years ago and remains 32% below best-in-class benchmarks of 6,000+ hours.</w:t>
      </w:r>
    </w:p>
    <w:p>
      <w:pPr>
        <w:pStyle w:val="Compact"/>
        <w:numPr>
          <w:ilvl w:val="0"/>
          <w:numId w:val="1004"/>
        </w:numPr>
      </w:pPr>
      <w:r>
        <w:rPr>
          <w:b/>
          <w:bCs/>
        </w:rPr>
        <w:t xml:space="preserve">Maintenance cost per unit ($12.00)</w:t>
      </w:r>
      <w:r>
        <w:t xml:space="preserve"> </w:t>
      </w:r>
      <w:r>
        <w:t xml:space="preserve">has increased 10.6% over two years and is 14–26% above industry norms, driven primarily by emergency repair costs.</w:t>
      </w:r>
    </w:p>
    <w:p>
      <w:pPr>
        <w:pStyle w:val="Compact"/>
        <w:numPr>
          <w:ilvl w:val="0"/>
          <w:numId w:val="1004"/>
        </w:numPr>
      </w:pPr>
      <w:r>
        <w:rPr>
          <w:b/>
          <w:bCs/>
        </w:rPr>
        <w:t xml:space="preserve">Emergency work order rate (15.0%)</w:t>
      </w:r>
      <w:r>
        <w:t xml:space="preserve"> </w:t>
      </w:r>
      <w:r>
        <w:t xml:space="preserve">is nearly double the target level achieved by organizations with mature predictive maintenance programs (below 8%).</w:t>
      </w:r>
    </w:p>
    <w:p>
      <w:pPr>
        <w:pStyle w:val="Compact"/>
        <w:numPr>
          <w:ilvl w:val="0"/>
          <w:numId w:val="1004"/>
        </w:numPr>
      </w:pPr>
      <w:r>
        <w:rPr>
          <w:b/>
          <w:bCs/>
        </w:rPr>
        <w:t xml:space="preserve">OTD rate (90.0%)</w:t>
      </w:r>
      <w:r>
        <w:t xml:space="preserve"> </w:t>
      </w:r>
      <w:r>
        <w:t xml:space="preserve">has declined 2.4 percentage points, with 68% of late deliveries directly caused by unplanned downtime. This falls short of the 95%+ rates maintained by leading competitors.</w:t>
      </w:r>
    </w:p>
    <w:p>
      <w:pPr>
        <w:pStyle w:val="Compact"/>
        <w:numPr>
          <w:ilvl w:val="0"/>
          <w:numId w:val="1004"/>
        </w:numPr>
      </w:pPr>
      <w:r>
        <w:rPr>
          <w:b/>
          <w:bCs/>
        </w:rPr>
        <w:t xml:space="preserve">Production output loss rate (15.6%)</w:t>
      </w:r>
      <w:r>
        <w:t xml:space="preserve"> </w:t>
      </w:r>
      <w:r>
        <w:t xml:space="preserve">translates to approximately $9,971 per hour in lost contribution margin, totaling over $3.2M in lost margin opportunity during Q4 2025 alone.</w:t>
      </w:r>
    </w:p>
    <w:p>
      <w:pPr>
        <w:pStyle w:val="Compact"/>
        <w:numPr>
          <w:ilvl w:val="0"/>
          <w:numId w:val="1004"/>
        </w:numPr>
      </w:pPr>
      <w:r>
        <w:rPr>
          <w:b/>
          <w:bCs/>
        </w:rPr>
        <w:t xml:space="preserve">Order fulfillment cycle time (18.7 days)</w:t>
      </w:r>
      <w:r>
        <w:t xml:space="preserve"> </w:t>
      </w:r>
      <w:r>
        <w:t xml:space="preserve">has increased 8.7%, with 40% of the increase attributable to production disruptions from equipment failures.</w:t>
      </w:r>
    </w:p>
    <w:bookmarkEnd w:id="29"/>
    <w:bookmarkStart w:id="30" w:name="improvement-target-context"/>
    <w:p>
      <w:pPr>
        <w:pStyle w:val="Heading3"/>
      </w:pPr>
      <w:r>
        <w:t xml:space="preserve">Improvement target context</w:t>
      </w:r>
    </w:p>
    <w:p>
      <w:pPr>
        <w:pStyle w:val="FirstParagraph"/>
      </w:pPr>
      <w:r>
        <w:t xml:space="preserve">Based on industry benchmarks and pilot data from similar manufacturers implementing predictive maintenance:</w:t>
      </w:r>
    </w:p>
    <w:p>
      <w:pPr>
        <w:pStyle w:val="Compact"/>
        <w:numPr>
          <w:ilvl w:val="0"/>
          <w:numId w:val="1005"/>
        </w:numPr>
      </w:pPr>
      <w:r>
        <w:t xml:space="preserve">Unplanned downtime reduction of</w:t>
      </w:r>
      <w:r>
        <w:t xml:space="preserve"> </w:t>
      </w:r>
      <w:r>
        <w:rPr>
          <w:b/>
          <w:bCs/>
        </w:rPr>
        <w:t xml:space="preserve">50–65%</w:t>
      </w:r>
      <w:r>
        <w:t xml:space="preserve"> </w:t>
      </w:r>
      <w:r>
        <w:t xml:space="preserve">is achievable within 12–18 months.</w:t>
      </w:r>
    </w:p>
    <w:p>
      <w:pPr>
        <w:pStyle w:val="Compact"/>
        <w:numPr>
          <w:ilvl w:val="0"/>
          <w:numId w:val="1005"/>
        </w:numPr>
      </w:pPr>
      <w:r>
        <w:t xml:space="preserve">MTBF improvement of</w:t>
      </w:r>
      <w:r>
        <w:t xml:space="preserve"> </w:t>
      </w:r>
      <w:r>
        <w:rPr>
          <w:b/>
          <w:bCs/>
        </w:rPr>
        <w:t xml:space="preserve">35–45%</w:t>
      </w:r>
      <w:r>
        <w:t xml:space="preserve"> </w:t>
      </w:r>
      <w:r>
        <w:t xml:space="preserve">is realistic as condition-based maintenance prevents premature failures.</w:t>
      </w:r>
    </w:p>
    <w:p>
      <w:pPr>
        <w:pStyle w:val="Compact"/>
        <w:numPr>
          <w:ilvl w:val="0"/>
          <w:numId w:val="1005"/>
        </w:numPr>
      </w:pPr>
      <w:r>
        <w:t xml:space="preserve">Maintenance cost reductions of</w:t>
      </w:r>
      <w:r>
        <w:t xml:space="preserve"> </w:t>
      </w:r>
      <w:r>
        <w:rPr>
          <w:b/>
          <w:bCs/>
        </w:rPr>
        <w:t xml:space="preserve">20–30%</w:t>
      </w:r>
      <w:r>
        <w:t xml:space="preserve"> </w:t>
      </w:r>
      <w:r>
        <w:t xml:space="preserve">are documented in peer case studies.</w:t>
      </w:r>
    </w:p>
    <w:p>
      <w:pPr>
        <w:pStyle w:val="Compact"/>
        <w:numPr>
          <w:ilvl w:val="0"/>
          <w:numId w:val="1005"/>
        </w:numPr>
      </w:pPr>
      <w:r>
        <w:t xml:space="preserve">Emergency work order rates</w:t>
      </w:r>
      <w:r>
        <w:t xml:space="preserve"> </w:t>
      </w:r>
      <w:r>
        <w:rPr>
          <w:b/>
          <w:bCs/>
        </w:rPr>
        <w:t xml:space="preserve">below 8%</w:t>
      </w:r>
      <w:r>
        <w:t xml:space="preserve"> </w:t>
      </w:r>
      <w:r>
        <w:t xml:space="preserve">are standard for mature predictive maintenance programs.</w:t>
      </w:r>
    </w:p>
    <w:p>
      <w:pPr>
        <w:pStyle w:val="Compact"/>
        <w:numPr>
          <w:ilvl w:val="0"/>
          <w:numId w:val="1005"/>
        </w:numPr>
      </w:pPr>
      <w:r>
        <w:t xml:space="preserve">OTD rate improvement to</w:t>
      </w:r>
      <w:r>
        <w:t xml:space="preserve"> </w:t>
      </w:r>
      <w:r>
        <w:rPr>
          <w:b/>
          <w:bCs/>
        </w:rPr>
        <w:t xml:space="preserve">94–96%</w:t>
      </w:r>
      <w:r>
        <w:t xml:space="preserve"> </w:t>
      </w:r>
      <w:r>
        <w:t xml:space="preserve">is feasible by eliminating downtime-related delivery delays.</w:t>
      </w:r>
    </w:p>
    <w:p>
      <w:pPr>
        <w:pStyle w:val="FirstParagraph"/>
      </w:pPr>
      <w:r>
        <w:t xml:space="preserve">These performance trends and benchmarks provide the foundation for quantifying the business value potential of the proposed AI-driven predictive maintenance initiative.</w:t>
      </w:r>
    </w:p>
    <w:p>
      <w:r>
        <w:pict>
          <v:rect style="width:0;height:1.5pt" o:hralign="center" o:hrstd="t" o:hr="t"/>
        </w:pict>
      </w:r>
    </w:p>
    <w:p>
      <w:pPr>
        <w:pStyle w:val="FirstParagraph"/>
      </w:pPr>
      <w:r>
        <w:rPr>
          <w:i/>
          <w:iCs/>
        </w:rPr>
        <w:t xml:space="preserve">6 March 2026 — Team — Scenario: Manufacturing company — Storyline</w:t>
      </w:r>
    </w:p>
    <w:p>
      <w:pPr>
        <w:pStyle w:val="BodyText"/>
      </w:pPr>
      <w:r>
        <w:rPr>
          <w:i/>
          <w:iCs/>
        </w:rPr>
        <w:t xml:space="preserve">Amazon Confidential</w:t>
      </w:r>
    </w:p>
    <w:bookmarkEnd w:id="30"/>
    <w:bookmarkEnd w:id="31"/>
    <w:bookmarkEnd w:id="3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2026-05-18T22:22:19Z</dcterms:created>
  <dcterms:modified xsi:type="dcterms:W3CDTF">2026-05-18T22:22:19Z</dcterms:modified>
</cp:coreProperties>
</file>

<file path=docProps/custom.xml><?xml version="1.0" encoding="utf-8"?>
<Properties xmlns="http://schemas.openxmlformats.org/officeDocument/2006/custom-properties" xmlns:vt="http://schemas.openxmlformats.org/officeDocument/2006/docPropsVTypes"/>
</file>