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1E80" w:rsidRPr="00C71E80" w:rsidRDefault="00C71E80" w:rsidP="00C71E80">
      <w:pPr>
        <w:pStyle w:val="Ttulo1"/>
        <w:jc w:val="both"/>
        <w:rPr>
          <w:rFonts w:ascii="Calibri" w:hAnsi="Calibri" w:cs="Calibri"/>
          <w:b/>
          <w:sz w:val="28"/>
          <w:szCs w:val="22"/>
        </w:rPr>
      </w:pPr>
      <w:bookmarkStart w:id="0" w:name="Xf39a539201bb461aeb2275e6827c465e5c91678"/>
      <w:r w:rsidRPr="00C71E80">
        <w:rPr>
          <w:rFonts w:ascii="Calibri" w:hAnsi="Calibri" w:cs="Calibri"/>
          <w:b/>
          <w:sz w:val="28"/>
          <w:szCs w:val="22"/>
        </w:rPr>
        <w:t xml:space="preserve">Relevamiento de la fuente </w:t>
      </w:r>
    </w:p>
    <w:p w:rsidR="00474A6F" w:rsidRPr="00C71E80" w:rsidRDefault="00C71E80" w:rsidP="00C71E80">
      <w:pPr>
        <w:pStyle w:val="Textoindependiente"/>
        <w:jc w:val="both"/>
        <w:rPr>
          <w:rFonts w:ascii="Calibri" w:eastAsiaTheme="majorEastAsia" w:hAnsi="Calibri" w:cs="Calibri"/>
          <w:color w:val="0F4761" w:themeColor="accent1" w:themeShade="BF"/>
          <w:sz w:val="28"/>
          <w:szCs w:val="22"/>
        </w:rPr>
      </w:pPr>
      <w:r w:rsidRPr="00C71E80">
        <w:rPr>
          <w:rFonts w:ascii="Calibri" w:eastAsiaTheme="majorEastAsia" w:hAnsi="Calibri" w:cs="Calibri"/>
          <w:color w:val="0F4761" w:themeColor="accent1" w:themeShade="BF"/>
          <w:sz w:val="28"/>
          <w:szCs w:val="22"/>
        </w:rPr>
        <w:t xml:space="preserve">Partidos vigentes - </w:t>
      </w:r>
      <w:r w:rsidR="00F51DE1" w:rsidRPr="00C71E80">
        <w:rPr>
          <w:rFonts w:ascii="Calibri" w:eastAsiaTheme="majorEastAsia" w:hAnsi="Calibri" w:cs="Calibri"/>
          <w:color w:val="0F4761" w:themeColor="accent1" w:themeShade="BF"/>
          <w:sz w:val="28"/>
          <w:szCs w:val="22"/>
        </w:rPr>
        <w:t xml:space="preserve">Registro Nacional de </w:t>
      </w:r>
      <w:r w:rsidRPr="00C71E80">
        <w:rPr>
          <w:rFonts w:ascii="Calibri" w:eastAsiaTheme="majorEastAsia" w:hAnsi="Calibri" w:cs="Calibri"/>
          <w:color w:val="0F4761" w:themeColor="accent1" w:themeShade="BF"/>
          <w:sz w:val="28"/>
          <w:szCs w:val="22"/>
        </w:rPr>
        <w:t xml:space="preserve">Argupaciones  Políticas </w:t>
      </w:r>
      <w:r w:rsidR="00F51DE1" w:rsidRPr="00C71E80">
        <w:rPr>
          <w:rFonts w:ascii="Calibri" w:eastAsiaTheme="majorEastAsia" w:hAnsi="Calibri" w:cs="Calibri"/>
          <w:color w:val="0F4761" w:themeColor="accent1" w:themeShade="BF"/>
          <w:sz w:val="28"/>
          <w:szCs w:val="22"/>
        </w:rPr>
        <w:t>(CNE)</w:t>
      </w:r>
    </w:p>
    <w:p w:rsidR="00474A6F" w:rsidRPr="00C71E80" w:rsidRDefault="00F51DE1" w:rsidP="00C71E80">
      <w:pPr>
        <w:pStyle w:val="FirstParagraph"/>
        <w:jc w:val="both"/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>Este documento describe la fuente tal como llega, antes de cualquier transformación. Las decisiones de limpieza derivadas viven en la capa staging de dbt.</w:t>
      </w:r>
    </w:p>
    <w:p w:rsidR="00474A6F" w:rsidRPr="00C71E80" w:rsidRDefault="00F51DE1">
      <w:pPr>
        <w:pStyle w:val="Ttulo2"/>
        <w:rPr>
          <w:rFonts w:ascii="Calibri" w:hAnsi="Calibri" w:cs="Calibri"/>
          <w:sz w:val="22"/>
          <w:szCs w:val="22"/>
        </w:rPr>
      </w:pPr>
      <w:bookmarkStart w:id="1" w:name="formato-de-la-fuente"/>
      <w:r w:rsidRPr="00C71E80">
        <w:rPr>
          <w:rFonts w:ascii="Calibri" w:hAnsi="Calibri" w:cs="Calibri"/>
          <w:sz w:val="22"/>
          <w:szCs w:val="22"/>
        </w:rPr>
        <w:t>1. Formato de la fuente</w:t>
      </w:r>
    </w:p>
    <w:tbl>
      <w:tblPr>
        <w:tblStyle w:val="Table"/>
        <w:tblW w:w="5000" w:type="pct"/>
        <w:tblLayout w:type="fixed"/>
        <w:tblLook w:val="0020"/>
      </w:tblPr>
      <w:tblGrid>
        <w:gridCol w:w="5093"/>
        <w:gridCol w:w="3961"/>
      </w:tblGrid>
      <w:tr w:rsidR="00474A6F" w:rsidRPr="00C71E80" w:rsidTr="00474A6F">
        <w:trPr>
          <w:cnfStyle w:val="100000000000"/>
          <w:tblHeader/>
        </w:trPr>
        <w:tc>
          <w:tcPr>
            <w:tcW w:w="4455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Aspecto</w:t>
            </w:r>
          </w:p>
        </w:tc>
        <w:tc>
          <w:tcPr>
            <w:tcW w:w="3465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Valor</w:t>
            </w:r>
          </w:p>
        </w:tc>
      </w:tr>
      <w:tr w:rsidR="00474A6F" w:rsidRPr="00C71E80">
        <w:tc>
          <w:tcPr>
            <w:tcW w:w="4455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Formato</w:t>
            </w:r>
          </w:p>
        </w:tc>
        <w:tc>
          <w:tcPr>
            <w:tcW w:w="3465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Excel (.xlsx)</w:t>
            </w:r>
          </w:p>
        </w:tc>
      </w:tr>
      <w:tr w:rsidR="00474A6F" w:rsidRPr="00C71E80">
        <w:tc>
          <w:tcPr>
            <w:tcW w:w="4455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Hojas</w:t>
            </w:r>
          </w:p>
        </w:tc>
        <w:tc>
          <w:tcPr>
            <w:tcW w:w="3465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Una sola hoja por archivo</w:t>
            </w:r>
          </w:p>
        </w:tc>
      </w:tr>
      <w:tr w:rsidR="00474A6F" w:rsidRPr="00C71E80">
        <w:tc>
          <w:tcPr>
            <w:tcW w:w="4455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Fila de encabezado</w:t>
            </w:r>
          </w:p>
        </w:tc>
        <w:tc>
          <w:tcPr>
            <w:tcW w:w="3465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Fila 1 (sin títulos, logos ni filas basura por encima)</w:t>
            </w:r>
          </w:p>
        </w:tc>
      </w:tr>
      <w:tr w:rsidR="00474A6F" w:rsidRPr="00C71E80">
        <w:tc>
          <w:tcPr>
            <w:tcW w:w="4455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Frecuencia</w:t>
            </w:r>
          </w:p>
        </w:tc>
        <w:tc>
          <w:tcPr>
            <w:tcW w:w="3465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Mensual (corte a fin de mes)</w:t>
            </w:r>
          </w:p>
        </w:tc>
      </w:tr>
      <w:tr w:rsidR="00474A6F" w:rsidRPr="00C71E80">
        <w:tc>
          <w:tcPr>
            <w:tcW w:w="4455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Volumen aproximado</w:t>
            </w:r>
          </w:p>
        </w:tc>
        <w:tc>
          <w:tcPr>
            <w:tcW w:w="3465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~700 filas por snapshot</w:t>
            </w:r>
          </w:p>
        </w:tc>
      </w:tr>
      <w:tr w:rsidR="00474A6F" w:rsidRPr="00C71E80">
        <w:tc>
          <w:tcPr>
            <w:tcW w:w="4455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Histórico disponible</w:t>
            </w:r>
          </w:p>
        </w:tc>
        <w:tc>
          <w:tcPr>
            <w:tcW w:w="3465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Varios años de archivos mensuales</w:t>
            </w:r>
          </w:p>
        </w:tc>
      </w:tr>
      <w:tr w:rsidR="00474A6F" w:rsidRPr="00C71E80">
        <w:tc>
          <w:tcPr>
            <w:tcW w:w="4455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Fecha del corte</w:t>
            </w:r>
          </w:p>
        </w:tc>
        <w:tc>
          <w:tcPr>
            <w:tcW w:w="3465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Cont</w:t>
            </w:r>
            <w:r w:rsidR="00C71E80">
              <w:rPr>
                <w:rFonts w:ascii="Calibri" w:hAnsi="Calibri" w:cs="Calibri"/>
                <w:sz w:val="22"/>
                <w:szCs w:val="22"/>
              </w:rPr>
              <w:t>enida en el nombre del archive.</w:t>
            </w:r>
            <w:r w:rsidRPr="00C71E80">
              <w:rPr>
                <w:rFonts w:ascii="Calibri" w:hAnsi="Calibri" w:cs="Calibri"/>
                <w:sz w:val="22"/>
                <w:szCs w:val="22"/>
              </w:rPr>
              <w:t xml:space="preserve"> origen de </w:t>
            </w:r>
            <w:r w:rsidRPr="00C71E80">
              <w:rPr>
                <w:rStyle w:val="VerbatimChar"/>
                <w:rFonts w:ascii="Calibri" w:hAnsi="Calibri" w:cs="Calibri"/>
                <w:szCs w:val="22"/>
              </w:rPr>
              <w:t>snapshot_date</w:t>
            </w:r>
          </w:p>
        </w:tc>
      </w:tr>
      <w:tr w:rsidR="00474A6F" w:rsidRPr="00C71E80">
        <w:tc>
          <w:tcPr>
            <w:tcW w:w="4455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Convención de nombre</w:t>
            </w:r>
          </w:p>
        </w:tc>
        <w:tc>
          <w:tcPr>
            <w:tcW w:w="3465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Style w:val="VerbatimChar"/>
                <w:rFonts w:ascii="Calibri" w:hAnsi="Calibri" w:cs="Calibri"/>
                <w:szCs w:val="22"/>
              </w:rPr>
              <w:t>Partido Vigentes al DD_MM_YYYY.xlsx</w:t>
            </w:r>
            <w:r w:rsidRPr="00C71E8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C71E80">
              <w:rPr>
                <w:rFonts w:ascii="Calibri" w:hAnsi="Calibri" w:cs="Calibri"/>
                <w:sz w:val="22"/>
                <w:szCs w:val="22"/>
              </w:rPr>
              <w:t xml:space="preserve">(ver </w:t>
            </w:r>
            <w:r w:rsidRPr="00C71E80">
              <w:rPr>
                <w:rFonts w:ascii="Calibri" w:hAnsi="Calibri" w:cs="Calibri"/>
                <w:sz w:val="22"/>
                <w:szCs w:val="22"/>
              </w:rPr>
              <w:t>1.1)</w:t>
            </w:r>
          </w:p>
        </w:tc>
      </w:tr>
      <w:tr w:rsidR="00474A6F" w:rsidRPr="00C71E80">
        <w:tc>
          <w:tcPr>
            <w:tcW w:w="4455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Continuidad de la serie</w:t>
            </w:r>
          </w:p>
        </w:tc>
        <w:tc>
          <w:tcPr>
            <w:tcW w:w="3465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No garantizada: pueden faltar</w:t>
            </w:r>
            <w:r w:rsidR="00C71E80">
              <w:rPr>
                <w:rFonts w:ascii="Calibri" w:hAnsi="Calibri" w:cs="Calibri"/>
                <w:sz w:val="22"/>
                <w:szCs w:val="22"/>
              </w:rPr>
              <w:t xml:space="preserve"> meses (ver </w:t>
            </w:r>
            <w:r w:rsidRPr="00C71E80">
              <w:rPr>
                <w:rFonts w:ascii="Calibri" w:hAnsi="Calibri" w:cs="Calibri"/>
                <w:sz w:val="22"/>
                <w:szCs w:val="22"/>
              </w:rPr>
              <w:t>4.1)</w:t>
            </w:r>
          </w:p>
        </w:tc>
      </w:tr>
      <w:tr w:rsidR="00474A6F" w:rsidRPr="00C71E80">
        <w:tc>
          <w:tcPr>
            <w:tcW w:w="4455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Estructura</w:t>
            </w:r>
          </w:p>
        </w:tc>
        <w:tc>
          <w:tcPr>
            <w:tcW w:w="3465" w:type="dxa"/>
          </w:tcPr>
          <w:p w:rsidR="00474A6F" w:rsidRPr="00C71E80" w:rsidRDefault="00F51DE1" w:rsidP="00C71E80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 xml:space="preserve">No debe asumirse estable entre archivos históricos. La ingesta valida la presencia y correspondencia de las columnas esperadas antes de procesar cada archivo. Cualquier diferencia (columnas faltantes, adicionales o renombradas) provoca el </w:t>
            </w:r>
            <w:r w:rsidR="00C71E80">
              <w:rPr>
                <w:rFonts w:ascii="Calibri" w:hAnsi="Calibri" w:cs="Calibri"/>
                <w:sz w:val="22"/>
                <w:szCs w:val="22"/>
              </w:rPr>
              <w:t xml:space="preserve">fallo </w:t>
            </w:r>
            <w:r w:rsidRPr="00C71E80">
              <w:rPr>
                <w:rFonts w:ascii="Calibri" w:hAnsi="Calibri" w:cs="Calibri"/>
                <w:sz w:val="22"/>
                <w:szCs w:val="22"/>
              </w:rPr>
              <w:t>de la carga y requiere revisión manual.</w:t>
            </w:r>
          </w:p>
        </w:tc>
      </w:tr>
    </w:tbl>
    <w:p w:rsidR="00474A6F" w:rsidRPr="00C71E80" w:rsidRDefault="00F51DE1">
      <w:pPr>
        <w:pStyle w:val="Ttulo3"/>
        <w:rPr>
          <w:rFonts w:ascii="Calibri" w:hAnsi="Calibri" w:cs="Calibri"/>
          <w:sz w:val="22"/>
          <w:szCs w:val="22"/>
        </w:rPr>
      </w:pPr>
      <w:bookmarkStart w:id="2" w:name="derivación-de-snapshot_date"/>
      <w:r w:rsidRPr="00C71E80">
        <w:rPr>
          <w:rFonts w:ascii="Calibri" w:hAnsi="Calibri" w:cs="Calibri"/>
          <w:sz w:val="22"/>
          <w:szCs w:val="22"/>
        </w:rPr>
        <w:t xml:space="preserve">1.1 Derivación de </w:t>
      </w:r>
      <w:r w:rsidRPr="00C71E80">
        <w:rPr>
          <w:rStyle w:val="VerbatimChar"/>
          <w:rFonts w:ascii="Calibri" w:hAnsi="Calibri" w:cs="Calibri"/>
          <w:szCs w:val="22"/>
        </w:rPr>
        <w:t>snapshot_date</w:t>
      </w:r>
    </w:p>
    <w:p w:rsidR="00474A6F" w:rsidRPr="00C71E80" w:rsidRDefault="00F51DE1">
      <w:pPr>
        <w:pStyle w:val="FirstParagraph"/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 xml:space="preserve">Ejemplo real: </w:t>
      </w:r>
      <w:r w:rsidRPr="00C71E80">
        <w:rPr>
          <w:rStyle w:val="VerbatimChar"/>
          <w:rFonts w:ascii="Calibri" w:hAnsi="Calibri" w:cs="Calibri"/>
          <w:szCs w:val="22"/>
        </w:rPr>
        <w:t>Partido Vigentes al 31_05_2026.xlsx</w:t>
      </w:r>
      <w:r w:rsidRPr="00C71E80">
        <w:rPr>
          <w:rFonts w:ascii="Calibri" w:hAnsi="Calibri" w:cs="Calibri"/>
          <w:sz w:val="22"/>
          <w:szCs w:val="22"/>
        </w:rPr>
        <w:t xml:space="preserve"> → </w:t>
      </w:r>
      <w:r w:rsidRPr="00C71E80">
        <w:rPr>
          <w:rStyle w:val="VerbatimChar"/>
          <w:rFonts w:ascii="Calibri" w:hAnsi="Calibri" w:cs="Calibri"/>
          <w:szCs w:val="22"/>
        </w:rPr>
        <w:t>snapshot_date = 2026-05-31</w:t>
      </w:r>
      <w:r w:rsidRPr="00C71E80">
        <w:rPr>
          <w:rFonts w:ascii="Calibri" w:hAnsi="Calibri" w:cs="Calibri"/>
          <w:sz w:val="22"/>
          <w:szCs w:val="22"/>
        </w:rPr>
        <w:t>.</w:t>
      </w:r>
    </w:p>
    <w:p w:rsidR="00474A6F" w:rsidRPr="00C71E80" w:rsidRDefault="00F51DE1">
      <w:pPr>
        <w:pStyle w:val="Textoindependiente"/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>Extracción por expresión regular sobre el nombre del archivo, tolerante a separadores y a variaciones en el texto que rodea a la fecha:</w:t>
      </w:r>
    </w:p>
    <w:p w:rsidR="00474A6F" w:rsidRPr="00C71E80" w:rsidRDefault="00F51DE1">
      <w:pPr>
        <w:pStyle w:val="SourceCode"/>
        <w:rPr>
          <w:rFonts w:ascii="Calibri" w:hAnsi="Calibri" w:cs="Calibri"/>
          <w:sz w:val="22"/>
          <w:szCs w:val="22"/>
        </w:rPr>
      </w:pPr>
      <w:r w:rsidRPr="00C71E80">
        <w:rPr>
          <w:rStyle w:val="VerbatimChar"/>
          <w:rFonts w:ascii="Calibri" w:hAnsi="Calibri" w:cs="Calibri"/>
          <w:szCs w:val="22"/>
        </w:rPr>
        <w:t>(\d{2})[_\-/.](\d{2})[_\-/.](\d{4})   →   DD, MM, YYYY</w:t>
      </w:r>
    </w:p>
    <w:p w:rsidR="00474A6F" w:rsidRPr="00C71E80" w:rsidRDefault="00F51DE1">
      <w:pPr>
        <w:pStyle w:val="FirstParagraph"/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>Reglas de la ingesta:</w:t>
      </w:r>
    </w:p>
    <w:p w:rsidR="00474A6F" w:rsidRPr="00C71E80" w:rsidRDefault="00F51DE1">
      <w:pPr>
        <w:pStyle w:val="Compac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>Si no se encuentra una fecha en el nombre, abortar. Nunca inferir la fecha del momento de ejecución: un reproceso del histórico cargaría todo con la fecha de hoy y arruinaría la serie.</w:t>
      </w:r>
    </w:p>
    <w:p w:rsidR="00474A6F" w:rsidRPr="00C71E80" w:rsidRDefault="00F51DE1">
      <w:pPr>
        <w:pStyle w:val="Compac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>Validar que la fecha exista y sea coherente (día ≤ último día del mes indicado).</w:t>
      </w:r>
    </w:p>
    <w:p w:rsidR="00474A6F" w:rsidRPr="00C71E80" w:rsidRDefault="00F51DE1">
      <w:pPr>
        <w:pStyle w:val="Compact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lastRenderedPageBreak/>
        <w:t>Ambigüedad DD_MM vs MM_DD: la fuente es argentina y el corte es a fin de mes, por lo que el primer grupo suele ser &gt; 12 y desambigua solo. Aun así, validar y abortar si el primer grupo ≤ 12 y el segundo &gt; 12 (indicaría formato invertido).</w:t>
      </w:r>
    </w:p>
    <w:p w:rsidR="00474A6F" w:rsidRPr="00C71E80" w:rsidRDefault="00F51DE1">
      <w:pPr>
        <w:pStyle w:val="Ttulo2"/>
        <w:rPr>
          <w:rFonts w:ascii="Calibri" w:hAnsi="Calibri" w:cs="Calibri"/>
          <w:sz w:val="22"/>
          <w:szCs w:val="22"/>
        </w:rPr>
      </w:pPr>
      <w:bookmarkStart w:id="3" w:name="columnas"/>
      <w:bookmarkEnd w:id="1"/>
      <w:bookmarkEnd w:id="2"/>
      <w:r w:rsidRPr="00C71E80">
        <w:rPr>
          <w:rFonts w:ascii="Calibri" w:hAnsi="Calibri" w:cs="Calibri"/>
          <w:sz w:val="22"/>
          <w:szCs w:val="22"/>
        </w:rPr>
        <w:t>2. Columnas</w:t>
      </w:r>
    </w:p>
    <w:p w:rsidR="00474A6F" w:rsidRPr="00C71E80" w:rsidRDefault="00F51DE1">
      <w:pPr>
        <w:pStyle w:val="FirstParagraph"/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>Las columnas son esperadas según el siguiente esquema. La ingesta valida que cada archivo respete esta estructura antes de cargarlo. El esquema no debe asumirse históricamente estable.</w:t>
      </w:r>
    </w:p>
    <w:tbl>
      <w:tblPr>
        <w:tblStyle w:val="Table"/>
        <w:tblW w:w="5000" w:type="pct"/>
        <w:tblLayout w:type="fixed"/>
        <w:tblLook w:val="0020"/>
      </w:tblPr>
      <w:tblGrid>
        <w:gridCol w:w="313"/>
        <w:gridCol w:w="1496"/>
        <w:gridCol w:w="2410"/>
        <w:gridCol w:w="1843"/>
        <w:gridCol w:w="2992"/>
      </w:tblGrid>
      <w:tr w:rsidR="00474A6F" w:rsidRPr="00C71E80" w:rsidTr="00C71E80">
        <w:trPr>
          <w:cnfStyle w:val="100000000000"/>
          <w:tblHeader/>
        </w:trPr>
        <w:tc>
          <w:tcPr>
            <w:tcW w:w="313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#</w:t>
            </w:r>
          </w:p>
        </w:tc>
        <w:tc>
          <w:tcPr>
            <w:tcW w:w="1496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Columna origen</w:t>
            </w:r>
          </w:p>
        </w:tc>
        <w:tc>
          <w:tcPr>
            <w:tcW w:w="2410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Columna normalizada (presentación)</w:t>
            </w:r>
          </w:p>
        </w:tc>
        <w:tc>
          <w:tcPr>
            <w:tcW w:w="1843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Campo técnico (staging)</w:t>
            </w:r>
          </w:p>
        </w:tc>
        <w:tc>
          <w:tcPr>
            <w:tcW w:w="2992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Notas</w:t>
            </w:r>
          </w:p>
        </w:tc>
      </w:tr>
      <w:tr w:rsidR="00474A6F" w:rsidRPr="00C71E80" w:rsidTr="00C71E80">
        <w:tc>
          <w:tcPr>
            <w:tcW w:w="313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1496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ORDEN</w:t>
            </w:r>
          </w:p>
        </w:tc>
        <w:tc>
          <w:tcPr>
            <w:tcW w:w="2410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ORDEN</w:t>
            </w:r>
          </w:p>
        </w:tc>
        <w:tc>
          <w:tcPr>
            <w:tcW w:w="1843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orden</w:t>
            </w:r>
          </w:p>
        </w:tc>
        <w:tc>
          <w:tcPr>
            <w:tcW w:w="2992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Categórico: DISTRITO o NACIONAL, según el tipo de partido. Dimensión de análisis.</w:t>
            </w:r>
          </w:p>
        </w:tc>
      </w:tr>
      <w:tr w:rsidR="00474A6F" w:rsidRPr="00C71E80" w:rsidTr="00C71E80">
        <w:tc>
          <w:tcPr>
            <w:tcW w:w="313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496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N° ORDEN</w:t>
            </w:r>
          </w:p>
        </w:tc>
        <w:tc>
          <w:tcPr>
            <w:tcW w:w="2410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N° DISTRITO</w:t>
            </w:r>
          </w:p>
        </w:tc>
        <w:tc>
          <w:tcPr>
            <w:tcW w:w="1843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nro_distrito</w:t>
            </w:r>
          </w:p>
        </w:tc>
        <w:tc>
          <w:tcPr>
            <w:tcW w:w="2992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Código numérico del distrito. Pad a 2 caracteres.</w:t>
            </w:r>
          </w:p>
        </w:tc>
      </w:tr>
      <w:tr w:rsidR="00474A6F" w:rsidRPr="00C71E80" w:rsidTr="00C71E80">
        <w:tc>
          <w:tcPr>
            <w:tcW w:w="313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496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DISTRITO</w:t>
            </w:r>
          </w:p>
        </w:tc>
        <w:tc>
          <w:tcPr>
            <w:tcW w:w="2410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DISTRITO</w:t>
            </w:r>
          </w:p>
        </w:tc>
        <w:tc>
          <w:tcPr>
            <w:tcW w:w="1843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distrito</w:t>
            </w:r>
          </w:p>
        </w:tc>
        <w:tc>
          <w:tcPr>
            <w:tcW w:w="2992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Nombre del distrito.</w:t>
            </w:r>
          </w:p>
        </w:tc>
      </w:tr>
      <w:tr w:rsidR="00474A6F" w:rsidRPr="00C71E80" w:rsidTr="00C71E80">
        <w:tc>
          <w:tcPr>
            <w:tcW w:w="313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496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N° PARTIDO</w:t>
            </w:r>
          </w:p>
        </w:tc>
        <w:tc>
          <w:tcPr>
            <w:tcW w:w="2410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Nº</w:t>
            </w:r>
          </w:p>
        </w:tc>
        <w:tc>
          <w:tcPr>
            <w:tcW w:w="1843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nro_partido</w:t>
            </w:r>
          </w:p>
        </w:tc>
        <w:tc>
          <w:tcPr>
            <w:tcW w:w="2992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Número del partido dentro del distrito. Pad a 3 caracteres.</w:t>
            </w:r>
          </w:p>
        </w:tc>
      </w:tr>
      <w:tr w:rsidR="00474A6F" w:rsidRPr="00C71E80" w:rsidTr="00C71E80">
        <w:tc>
          <w:tcPr>
            <w:tcW w:w="313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496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NOMBRE</w:t>
            </w:r>
          </w:p>
        </w:tc>
        <w:tc>
          <w:tcPr>
            <w:tcW w:w="2410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PARTIDO POLITICO</w:t>
            </w:r>
          </w:p>
        </w:tc>
        <w:tc>
          <w:tcPr>
            <w:tcW w:w="1843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partido_politico</w:t>
            </w:r>
          </w:p>
        </w:tc>
        <w:tc>
          <w:tcPr>
            <w:tcW w:w="2992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Denominación del partido.</w:t>
            </w:r>
          </w:p>
        </w:tc>
      </w:tr>
      <w:tr w:rsidR="00474A6F" w:rsidRPr="00C71E80" w:rsidTr="00C71E80">
        <w:tc>
          <w:tcPr>
            <w:tcW w:w="313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496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SIGLA</w:t>
            </w:r>
          </w:p>
        </w:tc>
        <w:tc>
          <w:tcPr>
            <w:tcW w:w="2410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SIGLA</w:t>
            </w:r>
          </w:p>
        </w:tc>
        <w:tc>
          <w:tcPr>
            <w:tcW w:w="1843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sigla</w:t>
            </w:r>
          </w:p>
        </w:tc>
        <w:tc>
          <w:tcPr>
            <w:tcW w:w="2992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Puede venir vacía.</w:t>
            </w:r>
          </w:p>
        </w:tc>
      </w:tr>
      <w:tr w:rsidR="00474A6F" w:rsidRPr="00C71E80" w:rsidTr="00C71E80">
        <w:tc>
          <w:tcPr>
            <w:tcW w:w="313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496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FECHA RECONOCIMIENTO</w:t>
            </w:r>
          </w:p>
        </w:tc>
        <w:tc>
          <w:tcPr>
            <w:tcW w:w="2410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FECHA DE RECONOCIMIENTO</w:t>
            </w:r>
          </w:p>
        </w:tc>
        <w:tc>
          <w:tcPr>
            <w:tcW w:w="1843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fecha_reconocimiento</w:t>
            </w:r>
          </w:p>
        </w:tc>
        <w:tc>
          <w:tcPr>
            <w:tcW w:w="2992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Fecha de reconocimiento legal.</w:t>
            </w:r>
          </w:p>
        </w:tc>
      </w:tr>
      <w:tr w:rsidR="00474A6F" w:rsidRPr="00C71E80" w:rsidTr="00C71E80">
        <w:tc>
          <w:tcPr>
            <w:tcW w:w="313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496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INTEGRA O.N.</w:t>
            </w:r>
          </w:p>
        </w:tc>
        <w:tc>
          <w:tcPr>
            <w:tcW w:w="2410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INTEGRA UN PARTIDO NACIONAL</w:t>
            </w:r>
          </w:p>
        </w:tc>
        <w:tc>
          <w:tcPr>
            <w:tcW w:w="1843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integra_partido_nacional</w:t>
            </w:r>
          </w:p>
        </w:tc>
        <w:tc>
          <w:tcPr>
            <w:tcW w:w="2992" w:type="dxa"/>
          </w:tcPr>
          <w:p w:rsidR="00474A6F" w:rsidRPr="00C71E80" w:rsidRDefault="00F51DE1">
            <w:pPr>
              <w:pStyle w:val="Compact"/>
              <w:rPr>
                <w:rFonts w:ascii="Calibri" w:hAnsi="Calibri" w:cs="Calibri"/>
                <w:sz w:val="22"/>
                <w:szCs w:val="22"/>
              </w:rPr>
            </w:pPr>
            <w:r w:rsidRPr="00C71E80">
              <w:rPr>
                <w:rFonts w:ascii="Calibri" w:hAnsi="Calibri" w:cs="Calibri"/>
                <w:sz w:val="22"/>
                <w:szCs w:val="22"/>
              </w:rPr>
              <w:t>Indica pertenencia a un partido de orden nacional.</w:t>
            </w:r>
          </w:p>
        </w:tc>
      </w:tr>
    </w:tbl>
    <w:p w:rsidR="00474A6F" w:rsidRPr="00C71E80" w:rsidRDefault="00F51DE1" w:rsidP="00C71E80">
      <w:pPr>
        <w:pStyle w:val="Textoindependiente"/>
        <w:jc w:val="both"/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b/>
          <w:bCs/>
          <w:sz w:val="22"/>
          <w:szCs w:val="22"/>
        </w:rPr>
        <w:t>Regla de oro:</w:t>
      </w:r>
      <w:r w:rsidRPr="00C71E80">
        <w:rPr>
          <w:rFonts w:ascii="Calibri" w:hAnsi="Calibri" w:cs="Calibri"/>
          <w:sz w:val="22"/>
          <w:szCs w:val="22"/>
        </w:rPr>
        <w:t xml:space="preserve"> el renombrado no ocurre en la ingesta. </w:t>
      </w:r>
      <w:r w:rsidRPr="00C71E80">
        <w:rPr>
          <w:rStyle w:val="VerbatimChar"/>
          <w:rFonts w:ascii="Calibri" w:hAnsi="Calibri" w:cs="Calibri"/>
          <w:szCs w:val="22"/>
        </w:rPr>
        <w:t>raw</w:t>
      </w:r>
      <w:r w:rsidRPr="00C71E80">
        <w:rPr>
          <w:rFonts w:ascii="Calibri" w:hAnsi="Calibri" w:cs="Calibri"/>
          <w:sz w:val="22"/>
          <w:szCs w:val="22"/>
        </w:rPr>
        <w:t xml:space="preserve"> guarda los nombres de origen normalizados únicamente a </w:t>
      </w:r>
      <w:r w:rsidRPr="00C71E80">
        <w:rPr>
          <w:rStyle w:val="VerbatimChar"/>
          <w:rFonts w:ascii="Calibri" w:hAnsi="Calibri" w:cs="Calibri"/>
          <w:szCs w:val="22"/>
        </w:rPr>
        <w:t>snake_case</w:t>
      </w:r>
      <w:r w:rsidRPr="00C71E80">
        <w:rPr>
          <w:rFonts w:ascii="Calibri" w:hAnsi="Calibri" w:cs="Calibri"/>
          <w:sz w:val="22"/>
          <w:szCs w:val="22"/>
        </w:rPr>
        <w:t xml:space="preserve"> (requisito de BigQuery, que no admite °, º ni espacios en nombres de columna). El mapeo a los nombres de presentación se hace en </w:t>
      </w:r>
      <w:r w:rsidRPr="00C71E80">
        <w:rPr>
          <w:rStyle w:val="VerbatimChar"/>
          <w:rFonts w:ascii="Calibri" w:hAnsi="Calibri" w:cs="Calibri"/>
          <w:szCs w:val="22"/>
        </w:rPr>
        <w:t>staging</w:t>
      </w:r>
      <w:r w:rsidRPr="00C71E80">
        <w:rPr>
          <w:rFonts w:ascii="Calibri" w:hAnsi="Calibri" w:cs="Calibri"/>
          <w:sz w:val="22"/>
          <w:szCs w:val="22"/>
        </w:rPr>
        <w:t>.</w:t>
      </w:r>
    </w:p>
    <w:p w:rsidR="00474A6F" w:rsidRPr="00C71E80" w:rsidRDefault="00F51DE1" w:rsidP="00C71E80">
      <w:pPr>
        <w:pStyle w:val="Textoindependiente"/>
        <w:jc w:val="both"/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 xml:space="preserve">Todas las columnas se cargan inicialmente como </w:t>
      </w:r>
      <w:r w:rsidRPr="00C71E80">
        <w:rPr>
          <w:rFonts w:ascii="Calibri" w:hAnsi="Calibri" w:cs="Calibri"/>
          <w:b/>
          <w:bCs/>
          <w:sz w:val="22"/>
          <w:szCs w:val="22"/>
        </w:rPr>
        <w:t>STRING</w:t>
      </w:r>
      <w:r w:rsidRPr="00C71E80">
        <w:rPr>
          <w:rFonts w:ascii="Calibri" w:hAnsi="Calibri" w:cs="Calibri"/>
          <w:sz w:val="22"/>
          <w:szCs w:val="22"/>
        </w:rPr>
        <w:t>, independientemente de su contenido. Esto evita diferencias de interpretación entre versiones de Excel (fechas, números, formatos regionales, celdas mixtas, etc.). La conversión a tipos específicos (</w:t>
      </w:r>
      <w:r w:rsidRPr="00C71E80">
        <w:rPr>
          <w:rStyle w:val="VerbatimChar"/>
          <w:rFonts w:ascii="Calibri" w:hAnsi="Calibri" w:cs="Calibri"/>
          <w:szCs w:val="22"/>
        </w:rPr>
        <w:t>DATE</w:t>
      </w:r>
      <w:r w:rsidRPr="00C71E80">
        <w:rPr>
          <w:rFonts w:ascii="Calibri" w:hAnsi="Calibri" w:cs="Calibri"/>
          <w:sz w:val="22"/>
          <w:szCs w:val="22"/>
        </w:rPr>
        <w:t xml:space="preserve">, </w:t>
      </w:r>
      <w:r w:rsidRPr="00C71E80">
        <w:rPr>
          <w:rStyle w:val="VerbatimChar"/>
          <w:rFonts w:ascii="Calibri" w:hAnsi="Calibri" w:cs="Calibri"/>
          <w:szCs w:val="22"/>
        </w:rPr>
        <w:t>INT64</w:t>
      </w:r>
      <w:r w:rsidRPr="00C71E80">
        <w:rPr>
          <w:rFonts w:ascii="Calibri" w:hAnsi="Calibri" w:cs="Calibri"/>
          <w:sz w:val="22"/>
          <w:szCs w:val="22"/>
        </w:rPr>
        <w:t xml:space="preserve">, etc.) ocurre exclusivamente en la capa </w:t>
      </w:r>
      <w:r w:rsidRPr="00C71E80">
        <w:rPr>
          <w:rStyle w:val="VerbatimChar"/>
          <w:rFonts w:ascii="Calibri" w:hAnsi="Calibri" w:cs="Calibri"/>
          <w:szCs w:val="22"/>
        </w:rPr>
        <w:t>staging</w:t>
      </w:r>
      <w:r w:rsidRPr="00C71E80">
        <w:rPr>
          <w:rFonts w:ascii="Calibri" w:hAnsi="Calibri" w:cs="Calibri"/>
          <w:sz w:val="22"/>
          <w:szCs w:val="22"/>
        </w:rPr>
        <w:t xml:space="preserve"> de dbt.</w:t>
      </w:r>
    </w:p>
    <w:p w:rsidR="00474A6F" w:rsidRPr="00C71E80" w:rsidRDefault="00F51DE1">
      <w:pPr>
        <w:pStyle w:val="Ttulo2"/>
        <w:rPr>
          <w:rFonts w:ascii="Calibri" w:hAnsi="Calibri" w:cs="Calibri"/>
          <w:sz w:val="22"/>
          <w:szCs w:val="22"/>
        </w:rPr>
      </w:pPr>
      <w:bookmarkStart w:id="4" w:name="clave-única"/>
      <w:bookmarkEnd w:id="3"/>
      <w:r w:rsidRPr="00C71E80">
        <w:rPr>
          <w:rFonts w:ascii="Calibri" w:hAnsi="Calibri" w:cs="Calibri"/>
          <w:sz w:val="22"/>
          <w:szCs w:val="22"/>
        </w:rPr>
        <w:t>3. Clave única</w:t>
      </w:r>
    </w:p>
    <w:p w:rsidR="00474A6F" w:rsidRPr="00C71E80" w:rsidRDefault="00F51DE1">
      <w:pPr>
        <w:pStyle w:val="FirstParagraph"/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>La identidad de una organización partidaria es tipo de orden + número de distrito + número de partido:</w:t>
      </w:r>
    </w:p>
    <w:p w:rsidR="00474A6F" w:rsidRPr="00C71E80" w:rsidRDefault="00F51DE1">
      <w:pPr>
        <w:pStyle w:val="SourceCode"/>
        <w:rPr>
          <w:rFonts w:ascii="Calibri" w:hAnsi="Calibri" w:cs="Calibri"/>
          <w:sz w:val="22"/>
          <w:szCs w:val="22"/>
        </w:rPr>
      </w:pPr>
      <w:r w:rsidRPr="00C71E80">
        <w:rPr>
          <w:rStyle w:val="VerbatimChar"/>
          <w:rFonts w:ascii="Calibri" w:hAnsi="Calibri" w:cs="Calibri"/>
          <w:szCs w:val="22"/>
        </w:rPr>
        <w:t>partido_key = tipo_orden || '-' || LPAD(nro_distrito, 2, '0') || '-' || LPAD(nro_partido, 3, '0')</w:t>
      </w:r>
      <w:r w:rsidRPr="00C71E80">
        <w:rPr>
          <w:rFonts w:ascii="Calibri" w:hAnsi="Calibri" w:cs="Calibri"/>
          <w:sz w:val="22"/>
          <w:szCs w:val="22"/>
        </w:rPr>
        <w:br/>
      </w:r>
      <w:r w:rsidRPr="00C71E80">
        <w:rPr>
          <w:rFonts w:ascii="Calibri" w:hAnsi="Calibri" w:cs="Calibri"/>
          <w:sz w:val="22"/>
          <w:szCs w:val="22"/>
        </w:rPr>
        <w:br/>
      </w:r>
      <w:r w:rsidR="00C71E80">
        <w:rPr>
          <w:rStyle w:val="VerbatimChar"/>
          <w:rFonts w:ascii="Calibri" w:hAnsi="Calibri" w:cs="Calibri"/>
          <w:szCs w:val="22"/>
        </w:rPr>
        <w:t>tipo_orden = '</w:t>
      </w:r>
      <w:r w:rsidRPr="00C71E80">
        <w:rPr>
          <w:rStyle w:val="VerbatimChar"/>
          <w:rFonts w:ascii="Calibri" w:hAnsi="Calibri" w:cs="Calibri"/>
          <w:szCs w:val="22"/>
        </w:rPr>
        <w:t>N' si ORDEN = 'NACIONAL'</w:t>
      </w:r>
      <w:r w:rsidRPr="00C71E80">
        <w:rPr>
          <w:rFonts w:ascii="Calibri" w:hAnsi="Calibri" w:cs="Calibri"/>
          <w:sz w:val="22"/>
          <w:szCs w:val="22"/>
        </w:rPr>
        <w:br/>
      </w:r>
      <w:r w:rsidR="00C71E80">
        <w:rPr>
          <w:rStyle w:val="VerbatimChar"/>
          <w:rFonts w:ascii="Calibri" w:hAnsi="Calibri" w:cs="Calibri"/>
          <w:szCs w:val="22"/>
        </w:rPr>
        <w:t xml:space="preserve">             '</w:t>
      </w:r>
      <w:r w:rsidRPr="00C71E80">
        <w:rPr>
          <w:rStyle w:val="VerbatimChar"/>
          <w:rFonts w:ascii="Calibri" w:hAnsi="Calibri" w:cs="Calibri"/>
          <w:szCs w:val="22"/>
        </w:rPr>
        <w:t>D' si ORDEN = 'DISTRITO'</w:t>
      </w:r>
    </w:p>
    <w:p w:rsidR="00474A6F" w:rsidRPr="00C71E80" w:rsidRDefault="00F51DE1">
      <w:pPr>
        <w:pStyle w:val="FirstParagraph"/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 xml:space="preserve">Ejemplo: distrito 2, partido </w:t>
      </w:r>
      <w:r w:rsidR="00C71E80">
        <w:rPr>
          <w:rFonts w:ascii="Calibri" w:hAnsi="Calibri" w:cs="Calibri"/>
          <w:sz w:val="22"/>
          <w:szCs w:val="22"/>
        </w:rPr>
        <w:t>1</w:t>
      </w:r>
      <w:r w:rsidRPr="00C71E80">
        <w:rPr>
          <w:rFonts w:ascii="Calibri" w:hAnsi="Calibri" w:cs="Calibri"/>
          <w:sz w:val="22"/>
          <w:szCs w:val="22"/>
        </w:rPr>
        <w:t xml:space="preserve">54, de distrito → </w:t>
      </w:r>
      <w:r w:rsidRPr="00C71E80">
        <w:rPr>
          <w:rStyle w:val="VerbatimChar"/>
          <w:rFonts w:ascii="Calibri" w:hAnsi="Calibri" w:cs="Calibri"/>
          <w:szCs w:val="22"/>
        </w:rPr>
        <w:t>D-02-</w:t>
      </w:r>
      <w:r w:rsidR="00C71E80">
        <w:rPr>
          <w:rStyle w:val="VerbatimChar"/>
          <w:rFonts w:ascii="Calibri" w:hAnsi="Calibri" w:cs="Calibri"/>
          <w:szCs w:val="22"/>
        </w:rPr>
        <w:t>1</w:t>
      </w:r>
      <w:r w:rsidRPr="00C71E80">
        <w:rPr>
          <w:rStyle w:val="VerbatimChar"/>
          <w:rFonts w:ascii="Calibri" w:hAnsi="Calibri" w:cs="Calibri"/>
          <w:szCs w:val="22"/>
        </w:rPr>
        <w:t>54</w:t>
      </w:r>
    </w:p>
    <w:p w:rsidR="00474A6F" w:rsidRPr="00C71E80" w:rsidRDefault="00F51DE1">
      <w:pPr>
        <w:pStyle w:val="Textoindependiente"/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lastRenderedPageBreak/>
        <w:t>Por qué el prefijo es obligatorio. Los partidos de distrito que integran un partido nacional llevan el mismo número y el mismo nombre que el nacional. Como el nacional se inscribe en un distrito sede real, en ese distrito conviven dos registros con idéntico número: el nacional y su distrital. Sin el prefijo, ambos colapsarían en la misma clave y el SCD2 los trataría como una sola entidad. La colisión es estructural, no un caso de borde.</w:t>
      </w:r>
    </w:p>
    <w:p w:rsidR="00474A6F" w:rsidRPr="00C71E80" w:rsidRDefault="00F51DE1">
      <w:pPr>
        <w:pStyle w:val="Textoindependiente"/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>Por qué es seguro incluir orden en la clave. ORDEN es estable por entidad (§3.2): ningún registro cambia de DISTRITO a NACIONAL. Incluirlo no introduce el riesgo habitual de que un cambio de atributo se lea como baja + alta.</w:t>
      </w:r>
    </w:p>
    <w:p w:rsidR="00474A6F" w:rsidRPr="00C71E80" w:rsidRDefault="00F51DE1">
      <w:pPr>
        <w:pStyle w:val="Textoindependiente"/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>Por qué el padding. Sin él, 2-54 y 20-54 u otras combinaciones pueden colisionar o generar claves inconsistentes entre archivos según cómo Excel haya tipado cada celda (número vs. texto).</w:t>
      </w:r>
    </w:p>
    <w:p w:rsidR="00474A6F" w:rsidRPr="00C71E80" w:rsidRDefault="00F51DE1">
      <w:pPr>
        <w:pStyle w:val="Textoindependiente"/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 xml:space="preserve">La clave se construye en </w:t>
      </w:r>
      <w:r w:rsidRPr="00C71E80">
        <w:rPr>
          <w:rStyle w:val="VerbatimChar"/>
          <w:rFonts w:ascii="Calibri" w:hAnsi="Calibri" w:cs="Calibri"/>
          <w:szCs w:val="22"/>
        </w:rPr>
        <w:t>staging</w:t>
      </w:r>
      <w:r w:rsidRPr="00C71E80">
        <w:rPr>
          <w:rFonts w:ascii="Calibri" w:hAnsi="Calibri" w:cs="Calibri"/>
          <w:sz w:val="22"/>
          <w:szCs w:val="22"/>
        </w:rPr>
        <w:t xml:space="preserve">, no en </w:t>
      </w:r>
      <w:r w:rsidRPr="00C71E80">
        <w:rPr>
          <w:rStyle w:val="VerbatimChar"/>
          <w:rFonts w:ascii="Calibri" w:hAnsi="Calibri" w:cs="Calibri"/>
          <w:szCs w:val="22"/>
        </w:rPr>
        <w:t>raw</w:t>
      </w:r>
      <w:r w:rsidRPr="00C71E80">
        <w:rPr>
          <w:rFonts w:ascii="Calibri" w:hAnsi="Calibri" w:cs="Calibri"/>
          <w:sz w:val="22"/>
          <w:szCs w:val="22"/>
        </w:rPr>
        <w:t>.</w:t>
      </w:r>
    </w:p>
    <w:p w:rsidR="00F51DE1" w:rsidRDefault="00F51DE1">
      <w:pPr>
        <w:pStyle w:val="Ttulo3"/>
        <w:rPr>
          <w:rFonts w:ascii="Calibri" w:hAnsi="Calibri" w:cs="Calibri"/>
          <w:sz w:val="22"/>
          <w:szCs w:val="22"/>
        </w:rPr>
      </w:pPr>
      <w:bookmarkStart w:id="5" w:name="el-distrito-de-un-partido-nacional"/>
    </w:p>
    <w:p w:rsidR="00474A6F" w:rsidRPr="00C71E80" w:rsidRDefault="00F51DE1">
      <w:pPr>
        <w:pStyle w:val="Ttulo3"/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>3.1 El distrito de un partido nacional</w:t>
      </w:r>
    </w:p>
    <w:p w:rsidR="00474A6F" w:rsidRPr="00C71E80" w:rsidRDefault="00F51DE1">
      <w:pPr>
        <w:pStyle w:val="FirstParagraph"/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 xml:space="preserve">Un partido NACIONAL no tiene distrito propio ni código especial: lleva el distrito de su juzgado </w:t>
      </w:r>
      <w:r>
        <w:rPr>
          <w:rFonts w:ascii="Calibri" w:hAnsi="Calibri" w:cs="Calibri"/>
          <w:sz w:val="22"/>
          <w:szCs w:val="22"/>
        </w:rPr>
        <w:t xml:space="preserve">federal </w:t>
      </w:r>
      <w:r w:rsidRPr="00C71E80">
        <w:rPr>
          <w:rFonts w:ascii="Calibri" w:hAnsi="Calibri" w:cs="Calibri"/>
          <w:sz w:val="22"/>
          <w:szCs w:val="22"/>
        </w:rPr>
        <w:t xml:space="preserve">sede, porque cualquier juzgado federal del país puede reconocer un partido nacional. Por lo tanto N° ORDEN y DISTRITO siempre traen un distrito real, sea el registro nacional o distrital: no hace falta un valor extra en el </w:t>
      </w:r>
      <w:r w:rsidRPr="00C71E80">
        <w:rPr>
          <w:rStyle w:val="VerbatimChar"/>
          <w:rFonts w:ascii="Calibri" w:hAnsi="Calibri" w:cs="Calibri"/>
          <w:szCs w:val="22"/>
        </w:rPr>
        <w:t>accepted_values</w:t>
      </w:r>
      <w:r w:rsidRPr="00C71E80">
        <w:rPr>
          <w:rFonts w:ascii="Calibri" w:hAnsi="Calibri" w:cs="Calibri"/>
          <w:sz w:val="22"/>
          <w:szCs w:val="22"/>
        </w:rPr>
        <w:t xml:space="preserve"> de distrito, ni un caso especial en el </w:t>
      </w:r>
      <w:r w:rsidRPr="00C71E80">
        <w:rPr>
          <w:rStyle w:val="VerbatimChar"/>
          <w:rFonts w:ascii="Calibri" w:hAnsi="Calibri" w:cs="Calibri"/>
          <w:szCs w:val="22"/>
        </w:rPr>
        <w:t>LPAD</w:t>
      </w:r>
      <w:r w:rsidRPr="00C71E80">
        <w:rPr>
          <w:rFonts w:ascii="Calibri" w:hAnsi="Calibri" w:cs="Calibri"/>
          <w:sz w:val="22"/>
          <w:szCs w:val="22"/>
        </w:rPr>
        <w:t>.</w:t>
      </w:r>
    </w:p>
    <w:p w:rsidR="00474A6F" w:rsidRPr="00C71E80" w:rsidRDefault="00F51DE1">
      <w:pPr>
        <w:pStyle w:val="Ttulo3"/>
        <w:rPr>
          <w:rFonts w:ascii="Calibri" w:hAnsi="Calibri" w:cs="Calibri"/>
          <w:sz w:val="22"/>
          <w:szCs w:val="22"/>
        </w:rPr>
      </w:pPr>
      <w:bookmarkStart w:id="6" w:name="X941caacab54d030148963354098abcac9daab54"/>
      <w:bookmarkEnd w:id="5"/>
      <w:r w:rsidRPr="00C71E80">
        <w:rPr>
          <w:rFonts w:ascii="Calibri" w:hAnsi="Calibri" w:cs="Calibri"/>
          <w:sz w:val="22"/>
          <w:szCs w:val="22"/>
        </w:rPr>
        <w:t>3.2 Modelo conceptual: nacionales y distritales conviven</w:t>
      </w:r>
    </w:p>
    <w:p w:rsidR="00474A6F" w:rsidRPr="00C71E80" w:rsidRDefault="00F51DE1">
      <w:pPr>
        <w:pStyle w:val="FirstParagraph"/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 xml:space="preserve">Un partido no se nacionaliza. Cuando un partido logra reconocimiento en 5 distritos, se constituye un partido de orden nacional, que es una persona jurídica distinta y adicional: los 5 partidos de distrito siguen existiendo, y aparece un sexto registro con </w:t>
      </w:r>
      <w:r w:rsidRPr="00C71E80">
        <w:rPr>
          <w:rStyle w:val="VerbatimChar"/>
          <w:rFonts w:ascii="Calibri" w:hAnsi="Calibri" w:cs="Calibri"/>
          <w:szCs w:val="22"/>
        </w:rPr>
        <w:t>ORDEN = NACIONAL</w:t>
      </w:r>
      <w:r w:rsidRPr="00C71E80">
        <w:rPr>
          <w:rFonts w:ascii="Calibri" w:hAnsi="Calibri" w:cs="Calibri"/>
          <w:sz w:val="22"/>
          <w:szCs w:val="22"/>
        </w:rPr>
        <w:t>, inscripto en el juzgado sede elegido.</w:t>
      </w:r>
    </w:p>
    <w:p w:rsidR="00474A6F" w:rsidRPr="00C71E80" w:rsidRDefault="00F51DE1">
      <w:pPr>
        <w:pStyle w:val="Textoindependiente"/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>Consecuencias para el modelo:</w:t>
      </w:r>
    </w:p>
    <w:p w:rsidR="00474A6F" w:rsidRPr="00C71E80" w:rsidRDefault="00F51DE1">
      <w:pPr>
        <w:pStyle w:val="Compac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>ORDEN es estable por entidad. Ningún registro cambia de DISTRITO a NACIONAL a lo largo del tiempo. No hay que preocuparse por que un cambio de orden se confunda con una baja + alta en el SCD2.</w:t>
      </w:r>
    </w:p>
    <w:p w:rsidR="00474A6F" w:rsidRPr="00C71E80" w:rsidRDefault="00F51DE1">
      <w:pPr>
        <w:pStyle w:val="Compac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 xml:space="preserve">El evento “se constituyó un partido nacional” se ve como un alta, no como una modificación: aparece un </w:t>
      </w:r>
      <w:r w:rsidRPr="00C71E80">
        <w:rPr>
          <w:rStyle w:val="VerbatimChar"/>
          <w:rFonts w:ascii="Calibri" w:hAnsi="Calibri" w:cs="Calibri"/>
          <w:szCs w:val="22"/>
        </w:rPr>
        <w:t>partido_key</w:t>
      </w:r>
      <w:r w:rsidRPr="00C71E80">
        <w:rPr>
          <w:rFonts w:ascii="Calibri" w:hAnsi="Calibri" w:cs="Calibri"/>
          <w:sz w:val="22"/>
          <w:szCs w:val="22"/>
        </w:rPr>
        <w:t xml:space="preserve"> nuevo con </w:t>
      </w:r>
      <w:r w:rsidRPr="00C71E80">
        <w:rPr>
          <w:rStyle w:val="VerbatimChar"/>
          <w:rFonts w:ascii="Calibri" w:hAnsi="Calibri" w:cs="Calibri"/>
          <w:szCs w:val="22"/>
        </w:rPr>
        <w:t>ORDEN = NACIONAL</w:t>
      </w:r>
      <w:r w:rsidRPr="00C71E80">
        <w:rPr>
          <w:rFonts w:ascii="Calibri" w:hAnsi="Calibri" w:cs="Calibri"/>
          <w:sz w:val="22"/>
          <w:szCs w:val="22"/>
        </w:rPr>
        <w:t>. Es la representación correcta.</w:t>
      </w:r>
    </w:p>
    <w:p w:rsidR="00474A6F" w:rsidRPr="00C71E80" w:rsidRDefault="00F51DE1">
      <w:pPr>
        <w:pStyle w:val="Compac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 xml:space="preserve">No hay doble conteo. 6 filas son 6 organizaciones partidarias. Cada órgano —nacional o de distrito— tiene obligaciones legales propias, por lo que cada uno cuenta como uno. La métrica “cantidad de partidos vigentes” es simplemente el conteo de registros vigentes, sin filtros ni desambiguación. </w:t>
      </w:r>
      <w:r w:rsidRPr="00C71E80">
        <w:rPr>
          <w:rStyle w:val="VerbatimChar"/>
          <w:rFonts w:ascii="Calibri" w:hAnsi="Calibri" w:cs="Calibri"/>
          <w:szCs w:val="22"/>
        </w:rPr>
        <w:t>orden</w:t>
      </w:r>
      <w:r w:rsidRPr="00C71E80">
        <w:rPr>
          <w:rFonts w:ascii="Calibri" w:hAnsi="Calibri" w:cs="Calibri"/>
          <w:sz w:val="22"/>
          <w:szCs w:val="22"/>
        </w:rPr>
        <w:t xml:space="preserve"> es una dimensión de corte, no un ajuste de conteo.</w:t>
      </w:r>
    </w:p>
    <w:p w:rsidR="00474A6F" w:rsidRPr="00C71E80" w:rsidRDefault="00F51DE1">
      <w:pPr>
        <w:pStyle w:val="Compac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b/>
          <w:bCs/>
          <w:sz w:val="22"/>
          <w:szCs w:val="22"/>
        </w:rPr>
        <w:t>INTEGRA UN PARTIDO NACIONAL</w:t>
      </w:r>
      <w:r w:rsidRPr="00C71E80">
        <w:rPr>
          <w:rFonts w:ascii="Calibri" w:hAnsi="Calibri" w:cs="Calibri"/>
          <w:sz w:val="22"/>
          <w:szCs w:val="22"/>
        </w:rPr>
        <w:t xml:space="preserve"> es un indicador binario (SÍ/NO): marca si un partido de distrito integra un partido nacional, pero no dice cuál.</w:t>
      </w:r>
    </w:p>
    <w:p w:rsidR="00474A6F" w:rsidRPr="00C71E80" w:rsidRDefault="00F51DE1">
      <w:pPr>
        <w:pStyle w:val="Compact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 xml:space="preserve">El vínculo nacional ↔ distritales se puede reconstruir por número y nombre. Los partidos de distrito que integran un nacional llevan obligatoriamente el mismo número y el mismo nombre que el nacional. Eso permite un modelo de agrupamiento: unir por </w:t>
      </w:r>
      <w:r w:rsidRPr="00C71E80">
        <w:rPr>
          <w:rStyle w:val="VerbatimChar"/>
          <w:rFonts w:ascii="Calibri" w:hAnsi="Calibri" w:cs="Calibri"/>
          <w:szCs w:val="22"/>
        </w:rPr>
        <w:t>nro_partido</w:t>
      </w:r>
      <w:r w:rsidRPr="00C71E80">
        <w:rPr>
          <w:rFonts w:ascii="Calibri" w:hAnsi="Calibri" w:cs="Calibri"/>
          <w:sz w:val="22"/>
          <w:szCs w:val="22"/>
        </w:rPr>
        <w:t xml:space="preserve"> normalizado (y validar por nombre) los registros PD con </w:t>
      </w:r>
      <w:r w:rsidRPr="00C71E80">
        <w:rPr>
          <w:rStyle w:val="VerbatimChar"/>
          <w:rFonts w:ascii="Calibri" w:hAnsi="Calibri" w:cs="Calibri"/>
          <w:szCs w:val="22"/>
        </w:rPr>
        <w:t>INTEGRA O.N. = SÍ</w:t>
      </w:r>
      <w:r w:rsidRPr="00C71E80">
        <w:rPr>
          <w:rFonts w:ascii="Calibri" w:hAnsi="Calibri" w:cs="Calibri"/>
          <w:sz w:val="22"/>
          <w:szCs w:val="22"/>
        </w:rPr>
        <w:t xml:space="preserve"> contra su PN. Es una reconstrucción por regla de negocio, no una FK explícita de la fuente, así que debe </w:t>
      </w:r>
      <w:r w:rsidRPr="00C71E80">
        <w:rPr>
          <w:rFonts w:ascii="Calibri" w:hAnsi="Calibri" w:cs="Calibri"/>
          <w:sz w:val="22"/>
          <w:szCs w:val="22"/>
        </w:rPr>
        <w:lastRenderedPageBreak/>
        <w:t>tratarse como derivada y testearse (ej.: todo PD con indicador en SÍ debería encontrar exactamente un PN con su mismo número).</w:t>
      </w:r>
    </w:p>
    <w:p w:rsidR="00474A6F" w:rsidRPr="00C71E80" w:rsidRDefault="00F51DE1">
      <w:pPr>
        <w:pStyle w:val="Ttulo2"/>
        <w:rPr>
          <w:rFonts w:ascii="Calibri" w:hAnsi="Calibri" w:cs="Calibri"/>
          <w:sz w:val="22"/>
          <w:szCs w:val="22"/>
        </w:rPr>
      </w:pPr>
      <w:bookmarkStart w:id="7" w:name="dinámica-temporal"/>
      <w:bookmarkEnd w:id="4"/>
      <w:bookmarkEnd w:id="6"/>
      <w:r w:rsidRPr="00C71E80">
        <w:rPr>
          <w:rFonts w:ascii="Calibri" w:hAnsi="Calibri" w:cs="Calibri"/>
          <w:sz w:val="22"/>
          <w:szCs w:val="22"/>
        </w:rPr>
        <w:t>4. Dinámica temporal</w:t>
      </w:r>
    </w:p>
    <w:p w:rsidR="00474A6F" w:rsidRPr="00C71E80" w:rsidRDefault="00F51DE1">
      <w:pPr>
        <w:pStyle w:val="FirstParagraph"/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 xml:space="preserve">La fuente constituye un </w:t>
      </w:r>
      <w:r w:rsidRPr="00C71E80">
        <w:rPr>
          <w:rFonts w:ascii="Calibri" w:hAnsi="Calibri" w:cs="Calibri"/>
          <w:b/>
          <w:bCs/>
          <w:sz w:val="22"/>
          <w:szCs w:val="22"/>
        </w:rPr>
        <w:t>snapshot oficial y completo</w:t>
      </w:r>
      <w:r w:rsidRPr="00C71E80">
        <w:rPr>
          <w:rFonts w:ascii="Calibri" w:hAnsi="Calibri" w:cs="Calibri"/>
          <w:sz w:val="22"/>
          <w:szCs w:val="22"/>
        </w:rPr>
        <w:t xml:space="preserve"> del Registro Nacional de Partidos Políticos a la fecha de corte. En consecuencia, la ausencia de un </w:t>
      </w:r>
      <w:r w:rsidRPr="00C71E80">
        <w:rPr>
          <w:rStyle w:val="VerbatimChar"/>
          <w:rFonts w:ascii="Calibri" w:hAnsi="Calibri" w:cs="Calibri"/>
          <w:szCs w:val="22"/>
        </w:rPr>
        <w:t>partido_key</w:t>
      </w:r>
      <w:r w:rsidRPr="00C71E80">
        <w:rPr>
          <w:rFonts w:ascii="Calibri" w:hAnsi="Calibri" w:cs="Calibri"/>
          <w:sz w:val="22"/>
          <w:szCs w:val="22"/>
        </w:rPr>
        <w:t xml:space="preserve"> respecto del snapshot anterior disponible representa que ese partido </w:t>
      </w:r>
      <w:r w:rsidRPr="00C71E80">
        <w:rPr>
          <w:rFonts w:ascii="Calibri" w:hAnsi="Calibri" w:cs="Calibri"/>
          <w:b/>
          <w:bCs/>
          <w:sz w:val="22"/>
          <w:szCs w:val="22"/>
        </w:rPr>
        <w:t>ha dejado de estar vigente</w:t>
      </w:r>
      <w:r w:rsidRPr="00C71E80">
        <w:rPr>
          <w:rFonts w:ascii="Calibri" w:hAnsi="Calibri" w:cs="Calibri"/>
          <w:sz w:val="22"/>
          <w:szCs w:val="22"/>
        </w:rPr>
        <w:t xml:space="preserve"> para ese corte.</w:t>
      </w:r>
    </w:p>
    <w:p w:rsidR="00474A6F" w:rsidRPr="00C71E80" w:rsidRDefault="00F51DE1">
      <w:pPr>
        <w:pStyle w:val="Textoindependiente"/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>En la práctica, esto corresponde al inicio del proceso de caducidad (“estado caduco inicial”). La resolución judicial definitiva puede producirse meses o incluso años después, pero el registro deja de integrar el listado oficial de partidos vigentes desde ese momento. Por lo tanto, para efectos analíticos e históricos, la desaparición del snapshot constituye la señal válida para cerrar la vigencia del registro.</w:t>
      </w:r>
    </w:p>
    <w:p w:rsidR="00474A6F" w:rsidRPr="00C71E80" w:rsidRDefault="00F51DE1">
      <w:pPr>
        <w:pStyle w:val="Textoindependiente"/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 xml:space="preserve">Consecuencia de diseño: el snapshot SCD2 debe configurarse con </w:t>
      </w:r>
      <w:r w:rsidRPr="00C71E80">
        <w:rPr>
          <w:rStyle w:val="VerbatimChar"/>
          <w:rFonts w:ascii="Calibri" w:hAnsi="Calibri" w:cs="Calibri"/>
          <w:szCs w:val="22"/>
        </w:rPr>
        <w:t>invalidate_hard_deletes</w:t>
      </w:r>
      <w:r w:rsidRPr="00C71E80">
        <w:rPr>
          <w:rFonts w:ascii="Calibri" w:hAnsi="Calibri" w:cs="Calibri"/>
          <w:sz w:val="22"/>
          <w:szCs w:val="22"/>
        </w:rPr>
        <w:t xml:space="preserve"> activado, para que las desapariciones cierren el registro con </w:t>
      </w:r>
      <w:r w:rsidRPr="00C71E80">
        <w:rPr>
          <w:rStyle w:val="VerbatimChar"/>
          <w:rFonts w:ascii="Calibri" w:hAnsi="Calibri" w:cs="Calibri"/>
          <w:szCs w:val="22"/>
        </w:rPr>
        <w:t>valid_to</w:t>
      </w:r>
      <w:r w:rsidRPr="00C71E80">
        <w:rPr>
          <w:rFonts w:ascii="Calibri" w:hAnsi="Calibri" w:cs="Calibri"/>
          <w:sz w:val="22"/>
          <w:szCs w:val="22"/>
        </w:rPr>
        <w:t xml:space="preserve"> en lugar de quedar vigentes indefinidamente.</w:t>
      </w:r>
    </w:p>
    <w:p w:rsidR="00474A6F" w:rsidRPr="00C71E80" w:rsidRDefault="00F51DE1">
      <w:pPr>
        <w:pStyle w:val="Textoindependiente"/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 xml:space="preserve">Los movimientos del período (altas, bajas/caducidades iniciales) se derivan comparando snapshots consecutivos en el mart </w:t>
      </w:r>
      <w:r w:rsidRPr="00C71E80">
        <w:rPr>
          <w:rStyle w:val="VerbatimChar"/>
          <w:rFonts w:ascii="Calibri" w:hAnsi="Calibri" w:cs="Calibri"/>
          <w:szCs w:val="22"/>
        </w:rPr>
        <w:t>movimientos_mensuales</w:t>
      </w:r>
      <w:r w:rsidRPr="00C71E80">
        <w:rPr>
          <w:rFonts w:ascii="Calibri" w:hAnsi="Calibri" w:cs="Calibri"/>
          <w:sz w:val="22"/>
          <w:szCs w:val="22"/>
        </w:rPr>
        <w:t>.</w:t>
      </w:r>
    </w:p>
    <w:p w:rsidR="00474A6F" w:rsidRPr="00C71E80" w:rsidRDefault="00F51DE1">
      <w:pPr>
        <w:pStyle w:val="Ttulo3"/>
        <w:rPr>
          <w:rFonts w:ascii="Calibri" w:hAnsi="Calibri" w:cs="Calibri"/>
          <w:sz w:val="22"/>
          <w:szCs w:val="22"/>
        </w:rPr>
      </w:pPr>
      <w:bookmarkStart w:id="8" w:name="huecos-en-la-serie-riesgo-crítico"/>
      <w:r w:rsidRPr="00C71E80">
        <w:rPr>
          <w:rFonts w:ascii="Calibri" w:hAnsi="Calibri" w:cs="Calibri"/>
          <w:sz w:val="22"/>
          <w:szCs w:val="22"/>
        </w:rPr>
        <w:t>4.1 Huecos en la serie — riesgo crítico</w:t>
      </w:r>
    </w:p>
    <w:p w:rsidR="00474A6F" w:rsidRPr="00C71E80" w:rsidRDefault="00F51DE1">
      <w:pPr>
        <w:pStyle w:val="FirstParagraph"/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>La serie mensual puede tener meses faltantes. Combinado con la lógica de bajas del punto anterior, esto es la trampa más peligrosa del diseño:</w:t>
      </w:r>
    </w:p>
    <w:p w:rsidR="00474A6F" w:rsidRPr="00C71E80" w:rsidRDefault="00F51DE1">
      <w:pPr>
        <w:pStyle w:val="Textoindependiente"/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>Si un mes falta y el pipeline lo interpreta como “un snapshot vacío”, el SCD2 cerraría de golpe los ~700 partidos como si todos hubieran caducado ese mes.</w:t>
      </w:r>
    </w:p>
    <w:p w:rsidR="00474A6F" w:rsidRPr="00C71E80" w:rsidRDefault="00F51DE1">
      <w:pPr>
        <w:pStyle w:val="Textoindependiente"/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>Reglas de mitigación:</w:t>
      </w:r>
    </w:p>
    <w:p w:rsidR="00474A6F" w:rsidRPr="00C71E80" w:rsidRDefault="00F51DE1">
      <w:pPr>
        <w:pStyle w:val="Compac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>Ausencia ≠ snapshot vacío. El pipeline solo procesa archivos que existen. Nunca se genera una fila, ni un snapshot vacío, para un mes sin archivo.</w:t>
      </w:r>
    </w:p>
    <w:p w:rsidR="00474A6F" w:rsidRPr="00C71E80" w:rsidRDefault="00F51DE1">
      <w:pPr>
        <w:pStyle w:val="Compac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 xml:space="preserve">Comparar contra el snapshot anterior disponible, no contra “el mes anterior” calendario. En </w:t>
      </w:r>
      <w:r w:rsidRPr="00C71E80">
        <w:rPr>
          <w:rStyle w:val="VerbatimChar"/>
          <w:rFonts w:ascii="Calibri" w:hAnsi="Calibri" w:cs="Calibri"/>
          <w:szCs w:val="22"/>
        </w:rPr>
        <w:t>movimientos_mensuales</w:t>
      </w:r>
      <w:r w:rsidRPr="00C71E80">
        <w:rPr>
          <w:rFonts w:ascii="Calibri" w:hAnsi="Calibri" w:cs="Calibri"/>
          <w:sz w:val="22"/>
          <w:szCs w:val="22"/>
        </w:rPr>
        <w:t xml:space="preserve">, usar </w:t>
      </w:r>
      <w:r w:rsidRPr="00C71E80">
        <w:rPr>
          <w:rStyle w:val="VerbatimChar"/>
          <w:rFonts w:ascii="Calibri" w:hAnsi="Calibri" w:cs="Calibri"/>
          <w:szCs w:val="22"/>
        </w:rPr>
        <w:t>LAG(...) OVER (ORDER BY snapshot_date)</w:t>
      </w:r>
      <w:r w:rsidRPr="00C71E80">
        <w:rPr>
          <w:rFonts w:ascii="Calibri" w:hAnsi="Calibri" w:cs="Calibri"/>
          <w:sz w:val="22"/>
          <w:szCs w:val="22"/>
        </w:rPr>
        <w:t xml:space="preserve"> sobre las fechas realmente cargadas.</w:t>
      </w:r>
    </w:p>
    <w:p w:rsidR="00474A6F" w:rsidRPr="00C71E80" w:rsidRDefault="00F51DE1">
      <w:pPr>
        <w:pStyle w:val="Compac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 xml:space="preserve">Etiquetar el hueco. Los movimientos calculados sobre un salto de más de un mes cubren un período mayor: exponer </w:t>
      </w:r>
      <w:r w:rsidRPr="00C71E80">
        <w:rPr>
          <w:rStyle w:val="VerbatimChar"/>
          <w:rFonts w:ascii="Calibri" w:hAnsi="Calibri" w:cs="Calibri"/>
          <w:szCs w:val="22"/>
        </w:rPr>
        <w:t>meses_transcurridos</w:t>
      </w:r>
      <w:r w:rsidRPr="00C71E80">
        <w:rPr>
          <w:rFonts w:ascii="Calibri" w:hAnsi="Calibri" w:cs="Calibri"/>
          <w:sz w:val="22"/>
          <w:szCs w:val="22"/>
        </w:rPr>
        <w:t xml:space="preserve"> en el mart para que el tablero no presente un salto de 3 meses como si fuera variación mensual.</w:t>
      </w:r>
    </w:p>
    <w:p w:rsidR="00474A6F" w:rsidRPr="00C71E80" w:rsidRDefault="00F51DE1">
      <w:pPr>
        <w:pStyle w:val="Compac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>Guardia de volumen en la ingesta. Si el conteo de filas cae más de un umbral (ej. 20%) respecto del snapshot anterior, abortar y pedir revisión manual. El umbral debe ser configurable y protege contra archivos truncados, descargas incompletas u otros problemas de publicación.</w:t>
      </w:r>
    </w:p>
    <w:p w:rsidR="00474A6F" w:rsidRPr="00C71E80" w:rsidRDefault="00F51DE1">
      <w:pPr>
        <w:pStyle w:val="Compact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C71E80">
        <w:rPr>
          <w:rFonts w:ascii="Calibri" w:hAnsi="Calibri" w:cs="Calibri"/>
          <w:sz w:val="22"/>
          <w:szCs w:val="22"/>
        </w:rPr>
        <w:t>Documentar los huecos conocidos en este archivo a medida que se detecten, para que el README pueda explicarlos.</w:t>
      </w:r>
      <w:bookmarkEnd w:id="0"/>
      <w:bookmarkEnd w:id="7"/>
      <w:bookmarkEnd w:id="8"/>
    </w:p>
    <w:sectPr w:rsidR="00474A6F" w:rsidRPr="00C71E80" w:rsidSect="00474A6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F61645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6C88345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474A6F"/>
    <w:rsid w:val="00206B82"/>
    <w:rsid w:val="00474A6F"/>
    <w:rsid w:val="006F0D3D"/>
    <w:rsid w:val="00C71E80"/>
    <w:rsid w:val="00F51D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474A6F"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rsid w:val="00474A6F"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  <w:rsid w:val="00474A6F"/>
  </w:style>
  <w:style w:type="paragraph" w:customStyle="1" w:styleId="Compact">
    <w:name w:val="Compact"/>
    <w:basedOn w:val="Textoindependiente"/>
    <w:qFormat/>
    <w:rsid w:val="00474A6F"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rsid w:val="00474A6F"/>
    <w:pPr>
      <w:keepNext/>
      <w:keepLines/>
      <w:jc w:val="center"/>
    </w:pPr>
  </w:style>
  <w:style w:type="paragraph" w:styleId="Fecha">
    <w:name w:val="Date"/>
    <w:next w:val="Textoindependiente"/>
    <w:qFormat/>
    <w:rsid w:val="00474A6F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474A6F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rsid w:val="00474A6F"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  <w:rsid w:val="00474A6F"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474A6F"/>
    <w:pPr>
      <w:spacing w:before="100" w:after="100"/>
      <w:ind w:left="480" w:right="480"/>
    </w:pPr>
  </w:style>
  <w:style w:type="paragraph" w:customStyle="1" w:styleId="FootnoteText">
    <w:name w:val="Footnote Text"/>
    <w:basedOn w:val="Normal"/>
    <w:uiPriority w:val="9"/>
    <w:unhideWhenUsed/>
    <w:qFormat/>
    <w:rsid w:val="00474A6F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474A6F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474A6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474A6F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474A6F"/>
  </w:style>
  <w:style w:type="paragraph" w:customStyle="1" w:styleId="Caption">
    <w:name w:val="Caption"/>
    <w:basedOn w:val="Normal"/>
    <w:link w:val="TextoindependienteCar"/>
    <w:rsid w:val="00474A6F"/>
    <w:pPr>
      <w:spacing w:after="120"/>
    </w:pPr>
    <w:rPr>
      <w:i/>
    </w:rPr>
  </w:style>
  <w:style w:type="paragraph" w:customStyle="1" w:styleId="TableCaption">
    <w:name w:val="Table Caption"/>
    <w:basedOn w:val="Caption"/>
    <w:rsid w:val="00474A6F"/>
    <w:pPr>
      <w:keepNext/>
    </w:pPr>
  </w:style>
  <w:style w:type="paragraph" w:customStyle="1" w:styleId="ImageCaption">
    <w:name w:val="Image Caption"/>
    <w:basedOn w:val="Caption"/>
    <w:rsid w:val="00474A6F"/>
  </w:style>
  <w:style w:type="paragraph" w:customStyle="1" w:styleId="Figure">
    <w:name w:val="Figure"/>
    <w:basedOn w:val="Normal"/>
    <w:rsid w:val="00474A6F"/>
  </w:style>
  <w:style w:type="paragraph" w:customStyle="1" w:styleId="CaptionedFigure">
    <w:name w:val="Captioned Figure"/>
    <w:basedOn w:val="Figure"/>
    <w:rsid w:val="00474A6F"/>
    <w:pPr>
      <w:keepNext/>
    </w:pPr>
  </w:style>
  <w:style w:type="character" w:customStyle="1" w:styleId="TextoindependienteCar">
    <w:name w:val="Texto independiente Car"/>
    <w:basedOn w:val="Fuentedeprrafopredeter"/>
    <w:link w:val="Caption"/>
    <w:rsid w:val="00474A6F"/>
  </w:style>
  <w:style w:type="character" w:customStyle="1" w:styleId="VerbatimChar">
    <w:name w:val="Verbatim Char"/>
    <w:basedOn w:val="TextoindependienteCar"/>
    <w:link w:val="SourceCode"/>
    <w:rsid w:val="00474A6F"/>
    <w:rPr>
      <w:rFonts w:ascii="Consolas" w:hAnsi="Consolas"/>
      <w:sz w:val="22"/>
    </w:rPr>
  </w:style>
  <w:style w:type="character" w:customStyle="1" w:styleId="SectionNumber">
    <w:name w:val="Section Number"/>
    <w:basedOn w:val="TextoindependienteCar"/>
    <w:rsid w:val="00474A6F"/>
  </w:style>
  <w:style w:type="character" w:customStyle="1" w:styleId="FootnoteReference">
    <w:name w:val="Footnote Reference"/>
    <w:basedOn w:val="TextoindependienteCar"/>
    <w:rsid w:val="00474A6F"/>
    <w:rPr>
      <w:vertAlign w:val="superscript"/>
    </w:rPr>
  </w:style>
  <w:style w:type="character" w:styleId="Hipervnculo">
    <w:name w:val="Hyperlink"/>
    <w:basedOn w:val="TextoindependienteCar"/>
    <w:rsid w:val="00474A6F"/>
    <w:rPr>
      <w:color w:val="156082" w:themeColor="accent1"/>
    </w:rPr>
  </w:style>
  <w:style w:type="paragraph" w:styleId="TtulodeTDC">
    <w:name w:val="TOC Heading"/>
    <w:basedOn w:val="Ttulo1"/>
    <w:next w:val="Textoindependiente"/>
    <w:uiPriority w:val="39"/>
    <w:unhideWhenUsed/>
    <w:qFormat/>
    <w:rsid w:val="00474A6F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474A6F"/>
    <w:pPr>
      <w:wordWrap w:val="0"/>
    </w:pPr>
  </w:style>
  <w:style w:type="character" w:customStyle="1" w:styleId="KeywordTok">
    <w:name w:val="KeywordTok"/>
    <w:basedOn w:val="VerbatimChar"/>
    <w:rsid w:val="00474A6F"/>
    <w:rPr>
      <w:b/>
      <w:color w:val="007020"/>
    </w:rPr>
  </w:style>
  <w:style w:type="character" w:customStyle="1" w:styleId="DataTypeTok">
    <w:name w:val="DataTypeTok"/>
    <w:basedOn w:val="VerbatimChar"/>
    <w:rsid w:val="00474A6F"/>
    <w:rPr>
      <w:color w:val="902000"/>
    </w:rPr>
  </w:style>
  <w:style w:type="character" w:customStyle="1" w:styleId="DecValTok">
    <w:name w:val="DecValTok"/>
    <w:basedOn w:val="VerbatimChar"/>
    <w:rsid w:val="00474A6F"/>
    <w:rPr>
      <w:color w:val="40A070"/>
    </w:rPr>
  </w:style>
  <w:style w:type="character" w:customStyle="1" w:styleId="BaseNTok">
    <w:name w:val="BaseNTok"/>
    <w:basedOn w:val="VerbatimChar"/>
    <w:rsid w:val="00474A6F"/>
    <w:rPr>
      <w:color w:val="40A070"/>
    </w:rPr>
  </w:style>
  <w:style w:type="character" w:customStyle="1" w:styleId="FloatTok">
    <w:name w:val="FloatTok"/>
    <w:basedOn w:val="VerbatimChar"/>
    <w:rsid w:val="00474A6F"/>
    <w:rPr>
      <w:color w:val="40A070"/>
    </w:rPr>
  </w:style>
  <w:style w:type="character" w:customStyle="1" w:styleId="ConstantTok">
    <w:name w:val="ConstantTok"/>
    <w:basedOn w:val="VerbatimChar"/>
    <w:rsid w:val="00474A6F"/>
    <w:rPr>
      <w:color w:val="880000"/>
    </w:rPr>
  </w:style>
  <w:style w:type="character" w:customStyle="1" w:styleId="CharTok">
    <w:name w:val="CharTok"/>
    <w:basedOn w:val="VerbatimChar"/>
    <w:rsid w:val="00474A6F"/>
    <w:rPr>
      <w:color w:val="4070A0"/>
    </w:rPr>
  </w:style>
  <w:style w:type="character" w:customStyle="1" w:styleId="SpecialCharTok">
    <w:name w:val="SpecialCharTok"/>
    <w:basedOn w:val="VerbatimChar"/>
    <w:rsid w:val="00474A6F"/>
    <w:rPr>
      <w:color w:val="4070A0"/>
    </w:rPr>
  </w:style>
  <w:style w:type="character" w:customStyle="1" w:styleId="StringTok">
    <w:name w:val="StringTok"/>
    <w:basedOn w:val="VerbatimChar"/>
    <w:rsid w:val="00474A6F"/>
    <w:rPr>
      <w:color w:val="4070A0"/>
    </w:rPr>
  </w:style>
  <w:style w:type="character" w:customStyle="1" w:styleId="VerbatimStringTok">
    <w:name w:val="VerbatimStringTok"/>
    <w:basedOn w:val="VerbatimChar"/>
    <w:rsid w:val="00474A6F"/>
    <w:rPr>
      <w:color w:val="4070A0"/>
    </w:rPr>
  </w:style>
  <w:style w:type="character" w:customStyle="1" w:styleId="SpecialStringTok">
    <w:name w:val="SpecialStringTok"/>
    <w:basedOn w:val="VerbatimChar"/>
    <w:rsid w:val="00474A6F"/>
    <w:rPr>
      <w:color w:val="BB6688"/>
    </w:rPr>
  </w:style>
  <w:style w:type="character" w:customStyle="1" w:styleId="ImportTok">
    <w:name w:val="ImportTok"/>
    <w:basedOn w:val="VerbatimChar"/>
    <w:rsid w:val="00474A6F"/>
    <w:rPr>
      <w:b/>
      <w:color w:val="008000"/>
    </w:rPr>
  </w:style>
  <w:style w:type="character" w:customStyle="1" w:styleId="CommentTok">
    <w:name w:val="CommentTok"/>
    <w:basedOn w:val="VerbatimChar"/>
    <w:rsid w:val="00474A6F"/>
    <w:rPr>
      <w:i/>
      <w:color w:val="60A0B0"/>
    </w:rPr>
  </w:style>
  <w:style w:type="character" w:customStyle="1" w:styleId="DocumentationTok">
    <w:name w:val="DocumentationTok"/>
    <w:basedOn w:val="VerbatimChar"/>
    <w:rsid w:val="00474A6F"/>
    <w:rPr>
      <w:i/>
      <w:color w:val="BA2121"/>
    </w:rPr>
  </w:style>
  <w:style w:type="character" w:customStyle="1" w:styleId="AnnotationTok">
    <w:name w:val="AnnotationTok"/>
    <w:basedOn w:val="VerbatimChar"/>
    <w:rsid w:val="00474A6F"/>
    <w:rPr>
      <w:b/>
      <w:i/>
      <w:color w:val="60A0B0"/>
    </w:rPr>
  </w:style>
  <w:style w:type="character" w:customStyle="1" w:styleId="CommentVarTok">
    <w:name w:val="CommentVarTok"/>
    <w:basedOn w:val="VerbatimChar"/>
    <w:rsid w:val="00474A6F"/>
    <w:rPr>
      <w:b/>
      <w:i/>
      <w:color w:val="60A0B0"/>
    </w:rPr>
  </w:style>
  <w:style w:type="character" w:customStyle="1" w:styleId="OtherTok">
    <w:name w:val="OtherTok"/>
    <w:basedOn w:val="VerbatimChar"/>
    <w:rsid w:val="00474A6F"/>
    <w:rPr>
      <w:color w:val="007020"/>
    </w:rPr>
  </w:style>
  <w:style w:type="character" w:customStyle="1" w:styleId="FunctionTok">
    <w:name w:val="FunctionTok"/>
    <w:basedOn w:val="VerbatimChar"/>
    <w:rsid w:val="00474A6F"/>
    <w:rPr>
      <w:color w:val="06287E"/>
    </w:rPr>
  </w:style>
  <w:style w:type="character" w:customStyle="1" w:styleId="VariableTok">
    <w:name w:val="VariableTok"/>
    <w:basedOn w:val="VerbatimChar"/>
    <w:rsid w:val="00474A6F"/>
    <w:rPr>
      <w:color w:val="19177C"/>
    </w:rPr>
  </w:style>
  <w:style w:type="character" w:customStyle="1" w:styleId="ControlFlowTok">
    <w:name w:val="ControlFlowTok"/>
    <w:basedOn w:val="VerbatimChar"/>
    <w:rsid w:val="00474A6F"/>
    <w:rPr>
      <w:b/>
      <w:color w:val="007020"/>
    </w:rPr>
  </w:style>
  <w:style w:type="character" w:customStyle="1" w:styleId="OperatorTok">
    <w:name w:val="OperatorTok"/>
    <w:basedOn w:val="VerbatimChar"/>
    <w:rsid w:val="00474A6F"/>
    <w:rPr>
      <w:color w:val="666666"/>
    </w:rPr>
  </w:style>
  <w:style w:type="character" w:customStyle="1" w:styleId="BuiltInTok">
    <w:name w:val="BuiltInTok"/>
    <w:basedOn w:val="VerbatimChar"/>
    <w:rsid w:val="00474A6F"/>
    <w:rPr>
      <w:color w:val="008000"/>
    </w:rPr>
  </w:style>
  <w:style w:type="character" w:customStyle="1" w:styleId="ExtensionTok">
    <w:name w:val="ExtensionTok"/>
    <w:basedOn w:val="VerbatimChar"/>
    <w:rsid w:val="00474A6F"/>
  </w:style>
  <w:style w:type="character" w:customStyle="1" w:styleId="PreprocessorTok">
    <w:name w:val="PreprocessorTok"/>
    <w:basedOn w:val="VerbatimChar"/>
    <w:rsid w:val="00474A6F"/>
    <w:rPr>
      <w:color w:val="BC7A00"/>
    </w:rPr>
  </w:style>
  <w:style w:type="character" w:customStyle="1" w:styleId="AttributeTok">
    <w:name w:val="AttributeTok"/>
    <w:basedOn w:val="VerbatimChar"/>
    <w:rsid w:val="00474A6F"/>
    <w:rPr>
      <w:color w:val="7D9029"/>
    </w:rPr>
  </w:style>
  <w:style w:type="character" w:customStyle="1" w:styleId="RegionMarkerTok">
    <w:name w:val="RegionMarkerTok"/>
    <w:basedOn w:val="VerbatimChar"/>
    <w:rsid w:val="00474A6F"/>
  </w:style>
  <w:style w:type="character" w:customStyle="1" w:styleId="InformationTok">
    <w:name w:val="InformationTok"/>
    <w:basedOn w:val="VerbatimChar"/>
    <w:rsid w:val="00474A6F"/>
    <w:rPr>
      <w:b/>
      <w:i/>
      <w:color w:val="60A0B0"/>
    </w:rPr>
  </w:style>
  <w:style w:type="character" w:customStyle="1" w:styleId="WarningTok">
    <w:name w:val="WarningTok"/>
    <w:basedOn w:val="VerbatimChar"/>
    <w:rsid w:val="00474A6F"/>
    <w:rPr>
      <w:b/>
      <w:i/>
      <w:color w:val="60A0B0"/>
    </w:rPr>
  </w:style>
  <w:style w:type="character" w:customStyle="1" w:styleId="AlertTok">
    <w:name w:val="AlertTok"/>
    <w:basedOn w:val="VerbatimChar"/>
    <w:rsid w:val="00474A6F"/>
    <w:rPr>
      <w:b/>
      <w:color w:val="FF0000"/>
    </w:rPr>
  </w:style>
  <w:style w:type="character" w:customStyle="1" w:styleId="ErrorTok">
    <w:name w:val="ErrorTok"/>
    <w:basedOn w:val="VerbatimChar"/>
    <w:rsid w:val="00474A6F"/>
    <w:rPr>
      <w:b/>
      <w:color w:val="FF0000"/>
    </w:rPr>
  </w:style>
  <w:style w:type="character" w:customStyle="1" w:styleId="NormalTok">
    <w:name w:val="NormalTok"/>
    <w:basedOn w:val="VerbatimChar"/>
    <w:rsid w:val="00474A6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1433</Words>
  <Characters>7882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Andrés Miño</dc:creator>
  <cp:lastModifiedBy>Andrés Miño</cp:lastModifiedBy>
  <cp:revision>2</cp:revision>
  <dcterms:created xsi:type="dcterms:W3CDTF">2026-07-22T13:49:00Z</dcterms:created>
  <dcterms:modified xsi:type="dcterms:W3CDTF">2026-07-22T13:49:00Z</dcterms:modified>
</cp:coreProperties>
</file>