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0" w:name="content"/>
    <w:bookmarkStart w:id="69" w:name="X5d5d038e8c2a24d24cd9b5b26f1d0a11cd4100c"/>
    <w:p>
      <w:pPr>
        <w:pStyle w:val="Heading1"/>
      </w:pPr>
      <w:r>
        <w:t xml:space="preserve">Multi-Agency Drone/Sensor COP – Technical Standards</w:t>
      </w:r>
    </w:p>
    <w:bookmarkStart w:id="22" w:name="introduction-and-architecture"/>
    <w:p>
      <w:pPr>
        <w:pStyle w:val="Heading2"/>
      </w:pPr>
      <w:r>
        <w:t xml:space="preserve">1. Introduction and Architecture</w:t>
      </w:r>
    </w:p>
    <w:p>
      <w:pPr>
        <w:pStyle w:val="FirstParagraph"/>
      </w:pPr>
      <w:r>
        <w:t xml:space="preserve">A multi-agency Drone Common Operating Picture (COP) requires a</w:t>
      </w:r>
      <w:r>
        <w:t xml:space="preserve"> </w:t>
      </w:r>
      <w:r>
        <w:rPr>
          <w:b/>
          <w:bCs/>
        </w:rPr>
        <w:t xml:space="preserve">unified situational awareness</w:t>
      </w:r>
      <w:r>
        <w:t xml:space="preserve"> </w:t>
      </w:r>
      <w:r>
        <w:t xml:space="preserve">built on open, modular principles. We adopt a Modular Open Systems Approach (MOSA) and Sensor Open Systems Architecture (SOSA) mindset: interfaces are standardized, the core system uses only open formats, and new sensors plug in via “adapters” that normalize proprietary data. This avoids vendor lock-in and ensures the core COP can scale and evolve without redesign. Each sensor (radar, camera, RF, etc.) outputs in a</w:t>
      </w:r>
      <w:r>
        <w:t xml:space="preserve"> </w:t>
      </w:r>
      <w:r>
        <w:rPr>
          <w:i/>
          <w:iCs/>
        </w:rPr>
        <w:t xml:space="preserve">canonical format</w:t>
      </w:r>
      <w:r>
        <w:t xml:space="preserve"> </w:t>
      </w:r>
      <w:r>
        <w:t xml:space="preserve">(or an adapter converts it) so the COP’s internal “bus” carries only open, interoperable protocols. The COP then fuses and displays all tracks in real time, with</w:t>
      </w:r>
      <w:r>
        <w:t xml:space="preserve"> </w:t>
      </w:r>
      <w:r>
        <w:rPr>
          <w:b/>
          <w:bCs/>
        </w:rPr>
        <w:t xml:space="preserve">role-based access</w:t>
      </w:r>
      <w:r>
        <w:t xml:space="preserve"> </w:t>
      </w:r>
      <w:r>
        <w:t xml:space="preserve">so agencies see the data they’re cleared to see (hiding any sensitive details).</w:t>
      </w:r>
    </w:p>
    <w:p>
      <w:pPr>
        <w:pStyle w:val="BodyText"/>
      </w:pPr>
      <w:r>
        <w:t xml:space="preserve">Each chapter below details the recommended standards and why they were chosen, with alternatives noted. A summary at the end of each chapter highlights key points.</w:t>
      </w:r>
    </w:p>
    <w:bookmarkStart w:id="21" w:name="core-objectives"/>
    <w:p>
      <w:pPr>
        <w:pStyle w:val="Heading3"/>
      </w:pPr>
      <w:r>
        <w:t xml:space="preserve">1.1 Core 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Unified COP</w:t>
      </w:r>
      <w:r>
        <w:t xml:space="preserve"> </w:t>
      </w:r>
      <w:r>
        <w:t xml:space="preserve">– All sensors feed a common display of tracks/alerts, eliminating silos.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Modular Integration</w:t>
      </w:r>
      <w:r>
        <w:t xml:space="preserve"> </w:t>
      </w:r>
      <w:r>
        <w:t xml:space="preserve">– New sensor types connect via standardized adapters, without re-architecting the system.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Multi-Agency Roles</w:t>
      </w:r>
      <w:r>
        <w:t xml:space="preserve"> </w:t>
      </w:r>
      <w:r>
        <w:t xml:space="preserve">– Fine-grained access (Attribute-Based Access Control) ensures data visibility only to authorized users, even across agencies.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Performance</w:t>
      </w:r>
      <w:r>
        <w:t xml:space="preserve"> </w:t>
      </w:r>
      <w:r>
        <w:t xml:space="preserve">– Sensors timestamped with microsecond accuracy and prioritized on the network so detection data shows up with minimal delay.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and Provenance</w:t>
      </w:r>
      <w:r>
        <w:t xml:space="preserve"> </w:t>
      </w:r>
      <w:r>
        <w:t xml:space="preserve">– Every data packet and user action is logged in structured, tamper-resistant logs for accountability.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The system is designed as an open, modular COP: plug-and-play sensors, standardized data models, and secure sharing across agencies. This maximizes interoperability and future-proofs the architecture.</w:t>
      </w:r>
    </w:p>
    <w:bookmarkEnd w:id="21"/>
    <w:bookmarkEnd w:id="22"/>
    <w:bookmarkStart w:id="29" w:name="network-infrastructure-standards"/>
    <w:p>
      <w:pPr>
        <w:pStyle w:val="Heading2"/>
      </w:pPr>
      <w:r>
        <w:t xml:space="preserve">2. Network Infrastructure Standards</w:t>
      </w:r>
    </w:p>
    <w:bookmarkStart w:id="23" w:name="ip-networking-and-segmentation"/>
    <w:p>
      <w:pPr>
        <w:pStyle w:val="Heading3"/>
      </w:pPr>
      <w:r>
        <w:t xml:space="preserve">2.1 IP Networking and Segmentation</w:t>
      </w:r>
    </w:p>
    <w:p>
      <w:pPr>
        <w:pStyle w:val="FirstParagraph"/>
      </w:pPr>
      <w:r>
        <w:t xml:space="preserve">We build on an</w:t>
      </w:r>
      <w:r>
        <w:t xml:space="preserve"> </w:t>
      </w:r>
      <w:r>
        <w:rPr>
          <w:b/>
          <w:bCs/>
        </w:rPr>
        <w:t xml:space="preserve">IPv4/IPv6 dual-stack</w:t>
      </w:r>
      <w:r>
        <w:t xml:space="preserve"> </w:t>
      </w:r>
      <w:r>
        <w:t xml:space="preserve">network, since IPv6 provides virtually unlimited addresses for many sensors, while maintaining IPv4 compatibility. All new hardware must support both protocols. Sensors and systems are grouped into</w:t>
      </w:r>
      <w:r>
        <w:t xml:space="preserve"> </w:t>
      </w:r>
      <w:r>
        <w:rPr>
          <w:b/>
          <w:bCs/>
        </w:rPr>
        <w:t xml:space="preserve">VLANs</w:t>
      </w:r>
      <w:r>
        <w:t xml:space="preserve"> </w:t>
      </w:r>
      <w:r>
        <w:t xml:space="preserve">by function (e.g. radar VLAN, camera VLAN, management VLAN) and by trust level. No implicit routing is allowed between VLANs – traffic is explicitly filtered by firewalls. This segmentation contains any breaches and limits broadcast domains, improving both security and performance.</w:t>
      </w:r>
    </w:p>
    <w:p>
      <w:pPr>
        <w:pStyle w:val="BlockText"/>
      </w:pPr>
      <w:r>
        <w:rPr>
          <w:b/>
          <w:bCs/>
        </w:rPr>
        <w:t xml:space="preserve">Why IPv6?</w:t>
      </w:r>
      <w:r>
        <w:t xml:space="preserve"> </w:t>
      </w:r>
      <w:r>
        <w:t xml:space="preserve">Large-scale sensor deployments (airports, borders, cities) require many IPs, which IPv6 easily supplies. IPv4 runs in parallel for legacy gear. VLANs create “air-gaps” logically: e.g. a radar VLAN can’t directly talk to a camera VLAN unless rules allow it.</w:t>
      </w:r>
    </w:p>
    <w:bookmarkEnd w:id="23"/>
    <w:bookmarkStart w:id="28" w:name="multicast-and-data-distribution"/>
    <w:p>
      <w:pPr>
        <w:pStyle w:val="Heading3"/>
      </w:pPr>
      <w:r>
        <w:t xml:space="preserve">2.2 Multicast and Data Distribution</w:t>
      </w:r>
    </w:p>
    <w:bookmarkStart w:id="25" w:name="primary-source-specific-multicast-ssm"/>
    <w:p>
      <w:pPr>
        <w:pStyle w:val="Heading4"/>
      </w:pPr>
      <w:r>
        <w:t xml:space="preserve">Primary: Source-Specific Multicast (SSM)</w:t>
      </w:r>
    </w:p>
    <w:p>
      <w:pPr>
        <w:pStyle w:val="FirstParagraph"/>
      </w:pPr>
      <w:r>
        <w:t xml:space="preserve">For efficient one-to-many data streams (like video and radar feeds), we use</w:t>
      </w:r>
      <w:r>
        <w:t xml:space="preserve"> </w:t>
      </w:r>
      <w:r>
        <w:rPr>
          <w:b/>
          <w:bCs/>
        </w:rPr>
        <w:t xml:space="preserve">Source-Specific Multicast (SSM)</w:t>
      </w:r>
      <w:r>
        <w:t xml:space="preserve"> </w:t>
      </w:r>
      <w:r>
        <w:t xml:space="preserve">via PIM-SSM routing. In SSM, each multicast “channel” is defined by a specific</w:t>
      </w:r>
      <w:r>
        <w:t xml:space="preserve"> </w:t>
      </w:r>
      <w:r>
        <w:rPr>
          <w:i/>
          <w:iCs/>
        </w:rPr>
        <w:t xml:space="preserve">(S,G)</w:t>
      </w:r>
      <w:r>
        <w:t xml:space="preserve"> </w:t>
      </w:r>
      <w:r>
        <w:t xml:space="preserve">pair (source IP, group IP)</w:t>
      </w:r>
      <w:hyperlink r:id="rId24">
        <w:r>
          <w:rPr>
            <w:rStyle w:val="Hyperlink"/>
          </w:rPr>
          <w:t xml:space="preserve">[1]</w:t>
        </w:r>
      </w:hyperlink>
      <w:r>
        <w:t xml:space="preserve">. Receivers explicitly join the stream from a trusted source S, so they cannot be tricked into receiving data from unknown sources. In effect, receivers say “only take traffic from this source IP for this group IP,” which</w:t>
      </w:r>
      <w:r>
        <w:t xml:space="preserve"> </w:t>
      </w:r>
      <w:r>
        <w:rPr>
          <w:b/>
          <w:bCs/>
        </w:rPr>
        <w:t xml:space="preserve">eliminates the ASM risk of rogue data injection</w:t>
      </w:r>
      <w:hyperlink r:id="rId24">
        <w:r>
          <w:rPr>
            <w:rStyle w:val="Hyperlink"/>
          </w:rPr>
          <w:t xml:space="preserve">[1]</w:t>
        </w:r>
      </w:hyperlink>
      <w:r>
        <w:t xml:space="preserve">. The reserved IPv4 SSM range (232.0.0.0/8) and IPv6 SSM range (FF3x::/32) are used. Receivers must run IGMPv3 (IPv4) or MLDv2 (IPv6) to filter by source.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Rationale:</w:t>
      </w:r>
      <w:r>
        <w:t xml:space="preserve"> </w:t>
      </w:r>
      <w:r>
        <w:t xml:space="preserve">SSM’s (S,G) model gives each agency confidence they receive only authenticated sensor streams. Unlike Any-Source Multicast (ASM), unauthorized sources cannot inject fake video or radar data, since no one will join the (S,G) if S is unknown or malicious</w:t>
      </w:r>
      <w:hyperlink r:id="rId24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Implementation:</w:t>
      </w:r>
      <w:r>
        <w:t xml:space="preserve"> </w:t>
      </w:r>
      <w:r>
        <w:t xml:space="preserve">Network devices (switches/routers) must support PIM-SSM and IGMPv3/MLDv2 snooping. Multicast from legacy systems (ASM) is avoided or given special exception.</w:t>
      </w:r>
    </w:p>
    <w:p>
      <w:pPr>
        <w:pStyle w:val="BlockText"/>
      </w:pPr>
      <w:r>
        <w:rPr>
          <w:b/>
          <w:bCs/>
        </w:rPr>
        <w:t xml:space="preserve">Alternative (unicast):</w:t>
      </w:r>
      <w:r>
        <w:t xml:space="preserve"> </w:t>
      </w:r>
      <w:r>
        <w:t xml:space="preserve">If multicast isn’t possible (e.g. public networks), a brokered approach (MQTT, AMQP, WebSockets) can deliver the data, though this adds latency and bandwidth overhead.</w:t>
      </w:r>
    </w:p>
    <w:bookmarkEnd w:id="25"/>
    <w:bookmarkStart w:id="27" w:name="quality-of-service-qos-and-tsn"/>
    <w:p>
      <w:pPr>
        <w:pStyle w:val="Heading4"/>
      </w:pPr>
      <w:r>
        <w:t xml:space="preserve">2.3 Quality of Service (QoS) and TSN</w:t>
      </w:r>
    </w:p>
    <w:p>
      <w:pPr>
        <w:pStyle w:val="FirstParagraph"/>
      </w:pPr>
      <w:r>
        <w:t xml:space="preserve">Sensor data have different urgency. We mark traffic with</w:t>
      </w:r>
      <w:r>
        <w:t xml:space="preserve"> </w:t>
      </w:r>
      <w:r>
        <w:rPr>
          <w:b/>
          <w:bCs/>
        </w:rPr>
        <w:t xml:space="preserve">Differentiated Services Code Points (DSCP)</w:t>
      </w:r>
      <w:r>
        <w:t xml:space="preserve"> </w:t>
      </w:r>
      <w:r>
        <w:t xml:space="preserve">to prioritize it in the network</w:t>
      </w:r>
      <w:hyperlink r:id="rId26">
        <w:r>
          <w:rPr>
            <w:rStyle w:val="Hyperlink"/>
          </w:rPr>
          <w:t xml:space="preserve">[2]</w:t>
        </w:r>
      </w:hyperlink>
      <w:r>
        <w:t xml:space="preserve">. For example, critical control messages (flight safety alerts) get</w:t>
      </w:r>
      <w:r>
        <w:t xml:space="preserve"> </w:t>
      </w:r>
      <w:r>
        <w:rPr>
          <w:i/>
          <w:iCs/>
        </w:rPr>
        <w:t xml:space="preserve">Expedited Forwarding</w:t>
      </w:r>
      <w:r>
        <w:t xml:space="preserve"> </w:t>
      </w:r>
      <w:r>
        <w:t xml:space="preserve">(EF, DSCP 46) for lowest latency, while video streams use</w:t>
      </w:r>
      <w:r>
        <w:t xml:space="preserve"> </w:t>
      </w:r>
      <w:r>
        <w:rPr>
          <w:i/>
          <w:iCs/>
        </w:rPr>
        <w:t xml:space="preserve">Assured Forwarding</w:t>
      </w:r>
      <w:r>
        <w:t xml:space="preserve"> </w:t>
      </w:r>
      <w:r>
        <w:t xml:space="preserve">(AF41, DSCP 34). Even within video/radar, mission-critical tracks might use higher-priority AF41, while routine feeds might use AF31 (DSCP 26). By classifying traffic, switches can schedule queues so a big video upload can’t starve out a high-priority alert.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TSN Scheduling:</w:t>
      </w:r>
      <w:r>
        <w:t xml:space="preserve"> </w:t>
      </w:r>
      <w:r>
        <w:t xml:space="preserve">On TSN-capable switches, 802.1Qbv Time-Aware Shaping enforces fixed transmission windows for high-priority traffic, giving deterministic latency. For example, a 4K camera’s bulk stream is held back when an alert packet’s slot comes up.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Mapping:</w:t>
      </w:r>
      <w:r>
        <w:t xml:space="preserve"> </w:t>
      </w:r>
      <w:r>
        <w:t xml:space="preserve">All devices mark packets at source. Switches and routers have consistent queue-maps (e.g. DSCP 46→priority 1 queue). This ensures end-to-end QoS.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Rationale:</w:t>
      </w:r>
      <w:r>
        <w:t xml:space="preserve"> </w:t>
      </w:r>
      <w:r>
        <w:t xml:space="preserve">Without QoS, a sudden flood of video could delay urgent track data. DSCP+TSN ensures “Drone Detected!” alerts cut through any congestion.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Multicast (SSM) efficiently distributes sensor streams, and QoS/TSN ensures real-time data (alerts, tracking) always get priority over best-effort traffic</w:t>
      </w:r>
      <w:hyperlink r:id="rId24">
        <w:r>
          <w:rPr>
            <w:rStyle w:val="Hyperlink"/>
          </w:rPr>
          <w:t xml:space="preserve">[1]</w:t>
        </w:r>
      </w:hyperlink>
      <w:hyperlink r:id="rId26">
        <w:r>
          <w:rPr>
            <w:rStyle w:val="Hyperlink"/>
          </w:rPr>
          <w:t xml:space="preserve">[2]</w:t>
        </w:r>
      </w:hyperlink>
      <w:r>
        <w:t xml:space="preserve">.</w:t>
      </w:r>
    </w:p>
    <w:bookmarkEnd w:id="27"/>
    <w:bookmarkEnd w:id="28"/>
    <w:bookmarkEnd w:id="29"/>
    <w:bookmarkStart w:id="35" w:name="timing-and-synchronization"/>
    <w:p>
      <w:pPr>
        <w:pStyle w:val="Heading2"/>
      </w:pPr>
      <w:r>
        <w:t xml:space="preserve">3. Timing and Synchronization</w:t>
      </w:r>
    </w:p>
    <w:p>
      <w:pPr>
        <w:pStyle w:val="FirstParagraph"/>
      </w:pPr>
      <w:r>
        <w:t xml:space="preserve">Accurate time is the glue that fuses multi-sensor data. We use</w:t>
      </w:r>
      <w:r>
        <w:t xml:space="preserve"> </w:t>
      </w:r>
      <w:r>
        <w:rPr>
          <w:b/>
          <w:bCs/>
        </w:rPr>
        <w:t xml:space="preserve">IEEE 1588-2019 Precision Time Protocol (PTP)</w:t>
      </w:r>
      <w:r>
        <w:t xml:space="preserve"> </w:t>
      </w:r>
      <w:r>
        <w:t xml:space="preserve">with boundary clocks for sub-microsecond synchronization. The PTP grandmaster (GPS-referenced) propagates time to switches and devices; boundary clocks in switches regenerate the signal across segments, avoiding jitter buildup. The goal is</w:t>
      </w:r>
      <w:r>
        <w:t xml:space="preserve"> </w:t>
      </w:r>
      <w:r>
        <w:rPr>
          <w:i/>
          <w:iCs/>
        </w:rPr>
        <w:t xml:space="preserve">≤1 μs end-to-end skew</w:t>
      </w:r>
      <w:r>
        <w:t xml:space="preserve"> </w:t>
      </w:r>
      <w:r>
        <w:t xml:space="preserve">within the local campus. High-stability oscillators (OCXOs) on grandmasters, and support for Transparent/Boundary Clock modes in intermediate switches, are required.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Why PTP?</w:t>
      </w:r>
      <w:r>
        <w:t xml:space="preserve"> </w:t>
      </w:r>
      <w:r>
        <w:t xml:space="preserve">PTP achieves sub-microsecond accuracy on LANs</w:t>
      </w:r>
      <w:hyperlink r:id="rId26">
        <w:r>
          <w:rPr>
            <w:rStyle w:val="Hyperlink"/>
          </w:rPr>
          <w:t xml:space="preserve">[2]</w:t>
        </w:r>
      </w:hyperlink>
      <w:r>
        <w:t xml:space="preserve">, far better than NTP. This precision lets the COP know, for example, that Radar A saw the drone at 12:34:56.001234 UTC and RF Sensor B saw it at 12:34:56.001789 – clearly the same event. Without PTP, loose timestamps could make correlation unreliable.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GPSTie-in:</w:t>
      </w:r>
      <w:r>
        <w:t xml:space="preserve"> </w:t>
      </w:r>
      <w:r>
        <w:t xml:space="preserve">Grandmasters are GPS-disciplined. Redundancy is required (at least two masters with failover via Best Master Clock Algorithm).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Boundary Clocks:</w:t>
      </w:r>
      <w:r>
        <w:t xml:space="preserve"> </w:t>
      </w:r>
      <w:r>
        <w:t xml:space="preserve">Every switch between grandmaster and sensors must either pass PTP timestamps (transparent clock) or act as a boundary clock, so hop delays are compensated. This keeps synchronization tight.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Reference:</w:t>
      </w:r>
      <w:r>
        <w:t xml:space="preserve"> </w:t>
      </w:r>
      <w:r>
        <w:t xml:space="preserve">The IEEE 1588 standard itself (Precision Time Protocol) defines this model</w:t>
      </w:r>
      <w:hyperlink r:id="rId26">
        <w:r>
          <w:rPr>
            <w:rStyle w:val="Hyperlink"/>
          </w:rPr>
          <w:t xml:space="preserve">[2]</w:t>
        </w:r>
      </w:hyperlink>
      <w:r>
        <w:t xml:space="preserve">.</w:t>
      </w:r>
    </w:p>
    <w:bookmarkStart w:id="32" w:name="ptp-security"/>
    <w:p>
      <w:pPr>
        <w:pStyle w:val="Heading3"/>
      </w:pPr>
      <w:r>
        <w:t xml:space="preserve">3.1 PTP Security</w:t>
      </w:r>
    </w:p>
    <w:p>
      <w:pPr>
        <w:pStyle w:val="FirstParagraph"/>
      </w:pPr>
      <w:r>
        <w:t xml:space="preserve">Time is a high-value target: a false master could inject bad time and scramble the COP. We implement the new IEEE 1588-2023 security extensions (often called “Prong A–D” security) as a defense-in-depth: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Prong A – Cryptographic Authentication:</w:t>
      </w:r>
      <w:r>
        <w:t xml:space="preserve"> </w:t>
      </w:r>
      <w:r>
        <w:t xml:space="preserve">All PTP packets carry Authentication TLVs (e.g. HMAC) so slaves verify messages came from an authorized master.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Prong B – Transport Security:</w:t>
      </w:r>
      <w:r>
        <w:t xml:space="preserve"> </w:t>
      </w:r>
      <w:r>
        <w:t xml:space="preserve">PTP traffic is on VLANs protected by</w:t>
      </w:r>
      <w:r>
        <w:t xml:space="preserve"> </w:t>
      </w:r>
      <w:r>
        <w:rPr>
          <w:b/>
          <w:bCs/>
        </w:rPr>
        <w:t xml:space="preserve">MACsec (IEEE 802.1AE)</w:t>
      </w:r>
      <w:r>
        <w:t xml:space="preserve"> </w:t>
      </w:r>
      <w:r>
        <w:t xml:space="preserve">encryption</w:t>
      </w:r>
      <w:hyperlink r:id="rId30">
        <w:r>
          <w:rPr>
            <w:rStyle w:val="Hyperlink"/>
          </w:rPr>
          <w:t xml:space="preserve">[3]</w:t>
        </w:r>
      </w:hyperlink>
      <w:r>
        <w:t xml:space="preserve">. This prevents eavesdropping or injection at the link layer.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Prong C – Topology Checks:</w:t>
      </w:r>
      <w:r>
        <w:t xml:space="preserve"> </w:t>
      </w:r>
      <w:r>
        <w:t xml:space="preserve">Switches filter PTP BMC messages so only expected master ports are allowed. Unusual path changes trigger alarms.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Prong D – Monitoring:</w:t>
      </w:r>
      <w:r>
        <w:t xml:space="preserve"> </w:t>
      </w:r>
      <w:r>
        <w:t xml:space="preserve">Automated monitors watch for anomalies (sudden offset jumps, repeated BMCA elections, etc.) and alert operators to possible time attacks.</w:t>
      </w:r>
    </w:p>
    <w:p>
      <w:pPr>
        <w:pStyle w:val="BlockText"/>
      </w:pPr>
      <w:r>
        <w:rPr>
          <w:b/>
          <w:bCs/>
        </w:rPr>
        <w:t xml:space="preserve">Why MACsec?</w:t>
      </w:r>
      <w:r>
        <w:t xml:space="preserve"> </w:t>
      </w:r>
      <w:r>
        <w:t xml:space="preserve">MACsec provides hardware-based line-rate encryption and integrity (often AES-GCM-256)</w:t>
      </w:r>
      <w:hyperlink r:id="rId31">
        <w:r>
          <w:rPr>
            <w:rStyle w:val="Hyperlink"/>
          </w:rPr>
          <w:t xml:space="preserve">[4]</w:t>
        </w:r>
      </w:hyperlink>
      <w:r>
        <w:t xml:space="preserve">, so PTP messages can’t be tampered without detection and are isolated from intruders. It works on Ethernet so it protects broadcast/multicast as well – crucial since PTP uses Ethernet frames.</w:t>
      </w:r>
    </w:p>
    <w:p>
      <w:pPr>
        <w:pStyle w:val="FirstParagraph"/>
      </w:pPr>
      <w:r>
        <w:t xml:space="preserve">(</w:t>
      </w:r>
      <w:r>
        <w:rPr>
          <w:i/>
          <w:iCs/>
        </w:rPr>
        <w:t xml:space="preserve">Note:</w:t>
      </w:r>
      <w:r>
        <w:t xml:space="preserve"> </w:t>
      </w:r>
      <w:r>
        <w:t xml:space="preserve">Emerging NTS4PTP (network time security) is not yet mature for production.)</w:t>
      </w:r>
    </w:p>
    <w:bookmarkEnd w:id="32"/>
    <w:bookmarkStart w:id="34" w:name="alternative-gptp802.1as-for-tsn"/>
    <w:p>
      <w:pPr>
        <w:pStyle w:val="Heading3"/>
      </w:pPr>
      <w:r>
        <w:t xml:space="preserve">3.2 Alternative: gPTP/802.1AS for TSN</w:t>
      </w:r>
    </w:p>
    <w:p>
      <w:pPr>
        <w:pStyle w:val="FirstParagraph"/>
      </w:pPr>
      <w:r>
        <w:t xml:space="preserve">In fully TSN networks,</w:t>
      </w:r>
      <w:r>
        <w:t xml:space="preserve"> </w:t>
      </w:r>
      <w:r>
        <w:rPr>
          <w:b/>
          <w:bCs/>
        </w:rPr>
        <w:t xml:space="preserve">IEEE 802.1AS (gPTP)</w:t>
      </w:r>
      <w:r>
        <w:t xml:space="preserve"> </w:t>
      </w:r>
      <w:r>
        <w:t xml:space="preserve">can be used for time sync. It’s essentially PTP tailored to Ethernet AVB/TSN, providing nanosecond-level sync in switches optimized for TSN. Use gPTP on segments where ultra-precise alignment (nanoseconds) is needed for scheduled traffic, e.g. aligning video frames with RF timestamps</w:t>
      </w:r>
      <w:hyperlink r:id="rId33">
        <w:r>
          <w:rPr>
            <w:rStyle w:val="Hyperlink"/>
          </w:rPr>
          <w:t xml:space="preserve">[5]</w:t>
        </w:r>
      </w:hyperlink>
      <w:r>
        <w:t xml:space="preserve">. Otherwise, standard IEEE 1588 suffices.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We synchronize all devices to the microsecond level using IEEE 1588 PTP with secure boundaries. This lets every sensor’s data be accurately time-tagged for fusion. All PTP traffic is authenticated and encrypted (MACsec) to prevent time spoofing. Sub-nanosecond gPTP (802.1AS) can be used in TSN segments if needed</w:t>
      </w:r>
      <w:hyperlink r:id="rId26">
        <w:r>
          <w:rPr>
            <w:rStyle w:val="Hyperlink"/>
          </w:rPr>
          <w:t xml:space="preserve">[2]</w:t>
        </w:r>
      </w:hyperlink>
      <w:hyperlink r:id="rId30">
        <w:r>
          <w:rPr>
            <w:rStyle w:val="Hyperlink"/>
          </w:rPr>
          <w:t xml:space="preserve">[3]</w:t>
        </w:r>
      </w:hyperlink>
      <w:r>
        <w:t xml:space="preserve">.</w:t>
      </w:r>
    </w:p>
    <w:bookmarkEnd w:id="34"/>
    <w:bookmarkEnd w:id="35"/>
    <w:bookmarkStart w:id="39" w:name="security-standards"/>
    <w:p>
      <w:pPr>
        <w:pStyle w:val="Heading2"/>
      </w:pPr>
      <w:r>
        <w:t xml:space="preserve">4. Security Standards</w:t>
      </w:r>
    </w:p>
    <w:bookmarkStart w:id="36" w:name="network-admission-802.1x-devid"/>
    <w:p>
      <w:pPr>
        <w:pStyle w:val="Heading3"/>
      </w:pPr>
      <w:r>
        <w:t xml:space="preserve">4.1 Network Admission (802.1X &amp; DevID)</w:t>
      </w:r>
    </w:p>
    <w:p>
      <w:pPr>
        <w:pStyle w:val="FirstParagraph"/>
      </w:pPr>
      <w:r>
        <w:t xml:space="preserve">To enforce a zero-trust network,</w:t>
      </w:r>
      <w:r>
        <w:t xml:space="preserve"> </w:t>
      </w:r>
      <w:r>
        <w:rPr>
          <w:b/>
          <w:bCs/>
        </w:rPr>
        <w:t xml:space="preserve">IEEE 802.1X port-based NAC</w:t>
      </w:r>
      <w:r>
        <w:t xml:space="preserve"> </w:t>
      </w:r>
      <w:r>
        <w:t xml:space="preserve">is mandatory on all Ethernet ports serving sensors or COP devices. Each device must present a hardware-backed certificate (IEEE 802.1AR DevID) during login. Switch ports only allow traffic from authenticated devices, and unknown devices go into a quarantine VLAN.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Why DevID?</w:t>
      </w:r>
      <w:r>
        <w:t xml:space="preserve"> </w:t>
      </w:r>
      <w:r>
        <w:t xml:space="preserve">The 802.1AR Secure Device Identity (DevID) standard ensures each device has a unique cryptographic key burnt into it</w:t>
      </w:r>
      <w:hyperlink r:id="rId30">
        <w:r>
          <w:rPr>
            <w:rStyle w:val="Hyperlink"/>
          </w:rPr>
          <w:t xml:space="preserve">[3]</w:t>
        </w:r>
      </w:hyperlink>
      <w:r>
        <w:t xml:space="preserve">. This binds the certificate to the hardware, making it hard to spoof a device’s identity.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Operation:</w:t>
      </w:r>
      <w:r>
        <w:t xml:space="preserve"> </w:t>
      </w:r>
      <w:r>
        <w:t xml:space="preserve">On link-up, the sensor uses EAP-TLS (or EAP-TLSv2) to authenticate to an 802.1X server. The server verifies the DevID certificate (from a trusted CA). If authentication fails, the port shuts down or restricts to management network.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Logging:</w:t>
      </w:r>
      <w:r>
        <w:t xml:space="preserve"> </w:t>
      </w:r>
      <w:r>
        <w:t xml:space="preserve">Every auth attempt (success or fail) is logged for audit.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Only authorized, certified devices can join the network. 802.1X/EAP-TLS with IEEE 802.1AR DevID certificates prevents a stolen sensor (or rogue laptop) from joining undetected</w:t>
      </w:r>
      <w:hyperlink r:id="rId30">
        <w:r>
          <w:rPr>
            <w:rStyle w:val="Hyperlink"/>
          </w:rPr>
          <w:t xml:space="preserve">[3]</w:t>
        </w:r>
      </w:hyperlink>
      <w:r>
        <w:t xml:space="preserve">.</w:t>
      </w:r>
    </w:p>
    <w:bookmarkEnd w:id="36"/>
    <w:bookmarkStart w:id="37" w:name="link-layer-encryption-macsec"/>
    <w:p>
      <w:pPr>
        <w:pStyle w:val="Heading3"/>
      </w:pPr>
      <w:r>
        <w:t xml:space="preserve">4.2 Link-Layer Encryption (MACsec)</w:t>
      </w:r>
    </w:p>
    <w:p>
      <w:pPr>
        <w:pStyle w:val="FirstParagraph"/>
      </w:pPr>
      <w:r>
        <w:t xml:space="preserve">All switch-to-switch and switch-to-server links in critical segments must use</w:t>
      </w:r>
      <w:r>
        <w:t xml:space="preserve"> </w:t>
      </w:r>
      <w:r>
        <w:rPr>
          <w:b/>
          <w:bCs/>
        </w:rPr>
        <w:t xml:space="preserve">IEEE 802.1AE MACsec</w:t>
      </w:r>
      <w:r>
        <w:t xml:space="preserve">. This encrypts every Ethernet frame between peers, including multicast and broadcast, at line rate. We require AES-GCM-256 cipher suites with rotating keys (every ≤24h). Separate MACsec key chains are used for data vs. management VLANs.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Why MACsec?</w:t>
      </w:r>
      <w:r>
        <w:t xml:space="preserve"> </w:t>
      </w:r>
      <w:r>
        <w:t xml:space="preserve">Unlike IPsec or TLS, MACsec is done in hardware on the wire with negligible latency impact</w:t>
      </w:r>
      <w:hyperlink r:id="rId31">
        <w:r>
          <w:rPr>
            <w:rStyle w:val="Hyperlink"/>
          </w:rPr>
          <w:t xml:space="preserve">[4]</w:t>
        </w:r>
      </w:hyperlink>
      <w:r>
        <w:t xml:space="preserve">. It protects against eavesdropping and frame injection across the LAN. (It doesn’t protect against rogue devices already inside the encrypted LAN, which is why we also use 802.1X NAC.)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Implementation:</w:t>
      </w:r>
      <w:r>
        <w:t xml:space="preserve"> </w:t>
      </w:r>
      <w:r>
        <w:t xml:space="preserve">Switches must support MACsec (many enterprise/industrial switches do). Each link uses MKA (MACsec Key Agreement) to exchange keys automatically using the DevID credentials.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Management:</w:t>
      </w:r>
      <w:r>
        <w:t xml:space="preserve"> </w:t>
      </w:r>
      <w:r>
        <w:t xml:space="preserve">Network management traffic (SNMP, SSH, etc.) also goes over MACsec to protect it.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Every hop of sensor data is encrypted by MACsec at layer 2, providing confidentiality and integrity without impacting throughput</w:t>
      </w:r>
      <w:hyperlink r:id="rId31">
        <w:r>
          <w:rPr>
            <w:rStyle w:val="Hyperlink"/>
          </w:rPr>
          <w:t xml:space="preserve">[4]</w:t>
        </w:r>
      </w:hyperlink>
      <w:r>
        <w:t xml:space="preserve">.</w:t>
      </w:r>
    </w:p>
    <w:bookmarkEnd w:id="37"/>
    <w:bookmarkStart w:id="38" w:name="logging-and-audit"/>
    <w:p>
      <w:pPr>
        <w:pStyle w:val="Heading3"/>
      </w:pPr>
      <w:r>
        <w:t xml:space="preserve">4.3 Logging and Audit</w:t>
      </w:r>
    </w:p>
    <w:p>
      <w:pPr>
        <w:pStyle w:val="FirstParagraph"/>
      </w:pPr>
      <w:r>
        <w:t xml:space="preserve">All components log to a central, secure syslog server using</w:t>
      </w:r>
      <w:r>
        <w:t xml:space="preserve"> </w:t>
      </w:r>
      <w:r>
        <w:rPr>
          <w:b/>
          <w:bCs/>
        </w:rPr>
        <w:t xml:space="preserve">RFC 5424</w:t>
      </w:r>
      <w:r>
        <w:t xml:space="preserve"> </w:t>
      </w:r>
      <w:r>
        <w:t xml:space="preserve">format over</w:t>
      </w:r>
      <w:r>
        <w:t xml:space="preserve"> </w:t>
      </w:r>
      <w:r>
        <w:rPr>
          <w:b/>
          <w:bCs/>
        </w:rPr>
        <w:t xml:space="preserve">TLS (RFC 5425)</w:t>
      </w:r>
      <w:r>
        <w:t xml:space="preserve">. Logs include date/time, sensor IDs, user IDs, event types, and must survive reboots (write-once storage).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Structure:</w:t>
      </w:r>
      <w:r>
        <w:t xml:space="preserve"> </w:t>
      </w:r>
      <w:r>
        <w:t xml:space="preserve">We use structured (CAMP) syslog so automation can parse fields (e.g. sensorType, severity, messageID).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Transport:</w:t>
      </w:r>
      <w:r>
        <w:t xml:space="preserve"> </w:t>
      </w:r>
      <w:r>
        <w:t xml:space="preserve">Syslog over TLS (port 6514) with mutual certificate auth prevents tampering in transit. We use TLS 1.3 ciphers (no old CBC).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Retention:</w:t>
      </w:r>
      <w:r>
        <w:t xml:space="preserve"> </w:t>
      </w:r>
      <w:r>
        <w:t xml:space="preserve">Audit trails are stored in append-only logs (WORM storage) to be tamper-evident.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Examples:</w:t>
      </w:r>
      <w:r>
        <w:t xml:space="preserve"> </w:t>
      </w:r>
      <w:r>
        <w:t xml:space="preserve">Login events, configuration changes, data publication records, and security alerts all produce log entries.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Every action is logged in a standardized, encrypted way. This ensures full auditability of data and access, critical for forensics and compliance.</w:t>
      </w:r>
    </w:p>
    <w:bookmarkEnd w:id="38"/>
    <w:bookmarkEnd w:id="39"/>
    <w:bookmarkStart w:id="51" w:name="sensor-interface-standards"/>
    <w:p>
      <w:pPr>
        <w:pStyle w:val="Heading2"/>
      </w:pPr>
      <w:r>
        <w:t xml:space="preserve">5. Sensor Interface Standards</w:t>
      </w:r>
    </w:p>
    <w:p>
      <w:pPr>
        <w:pStyle w:val="FirstParagraph"/>
      </w:pPr>
      <w:r>
        <w:t xml:space="preserve">All sensor “plugins” (adapters) output data in the following open formats and protocols. The core COP ingests these standardized streams:</w:t>
      </w:r>
    </w:p>
    <w:bookmarkStart w:id="41" w:name="radar-and-mti"/>
    <w:p>
      <w:pPr>
        <w:pStyle w:val="Heading3"/>
      </w:pPr>
      <w:r>
        <w:t xml:space="preserve">5.1 Radar and MTI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Track Data: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EUROCONTROL ASTERIX CAT-062</w:t>
      </w:r>
      <w:r>
        <w:t xml:space="preserve"> </w:t>
      </w:r>
      <w:r>
        <w:t xml:space="preserve">(System Track Messages) for moving target reports</w:t>
      </w:r>
      <w:hyperlink r:id="rId40">
        <w:r>
          <w:rPr>
            <w:rStyle w:val="Hyperlink"/>
          </w:rPr>
          <w:t xml:space="preserve">[6]</w:t>
        </w:r>
      </w:hyperlink>
      <w:r>
        <w:t xml:space="preserve">. This binary format includes position, velocity, track ID, time-of-track, and sensor codes. It is compact and broadly supported by radar vendors and C2 systems worldwide. Mandatory fields include System ID (SAC/SIC), Track ID, timestamp, lat/long/altitude, and status. (If IP fragmentation might occur, ensure messages fit the MTU.)</w:t>
      </w:r>
    </w:p>
    <w:p>
      <w:pPr>
        <w:pStyle w:val="FirstParagraph"/>
      </w:pPr>
      <w:r>
        <w:rPr>
          <w:i/>
          <w:iCs/>
        </w:rPr>
        <w:t xml:space="preserve">Alternative:</w:t>
      </w:r>
      <w:r>
        <w:t xml:space="preserve"> </w:t>
      </w:r>
      <w:r>
        <w:t xml:space="preserve">NATO’s</w:t>
      </w:r>
      <w:r>
        <w:t xml:space="preserve"> </w:t>
      </w:r>
      <w:r>
        <w:rPr>
          <w:b/>
          <w:bCs/>
        </w:rPr>
        <w:t xml:space="preserve">SAPIENT</w:t>
      </w:r>
      <w:r>
        <w:t xml:space="preserve"> </w:t>
      </w:r>
      <w:r>
        <w:t xml:space="preserve">format (used by UK C-UAS systems) is another option, especially for feeding high-level alarms. SAPIENT adds confidence and category fields. A practical architecture might carry both: ASTERIX for raw tracks and SAPIENT only for fused alerts.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Radar Video: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ASTERIX CAT-240</w:t>
      </w:r>
      <w:r>
        <w:t xml:space="preserve"> </w:t>
      </w:r>
      <w:r>
        <w:t xml:space="preserve">for live radar video dumps. It standardizes packaging of rotating radar video sweeps over IP. This allows any compliant display to show vendor radar imagery. Transport CAT-240 as UDP/SSM to users. Frame rates should sync to PTP timebase for consistency (each frame stamped with PTP time).</w:t>
      </w:r>
    </w:p>
    <w:p>
      <w:pPr>
        <w:pStyle w:val="BlockText"/>
      </w:pPr>
      <w:r>
        <w:rPr>
          <w:b/>
          <w:bCs/>
        </w:rPr>
        <w:t xml:space="preserve">Example Reference:</w:t>
      </w:r>
      <w:r>
        <w:t xml:space="preserve"> </w:t>
      </w:r>
      <w:r>
        <w:t xml:space="preserve">ASTERIX CAT-062 is defined by Eurocontrol as the standard exchange for System Track Data</w:t>
      </w:r>
      <w:hyperlink r:id="rId40">
        <w:r>
          <w:rPr>
            <w:rStyle w:val="Hyperlink"/>
          </w:rPr>
          <w:t xml:space="preserve">[6]</w:t>
        </w:r>
      </w:hyperlink>
      <w:r>
        <w:t xml:space="preserve">. It ensures different radars and C2 systems speak the same “track language”.</w:t>
      </w:r>
    </w:p>
    <w:bookmarkEnd w:id="41"/>
    <w:bookmarkStart w:id="44" w:name="rf-and-sdr"/>
    <w:p>
      <w:pPr>
        <w:pStyle w:val="Heading3"/>
      </w:pPr>
      <w:r>
        <w:t xml:space="preserve">5.2 RF and SDR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Live RF Data: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ANSI/VITA 49.2 (VRT)</w:t>
      </w:r>
      <w:r>
        <w:t xml:space="preserve"> </w:t>
      </w:r>
      <w:r>
        <w:t xml:space="preserve">for real-time spectral data. VRT packets carry streaming I/Q samples along with timestamps and context (center frequency, sample rate, gain)</w:t>
      </w:r>
      <w:hyperlink r:id="rId42">
        <w:r>
          <w:rPr>
            <w:rStyle w:val="Hyperlink"/>
          </w:rPr>
          <w:t xml:space="preserve">[7]</w:t>
        </w:r>
      </w:hyperlink>
      <w:r>
        <w:t xml:space="preserve">. PTP-synchronized timestamps on each packet allow signals from distributed receivers to be correlated.</w:t>
      </w:r>
    </w:p>
    <w:p>
      <w:pPr>
        <w:pStyle w:val="FirstParagraph"/>
      </w:pPr>
      <w:r>
        <w:rPr>
          <w:i/>
          <w:iCs/>
        </w:rPr>
        <w:t xml:space="preserve">Archive:</w:t>
      </w:r>
      <w:r>
        <w:t xml:space="preserve"> </w:t>
      </w:r>
      <w:r>
        <w:t xml:space="preserve">Store captured RF data in</w:t>
      </w:r>
      <w:r>
        <w:t xml:space="preserve"> </w:t>
      </w:r>
      <w:r>
        <w:rPr>
          <w:b/>
          <w:bCs/>
        </w:rPr>
        <w:t xml:space="preserve">SigMF</w:t>
      </w:r>
      <w:r>
        <w:t xml:space="preserve"> </w:t>
      </w:r>
      <w:r>
        <w:t xml:space="preserve">format. SigMF files contain raw binary I/Q data plus a JSON metadata file describing center freq, capture time, etc. SigMF’s open JSON schema makes long-term archival and analysis easy</w:t>
      </w:r>
      <w:hyperlink r:id="rId43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Why VITA-49 / SigMF?</w:t>
      </w:r>
      <w:r>
        <w:t xml:space="preserve"> </w:t>
      </w:r>
      <w:r>
        <w:t xml:space="preserve">VITA-49 makes SDR hardware interoperable and time-aligned</w:t>
      </w:r>
      <w:hyperlink r:id="rId42">
        <w:r>
          <w:rPr>
            <w:rStyle w:val="Hyperlink"/>
          </w:rPr>
          <w:t xml:space="preserve">[7]</w:t>
        </w:r>
      </w:hyperlink>
      <w:r>
        <w:t xml:space="preserve">, and SigMF avoids proprietary trap by separating data (binary) from metadata (JSON)</w:t>
      </w:r>
      <w:hyperlink r:id="rId43">
        <w:r>
          <w:rPr>
            <w:rStyle w:val="Hyperlink"/>
          </w:rPr>
          <w:t xml:space="preserve">[8]</w:t>
        </w:r>
      </w:hyperlink>
      <w:r>
        <w:t xml:space="preserve">.</w:t>
      </w:r>
    </w:p>
    <w:bookmarkEnd w:id="44"/>
    <w:bookmarkStart w:id="47" w:name="eoir-video-full-motion-video"/>
    <w:p>
      <w:pPr>
        <w:pStyle w:val="Heading3"/>
      </w:pPr>
      <w:r>
        <w:t xml:space="preserve">5.3 EO/IR Video (Full-Motion Video)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Standard:</w:t>
      </w:r>
      <w:r>
        <w:t xml:space="preserve"> </w:t>
      </w:r>
      <w:r>
        <w:rPr>
          <w:b/>
          <w:bCs/>
        </w:rPr>
        <w:t xml:space="preserve">STANAG 4609</w:t>
      </w:r>
      <w:r>
        <w:t xml:space="preserve"> </w:t>
      </w:r>
      <w:r>
        <w:t xml:space="preserve">(NATO Digital Motion Imagery) with MISB KLV metadata. The video stream is H.264/AVC or H.265 inside MPEG-TS, with embedded KLV data in MISB format. This carries precise geo-tags: platform GPS (MISB ST 0601), accurate timestamps (ST 0603/0604), camera orientation (in ST 0601), and optional moving target cues (MISB ST 0903 VMTI).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Synchronization:</w:t>
      </w:r>
      <w:r>
        <w:t xml:space="preserve"> </w:t>
      </w:r>
      <w:r>
        <w:t xml:space="preserve">Video frames and metadata are synchronized via PTP (SMPTE ST 2059-2 profile) so each metadata packet has an accurate timestamp relative to the video. If using MPEG-TS, insert KLV either synchronously (PTS-aligned) or asynchronously per MISB guidance.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Transport:</w:t>
      </w:r>
      <w:r>
        <w:t xml:space="preserve"> </w:t>
      </w:r>
      <w:r>
        <w:t xml:space="preserve">Locally, use UDP/SSM for multicast FMV feeds. Over WAN, use</w:t>
      </w:r>
      <w:r>
        <w:t xml:space="preserve"> </w:t>
      </w:r>
      <w:r>
        <w:rPr>
          <w:b/>
          <w:bCs/>
        </w:rPr>
        <w:t xml:space="preserve">RIST (VSF TR-06)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SRT</w:t>
      </w:r>
      <w:r>
        <w:t xml:space="preserve"> </w:t>
      </w:r>
      <w:r>
        <w:t xml:space="preserve">to handle packet loss and encryption. Both support ARQ (retransmit missing packets) for reliability and DTLS/AES for security. RIST Main Profile is preferred for multicast/bonding (e.g. dual 4G links), while SRT is fine for point-to-point links.</w:t>
      </w:r>
    </w:p>
    <w:p>
      <w:pPr>
        <w:pStyle w:val="BlockText"/>
      </w:pPr>
      <w:r>
        <w:rPr>
          <w:b/>
          <w:bCs/>
        </w:rPr>
        <w:t xml:space="preserve">Standards Reference:</w:t>
      </w:r>
      <w:r>
        <w:t xml:space="preserve"> </w:t>
      </w:r>
      <w:r>
        <w:t xml:space="preserve">STANAG 4609 (2023) is the NATO standard for interoperable motion video, relying on MISB KLV sets</w:t>
      </w:r>
      <w:hyperlink r:id="rId45">
        <w:r>
          <w:rPr>
            <w:rStyle w:val="Hyperlink"/>
          </w:rPr>
          <w:t xml:space="preserve">[9]</w:t>
        </w:r>
      </w:hyperlink>
      <w:hyperlink r:id="rId46">
        <w:r>
          <w:rPr>
            <w:rStyle w:val="Hyperlink"/>
          </w:rPr>
          <w:t xml:space="preserve">[10]</w:t>
        </w:r>
      </w:hyperlink>
      <w:r>
        <w:t xml:space="preserve">. It ensures any screen can overlay a camera “cone” on the map by reading the geo-metadata.</w:t>
      </w:r>
    </w:p>
    <w:bookmarkEnd w:id="47"/>
    <w:bookmarkStart w:id="48" w:name="acoustic-sensors"/>
    <w:p>
      <w:pPr>
        <w:pStyle w:val="Heading3"/>
      </w:pPr>
      <w:r>
        <w:t xml:space="preserve">5.4 Acoustic Sensors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Audio streams: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RTP with AES67</w:t>
      </w:r>
      <w:r>
        <w:t xml:space="preserve"> </w:t>
      </w:r>
      <w:r>
        <w:t xml:space="preserve">for microphone arrays or acoustic sensors. AES67 is the industry standard for synchronized, low-latency audio over IP. It uses multicast and is PTP-synced to ensure all sound channels align in time (so you can do beamforming or triangulation).</w:t>
      </w:r>
    </w:p>
    <w:bookmarkEnd w:id="48"/>
    <w:bookmarkStart w:id="50" w:name="uas-remote-id"/>
    <w:p>
      <w:pPr>
        <w:pStyle w:val="Heading3"/>
      </w:pPr>
      <w:r>
        <w:t xml:space="preserve">5.5 UAS Remote ID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Broadcast Messages:</w:t>
      </w:r>
      <w:r>
        <w:t xml:space="preserve"> </w:t>
      </w:r>
      <w:r>
        <w:t xml:space="preserve">Parse any</w:t>
      </w:r>
      <w:r>
        <w:t xml:space="preserve"> </w:t>
      </w:r>
      <w:r>
        <w:rPr>
          <w:b/>
          <w:bCs/>
        </w:rPr>
        <w:t xml:space="preserve">ASTM F3411-22a</w:t>
      </w:r>
      <w:r>
        <w:t xml:space="preserve"> </w:t>
      </w:r>
      <w:r>
        <w:t xml:space="preserve">Remote ID broadcasts (Bluetooth/Wi-Fi). That is the global aviation standard for drones to announce ID, position, etc.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DRIP Trust:</w:t>
      </w:r>
      <w:r>
        <w:t xml:space="preserve"> </w:t>
      </w:r>
      <w:r>
        <w:t xml:space="preserve">Implement</w:t>
      </w:r>
      <w:r>
        <w:t xml:space="preserve"> </w:t>
      </w:r>
      <w:r>
        <w:rPr>
          <w:b/>
          <w:bCs/>
        </w:rPr>
        <w:t xml:space="preserve">IETF DRIP (RFC 9434)</w:t>
      </w:r>
      <w:r>
        <w:t xml:space="preserve"> </w:t>
      </w:r>
      <w:r>
        <w:t xml:space="preserve">for cryptographic authentication of Remote ID.</w:t>
      </w:r>
      <w:hyperlink r:id="rId49">
        <w:r>
          <w:rPr>
            <w:rStyle w:val="Hyperlink"/>
          </w:rPr>
          <w:t xml:space="preserve">[11]</w:t>
        </w:r>
      </w:hyperlink>
      <w:r>
        <w:t xml:space="preserve">. In practice, verify DRIP signatures: each broadcast ID packet contains a Host Identity Tag (HIT) which is signed by a public key. We check that against known registries (IANA/DRIP) to see if the drone is “blue” (registered friendly) or “red” (fake). If the signature fails or is unknown, we flag the drone as untrusted.</w:t>
      </w:r>
    </w:p>
    <w:p>
      <w:pPr>
        <w:pStyle w:val="BlockText"/>
      </w:pPr>
      <w:r>
        <w:rPr>
          <w:b/>
          <w:bCs/>
        </w:rPr>
        <w:t xml:space="preserve">Why DRIP?</w:t>
      </w:r>
      <w:r>
        <w:t xml:space="preserve"> </w:t>
      </w:r>
      <w:r>
        <w:t xml:space="preserve">Without DRIP, a hostile actor could spoof a friendly drone’s ID. The DRIP framework provides a way to</w:t>
      </w:r>
      <w:r>
        <w:t xml:space="preserve"> </w:t>
      </w:r>
      <w:r>
        <w:rPr>
          <w:i/>
          <w:iCs/>
        </w:rPr>
        <w:t xml:space="preserve">trust</w:t>
      </w:r>
      <w:r>
        <w:t xml:space="preserve"> </w:t>
      </w:r>
      <w:r>
        <w:t xml:space="preserve">a Remote ID by chaining it to a PKI/RPKI infrastructure</w:t>
      </w:r>
      <w:hyperlink r:id="rId49">
        <w:r>
          <w:rPr>
            <w:rStyle w:val="Hyperlink"/>
          </w:rPr>
          <w:t xml:space="preserve">[11]</w:t>
        </w:r>
      </w:hyperlink>
      <w:r>
        <w:t xml:space="preserve">. This is crucial for law enforcement vs. hostile detection.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Every sensor’s raw output is translated into an open, documented format (ASTERIX, VITA-49, MISB, etc.), complete with PTP timestamps. This lets the COP ingest disparate data seamlessly. Metadata (especially geo-coordinates and track quality) travels with the data for the fusion engine to use.</w:t>
      </w:r>
    </w:p>
    <w:bookmarkEnd w:id="50"/>
    <w:bookmarkEnd w:id="51"/>
    <w:bookmarkStart w:id="56" w:name="data-fusion-and-common-operating-picture"/>
    <w:p>
      <w:pPr>
        <w:pStyle w:val="Heading2"/>
      </w:pPr>
      <w:r>
        <w:t xml:space="preserve">6. Data Fusion and Common Operating Picture</w:t>
      </w:r>
    </w:p>
    <w:bookmarkStart w:id="53" w:name="track-exchange-and-fusion"/>
    <w:p>
      <w:pPr>
        <w:pStyle w:val="Heading3"/>
      </w:pPr>
      <w:r>
        <w:t xml:space="preserve">6.1 Track Exchange and Fusion</w:t>
      </w:r>
    </w:p>
    <w:p>
      <w:pPr>
        <w:pStyle w:val="FirstParagraph"/>
      </w:pPr>
      <w:r>
        <w:t xml:space="preserve">We use</w:t>
      </w:r>
      <w:r>
        <w:t xml:space="preserve"> </w:t>
      </w:r>
      <w:r>
        <w:rPr>
          <w:b/>
          <w:bCs/>
        </w:rPr>
        <w:t xml:space="preserve">STANAG 4676</w:t>
      </w:r>
      <w:r>
        <w:t xml:space="preserve"> </w:t>
      </w:r>
      <w:r>
        <w:t xml:space="preserve">as the canonical track exchange format. STANAG 4676 is a NATO ISR standard for exchanging track data</w:t>
      </w:r>
      <w:hyperlink r:id="rId52">
        <w:r>
          <w:rPr>
            <w:rStyle w:val="Hyperlink"/>
          </w:rPr>
          <w:t xml:space="preserve">[12]</w:t>
        </w:r>
      </w:hyperlink>
      <w:r>
        <w:t xml:space="preserve">. It includes not just position/velocity/time, but also covariance matrices, track history, and data provenance. Each sensor feed provides STANAG 4676-style track messages (e.g. via DDS or a REST API). The central fusion engine merges tracks from multiple sensors into unified “fused tracks,” updating confidence and lineage.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Provenance:</w:t>
      </w:r>
      <w:r>
        <w:t xml:space="preserve"> </w:t>
      </w:r>
      <w:r>
        <w:t xml:space="preserve">Each track carries a sensor ID, confidence score, and timestamp. When tracks are fused or split, the system records the lineage (e.g. “Track 1234 was joined from Radar A and EO Camera B”).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Coast Guard &amp; Allies:</w:t>
      </w:r>
      <w:r>
        <w:t xml:space="preserve"> </w:t>
      </w:r>
      <w:r>
        <w:t xml:space="preserve">Because STANAG 4676 is widely adopted among NATO and industry fusion tools, it ensures allied forces and different vendors speak the same track language</w:t>
      </w:r>
      <w:hyperlink r:id="rId52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Alternative:</w:t>
      </w:r>
      <w:r>
        <w:t xml:space="preserve"> </w:t>
      </w:r>
      <w:r>
        <w:t xml:space="preserve">If STANAG 4676 isn’t available, one could use a custom JSON schema or a DDS topic (e.g. JAUS IFF messages) as long as it carries the same info, but STANAG 4676 is preferred for multi-vendor consistency.</w:t>
      </w:r>
    </w:p>
    <w:bookmarkEnd w:id="53"/>
    <w:bookmarkStart w:id="55" w:name="data-access-and-labeling"/>
    <w:p>
      <w:pPr>
        <w:pStyle w:val="Heading3"/>
      </w:pPr>
      <w:r>
        <w:t xml:space="preserve">6.2 Data Access and Labeling</w:t>
      </w:r>
    </w:p>
    <w:p>
      <w:pPr>
        <w:pStyle w:val="FirstParagraph"/>
      </w:pPr>
      <w:r>
        <w:t xml:space="preserve">We enforce</w:t>
      </w:r>
      <w:r>
        <w:t xml:space="preserve"> </w:t>
      </w:r>
      <w:r>
        <w:rPr>
          <w:b/>
          <w:bCs/>
        </w:rPr>
        <w:t xml:space="preserve">Attribute-Based Access Control (ABAC)</w:t>
      </w:r>
      <w:r>
        <w:t xml:space="preserve"> </w:t>
      </w:r>
      <w:r>
        <w:t xml:space="preserve">with data labeling. Every data element (track, video frame, log) carries a</w:t>
      </w:r>
      <w:r>
        <w:t xml:space="preserve"> </w:t>
      </w:r>
      <w:r>
        <w:rPr>
          <w:b/>
          <w:bCs/>
        </w:rPr>
        <w:t xml:space="preserve">sensitivity tag</w:t>
      </w:r>
      <w:r>
        <w:t xml:space="preserve">. For example, a military radar track might be labeled “NATO-SECRET”. When sharing data between agencies, the COP applies filtering: e.g., for a border-patrol user, a secret label may be downgraded or obfuscated.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NATO Classification:</w:t>
      </w:r>
      <w:r>
        <w:t xml:space="preserve"> </w:t>
      </w:r>
      <w:r>
        <w:t xml:space="preserve">We use the NATO STANAG 4774 labeling syntax</w:t>
      </w:r>
      <w:hyperlink r:id="rId54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to tag data. A STANAG-4774 label includes fields like classification level, source country, originator, and release marking.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Label Binding:</w:t>
      </w:r>
      <w:r>
        <w:t xml:space="preserve"> </w:t>
      </w:r>
      <w:r>
        <w:t xml:space="preserve">As per STANAG 4778, each data packet’s label is cryptographically bound so it can’t be removed without detection</w:t>
      </w:r>
      <w:hyperlink r:id="rId54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“Downgrading” Example:</w:t>
      </w:r>
      <w:r>
        <w:t xml:space="preserve"> </w:t>
      </w:r>
      <w:r>
        <w:t xml:space="preserve">If a Track from a “SECRET” sensor must be shared with “NATO-RESTRICTED” partners, the COP might send only the track coordinates (not source or altitude) or shift them slightly, according to policy. All such access decisions are logged.</w:t>
      </w:r>
    </w:p>
    <w:p>
      <w:pPr>
        <w:pStyle w:val="BlockText"/>
      </w:pPr>
      <w:r>
        <w:rPr>
          <w:b/>
          <w:bCs/>
        </w:rPr>
        <w:t xml:space="preserve">Why ABAC?</w:t>
      </w:r>
      <w:r>
        <w:t xml:space="preserve"> </w:t>
      </w:r>
      <w:r>
        <w:t xml:space="preserve">Role-based (RBAC) is too coarse for multi-national data sharing. With ABAC, policies can say things like “if user.country != track.origin_country, then mask the altitude.” The STANAG 4774/4778 framework provides a proven way to label and enforce these rules in coalition environments</w:t>
      </w:r>
      <w:hyperlink r:id="rId54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Track data and video streams are fused into unified tracks using the STANAG 4676 data model</w:t>
      </w:r>
      <w:hyperlink r:id="rId52">
        <w:r>
          <w:rPr>
            <w:rStyle w:val="Hyperlink"/>
          </w:rPr>
          <w:t xml:space="preserve">[12]</w:t>
        </w:r>
      </w:hyperlink>
      <w:r>
        <w:t xml:space="preserve">. Every piece of data is tagged with a security label (STANAG 4774 format) and ABAC policies control who sees what, with cryptographic binding to prevent tampering</w:t>
      </w:r>
      <w:hyperlink r:id="rId54">
        <w:r>
          <w:rPr>
            <w:rStyle w:val="Hyperlink"/>
          </w:rPr>
          <w:t xml:space="preserve">[13]</w:t>
        </w:r>
      </w:hyperlink>
      <w:r>
        <w:t xml:space="preserve">.</w:t>
      </w:r>
    </w:p>
    <w:bookmarkEnd w:id="55"/>
    <w:bookmarkEnd w:id="56"/>
    <w:bookmarkStart w:id="62" w:name="backhaul-and-resilience"/>
    <w:p>
      <w:pPr>
        <w:pStyle w:val="Heading2"/>
      </w:pPr>
      <w:r>
        <w:t xml:space="preserve">7. Backhaul and Resilience</w:t>
      </w:r>
    </w:p>
    <w:bookmarkStart w:id="59" w:name="wan-streaming-4g5ginternet-links"/>
    <w:p>
      <w:pPr>
        <w:pStyle w:val="Heading3"/>
      </w:pPr>
      <w:r>
        <w:t xml:space="preserve">7.1 WAN Streaming (4G/5G/Internet Links)</w:t>
      </w:r>
    </w:p>
    <w:p>
      <w:pPr>
        <w:pStyle w:val="FirstParagraph"/>
      </w:pPr>
      <w:r>
        <w:t xml:space="preserve">For linking remote sites (e.g., towers, mobile units) over lossy networks, use</w:t>
      </w:r>
      <w:r>
        <w:t xml:space="preserve"> </w:t>
      </w:r>
      <w:r>
        <w:rPr>
          <w:b/>
          <w:bCs/>
        </w:rPr>
        <w:t xml:space="preserve">RIST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SRT</w:t>
      </w:r>
      <w:r>
        <w:t xml:space="preserve"> </w:t>
      </w:r>
      <w:r>
        <w:t xml:space="preserve">for video and critical data streams. Both protocols sit above UDP and add reliability via retransmission (ARQ), with low latency: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RIST (Main Profile):</w:t>
      </w:r>
      <w:r>
        <w:t xml:space="preserve"> </w:t>
      </w:r>
      <w:r>
        <w:t xml:space="preserve">Preferred for multicast-like distribution and bonding multiple links. RIST automatically retransmits lost RTP packets and can bond several internet links (4G + fiber) for higher throughput. It also supports out-of-band management and DTLS encryption</w:t>
      </w:r>
      <w:hyperlink r:id="rId57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SRT:</w:t>
      </w:r>
      <w:r>
        <w:t xml:space="preserve"> </w:t>
      </w:r>
      <w:r>
        <w:t xml:space="preserve">Good for point-to-point feeds. SRT uses a UDP-based “secure” protocol with packet recovery and AES encryption. It maintains ~120ms latency while repairing losses</w:t>
      </w:r>
      <w:hyperlink r:id="rId58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Implementation:</w:t>
      </w:r>
      <w:r>
        <w:t xml:space="preserve"> </w:t>
      </w:r>
      <w:r>
        <w:t xml:space="preserve">Video encoders (Haivision, Matrox, etc.) should support RIST/SRT. Backhaul gear must monitor link health and switch paths if a link dies (target &lt;500ms switchover).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Protocol Choice:</w:t>
      </w:r>
      <w:r>
        <w:t xml:space="preserve"> </w:t>
      </w:r>
      <w:r>
        <w:t xml:space="preserve">If distributing to many recipients, RIST (with multicast PR (Playout Recovery) support) is handy. If it’s a dedicated link (e.g. tower→central), SRT works well.</w:t>
      </w:r>
    </w:p>
    <w:bookmarkEnd w:id="59"/>
    <w:bookmarkStart w:id="61" w:name="redundancy-802.1cb-frer"/>
    <w:p>
      <w:pPr>
        <w:pStyle w:val="Heading3"/>
      </w:pPr>
      <w:r>
        <w:t xml:space="preserve">7.2 Redundancy (802.1CB FRER)</w:t>
      </w:r>
    </w:p>
    <w:p>
      <w:pPr>
        <w:pStyle w:val="FirstParagraph"/>
      </w:pPr>
      <w:r>
        <w:t xml:space="preserve">To guarantee zero loss on critical LAN links, we use</w:t>
      </w:r>
      <w:r>
        <w:t xml:space="preserve"> </w:t>
      </w:r>
      <w:r>
        <w:rPr>
          <w:b/>
          <w:bCs/>
        </w:rPr>
        <w:t xml:space="preserve">IEEE 802.1CB Frame Replication and Elimination for Reliability</w:t>
      </w:r>
      <w:r>
        <w:t xml:space="preserve">. FRER automatically sends duplicate frames over disjoint paths: if one path loses a packet, the duplicate on the other path arrives. The receivers drop duplicate copies based on sequence numbers.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Where:</w:t>
      </w:r>
      <w:r>
        <w:t xml:space="preserve"> </w:t>
      </w:r>
      <w:r>
        <w:t xml:space="preserve">Implement FRER at the network edge, such as between two switches or along separate routes to the same destination.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Why:</w:t>
      </w:r>
      <w:r>
        <w:t xml:space="preserve"> </w:t>
      </w:r>
      <w:r>
        <w:t xml:space="preserve">This delivers “zero loss” for essential streams (radar video, tracks) without waiting for retransmit (which could be too late).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Example:</w:t>
      </w:r>
      <w:r>
        <w:t xml:space="preserve"> </w:t>
      </w:r>
      <w:r>
        <w:t xml:space="preserve">A radar’s video feed is sent over two redundant VLANs to the central display. The switch core merges frames and drops dupes</w:t>
      </w:r>
      <w:hyperlink r:id="rId60">
        <w:r>
          <w:rPr>
            <w:rStyle w:val="Hyperlink"/>
          </w:rPr>
          <w:t xml:space="preserve">[16]</w:t>
        </w:r>
      </w:hyperlink>
      <w:r>
        <w:t xml:space="preserve">. If one switch fails, the other takes over seamlessly.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Monitoring:</w:t>
      </w:r>
      <w:r>
        <w:t xml:space="preserve"> </w:t>
      </w:r>
      <w:r>
        <w:t xml:space="preserve">The system tracks “Replication Efficiency” (how often duplicates are used) and path health.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For unreliable links (WAN or even campus backplanes), RIST/SRT provides reliable video streaming with ARQ</w:t>
      </w:r>
      <w:hyperlink r:id="rId57">
        <w:r>
          <w:rPr>
            <w:rStyle w:val="Hyperlink"/>
          </w:rPr>
          <w:t xml:space="preserve">[14]</w:t>
        </w:r>
      </w:hyperlink>
      <w:hyperlink r:id="rId58">
        <w:r>
          <w:rPr>
            <w:rStyle w:val="Hyperlink"/>
          </w:rPr>
          <w:t xml:space="preserve">[15]</w:t>
        </w:r>
      </w:hyperlink>
      <w:r>
        <w:t xml:space="preserve">. For LAN fault tolerance, IEEE 802.1CB (FRER) duplicates critical frames across paths so no packet is lost</w:t>
      </w:r>
      <w:hyperlink r:id="rId60">
        <w:r>
          <w:rPr>
            <w:rStyle w:val="Hyperlink"/>
          </w:rPr>
          <w:t xml:space="preserve">[16]</w:t>
        </w:r>
      </w:hyperlink>
      <w:r>
        <w:t xml:space="preserve">.</w:t>
      </w:r>
    </w:p>
    <w:bookmarkEnd w:id="61"/>
    <w:bookmarkEnd w:id="62"/>
    <w:bookmarkStart w:id="66" w:name="configuration-and-telemetry"/>
    <w:p>
      <w:pPr>
        <w:pStyle w:val="Heading2"/>
      </w:pPr>
      <w:r>
        <w:t xml:space="preserve">8. Configuration and Telemetry</w:t>
      </w:r>
    </w:p>
    <w:bookmarkStart w:id="64" w:name="configuration-management"/>
    <w:p>
      <w:pPr>
        <w:pStyle w:val="Heading3"/>
      </w:pPr>
      <w:r>
        <w:t xml:space="preserve">8.1 Configuration Management</w:t>
      </w:r>
    </w:p>
    <w:p>
      <w:pPr>
        <w:pStyle w:val="FirstParagraph"/>
      </w:pPr>
      <w:r>
        <w:t xml:space="preserve">We use</w:t>
      </w:r>
      <w:r>
        <w:t xml:space="preserve"> </w:t>
      </w:r>
      <w:r>
        <w:rPr>
          <w:b/>
          <w:bCs/>
        </w:rPr>
        <w:t xml:space="preserve">NETCONF (RFC 6241)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YANG</w:t>
      </w:r>
      <w:r>
        <w:t xml:space="preserve"> </w:t>
      </w:r>
      <w:r>
        <w:t xml:space="preserve">models for all device configurations. NETCONF provides a secure, transactional way to push configs (and roll them back if errors occur)</w:t>
      </w:r>
      <w:hyperlink r:id="rId63">
        <w:r>
          <w:rPr>
            <w:rStyle w:val="Hyperlink"/>
          </w:rPr>
          <w:t xml:space="preserve">[17]</w:t>
        </w:r>
      </w:hyperlink>
      <w:r>
        <w:t xml:space="preserve">. Each device (switch, server, sensor) exposes a YANG-based data model for its settings (IP addresses, VLANs, keying, etc.).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Why NETCONF/YANG?</w:t>
      </w:r>
      <w:r>
        <w:t xml:space="preserve"> </w:t>
      </w:r>
      <w:r>
        <w:t xml:space="preserve">Unlike CLI scripts, YANG models give a clear schema and validation. You can audit and version-control configs easily. RESTCONF (RFC 8040) is an alternative if pure HTTP/REST is preferred, but still based on YANG.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Usage:</w:t>
      </w:r>
      <w:r>
        <w:t xml:space="preserve"> </w:t>
      </w:r>
      <w:r>
        <w:t xml:space="preserve">A centralized orchestrator (or certified config tool) pushes configs via NETCONF. Eg. VLAN assignments, QoS maps, PTP profiles are all set via standardized models.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Rollback:</w:t>
      </w:r>
      <w:r>
        <w:t xml:space="preserve"> </w:t>
      </w:r>
      <w:r>
        <w:t xml:space="preserve">If a bad change is detected, NETCONF’s</w:t>
      </w:r>
      <w:r>
        <w:t xml:space="preserve"> </w:t>
      </w:r>
      <w:r>
        <w:rPr>
          <w:rStyle w:val="VerbatimChar"/>
        </w:rPr>
        <w:t xml:space="preserve">&lt;confirm-commit&gt;</w:t>
      </w:r>
      <w:r>
        <w:t xml:space="preserve"> </w:t>
      </w:r>
      <w:r>
        <w:t xml:space="preserve">or rollback mechanisms restore the previous config automatically.</w:t>
      </w:r>
    </w:p>
    <w:bookmarkEnd w:id="64"/>
    <w:bookmarkStart w:id="65" w:name="telemetry-streaming"/>
    <w:p>
      <w:pPr>
        <w:pStyle w:val="Heading3"/>
      </w:pPr>
      <w:r>
        <w:t xml:space="preserve">8.2 Telemetry Streaming</w:t>
      </w:r>
    </w:p>
    <w:p>
      <w:pPr>
        <w:pStyle w:val="FirstParagraph"/>
      </w:pPr>
      <w:r>
        <w:t xml:space="preserve">Instead of polling SNMP, use</w:t>
      </w:r>
      <w:r>
        <w:t xml:space="preserve"> </w:t>
      </w:r>
      <w:r>
        <w:rPr>
          <w:b/>
          <w:bCs/>
        </w:rPr>
        <w:t xml:space="preserve">gRPC Network Management Interface (gNMI)</w:t>
      </w:r>
      <w:r>
        <w:t xml:space="preserve"> </w:t>
      </w:r>
      <w:r>
        <w:t xml:space="preserve">with OpenConfig YANGs for telemetry. gNMI allows high-frequency, push-based subscriptions for metrics (link stats, CPU, PTP offsets, etc.).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On-Change Subscriptions:</w:t>
      </w:r>
      <w:r>
        <w:t xml:space="preserve"> </w:t>
      </w:r>
      <w:r>
        <w:t xml:space="preserve">Critical parameters (GPS lock, alarm flags, PTP state changes) are sent immediately when they change.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Performance:</w:t>
      </w:r>
      <w:r>
        <w:t xml:space="preserve"> </w:t>
      </w:r>
      <w:r>
        <w:t xml:space="preserve">gNMI over HTTP/2 is much lighter-weight and higher rate than SNMP. Good for hundreds of metrics per second if needed.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Security:</w:t>
      </w:r>
      <w:r>
        <w:t xml:space="preserve"> </w:t>
      </w:r>
      <w:r>
        <w:t xml:space="preserve">gNMI uses TLS with mutual cert auth for encryption and identity.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Devices are managed via NETCONF/YANG (or RESTCONF) for structured, auditable config</w:t>
      </w:r>
      <w:hyperlink r:id="rId63">
        <w:r>
          <w:rPr>
            <w:rStyle w:val="Hyperlink"/>
          </w:rPr>
          <w:t xml:space="preserve">[17]</w:t>
        </w:r>
      </w:hyperlink>
      <w:r>
        <w:t xml:space="preserve">. Telemetry flows via gNMI streams so operators see real-time health and state.</w:t>
      </w:r>
    </w:p>
    <w:bookmarkEnd w:id="65"/>
    <w:bookmarkEnd w:id="66"/>
    <w:bookmarkStart w:id="67" w:name="testing-and-conformance"/>
    <w:p>
      <w:pPr>
        <w:pStyle w:val="Heading2"/>
      </w:pPr>
      <w:r>
        <w:t xml:space="preserve">9. Testing and Conformance</w:t>
      </w:r>
    </w:p>
    <w:p>
      <w:pPr>
        <w:pStyle w:val="FirstParagraph"/>
      </w:pPr>
      <w:r>
        <w:t xml:space="preserve">We will test each segment against defined criteria: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Timing (PTP):</w:t>
      </w:r>
      <w:r>
        <w:t xml:space="preserve"> </w:t>
      </w:r>
      <w:r>
        <w:t xml:space="preserve">Measure end-to-end clock offset under load; must stay ≤1 μs. Test BMCA failover time (aim &lt;1 sec). Verify PTP auth rejects spoofed messages.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Multicast:</w:t>
      </w:r>
      <w:r>
        <w:t xml:space="preserve"> </w:t>
      </w:r>
      <w:r>
        <w:t xml:space="preserve">Verify IGMPv3/MLDv2 membership changes propagate (&lt;1 sec). Test SSM joins only accept authorized sources. Ensure FRER recovers without loss on single-link failure</w:t>
      </w:r>
      <w:hyperlink r:id="rId60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Follow NIST SP 800-115 style pentests. Probe 802.1X bypass, attempt MACsec tampering (should be prevented). Test PTP security (prongs A–D) under attack scenarios. Confirm audit logs are complete after reboots.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Use standardized tests (RFC or industry tools) to confirm timing, multicast, and security meet the requirements. Any failures trigger fixes before going live.</w:t>
      </w:r>
    </w:p>
    <w:bookmarkEnd w:id="67"/>
    <w:bookmarkStart w:id="68" w:name="summary-of-key-points"/>
    <w:p>
      <w:pPr>
        <w:pStyle w:val="Heading2"/>
      </w:pPr>
      <w:r>
        <w:t xml:space="preserve">10. Summary of Key Points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Open, Interoperable Design:</w:t>
      </w:r>
      <w:r>
        <w:t xml:space="preserve"> </w:t>
      </w:r>
      <w:r>
        <w:t xml:space="preserve">The COP uses only open standards (ASTRIX, STANAG, VITA-49, AES67, etc.) for all sensor data, so multiple vendors can plug in easily.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Secure, Segmented Network:</w:t>
      </w:r>
      <w:r>
        <w:t xml:space="preserve"> </w:t>
      </w:r>
      <w:r>
        <w:t xml:space="preserve">Dual-stack IPv4/IPv6, VLAN segmentation, 802.1X devID, and MACsec provide a zero-trust network foundation</w:t>
      </w:r>
      <w:hyperlink r:id="rId30">
        <w:r>
          <w:rPr>
            <w:rStyle w:val="Hyperlink"/>
          </w:rPr>
          <w:t xml:space="preserve">[3]</w:t>
        </w:r>
      </w:hyperlink>
      <w:hyperlink r:id="rId31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Reliable, Low-Latency Transport:</w:t>
      </w:r>
      <w:r>
        <w:t xml:space="preserve"> </w:t>
      </w:r>
      <w:r>
        <w:t xml:space="preserve">PIM-SSM multicast for distribution, DSCP/TSN for prioritization, and RIST/SRT for WAN keep data flowing with minimal delay. FRER ensures no packets are lost in the LAN</w:t>
      </w:r>
      <w:hyperlink r:id="rId24">
        <w:r>
          <w:rPr>
            <w:rStyle w:val="Hyperlink"/>
          </w:rPr>
          <w:t xml:space="preserve">[1]</w:t>
        </w:r>
      </w:hyperlink>
      <w:hyperlink r:id="rId57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High-Accuracy Time:</w:t>
      </w:r>
      <w:r>
        <w:t xml:space="preserve"> </w:t>
      </w:r>
      <w:r>
        <w:t xml:space="preserve">IEEE 1588 PTP (or gPTP) locks all clocks to microsecond/nanosecond precision, so data from different sensors can be fused correctly</w:t>
      </w:r>
      <w:hyperlink r:id="rId26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Fusion-Friendly Formats:</w:t>
      </w:r>
      <w:r>
        <w:t xml:space="preserve"> </w:t>
      </w:r>
      <w:r>
        <w:t xml:space="preserve">Radar → ASTERIX-62/240, EO video → STANAG-4609/MISB, RF → VITA-49/SigMF, etc. These standards encapsulate all needed info (position, time, context).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Trusted Remote ID:</w:t>
      </w:r>
      <w:r>
        <w:t xml:space="preserve"> </w:t>
      </w:r>
      <w:r>
        <w:t xml:space="preserve">ASTM F3411 for format, plus IETF DRIP for cryptographic validation, ensures we can tell genuine drones from spoofers</w:t>
      </w:r>
      <w:hyperlink r:id="rId49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Access Control:</w:t>
      </w:r>
      <w:r>
        <w:t xml:space="preserve"> </w:t>
      </w:r>
      <w:r>
        <w:t xml:space="preserve">Data is labeled with STANAG 4774 metadata and ABAC rules enforce who sees what, supporting multi-national scenarios</w:t>
      </w:r>
      <w:hyperlink r:id="rId54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Management:</w:t>
      </w:r>
      <w:r>
        <w:t xml:space="preserve"> </w:t>
      </w:r>
      <w:r>
        <w:t xml:space="preserve">Configuration and telemetry use modern network-management protocols (NETCONF/gNMI), allowing automated control and monitoring.</w:t>
      </w:r>
    </w:p>
    <w:p>
      <w:pPr>
        <w:pStyle w:val="FirstParagraph"/>
      </w:pPr>
      <w:r>
        <w:t xml:space="preserve">By adhering to these standards and rationale, the resulting COP system will be modular, secure, and robust, giving all agencies a shared, real-time view of the drone/sUAS threat environment.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Authoritative standards and technical literature as cited above (e.g. IEEE 1588 PTP</w:t>
      </w:r>
      <w:hyperlink r:id="rId26">
        <w:r>
          <w:rPr>
            <w:rStyle w:val="Hyperlink"/>
          </w:rPr>
          <w:t xml:space="preserve">[2]</w:t>
        </w:r>
      </w:hyperlink>
      <w:r>
        <w:t xml:space="preserve">, ASTERIX</w:t>
      </w:r>
      <w:hyperlink r:id="rId40">
        <w:r>
          <w:rPr>
            <w:rStyle w:val="Hyperlink"/>
          </w:rPr>
          <w:t xml:space="preserve">[6]</w:t>
        </w:r>
      </w:hyperlink>
      <w:r>
        <w:t xml:space="preserve">, VITA 49</w:t>
      </w:r>
      <w:hyperlink r:id="rId42">
        <w:r>
          <w:rPr>
            <w:rStyle w:val="Hyperlink"/>
          </w:rPr>
          <w:t xml:space="preserve">[7]</w:t>
        </w:r>
      </w:hyperlink>
      <w:r>
        <w:t xml:space="preserve">, MISB/STANAG-4609</w:t>
      </w:r>
      <w:hyperlink r:id="rId45">
        <w:r>
          <w:rPr>
            <w:rStyle w:val="Hyperlink"/>
          </w:rPr>
          <w:t xml:space="preserve">[9]</w:t>
        </w:r>
      </w:hyperlink>
      <w:hyperlink r:id="rId46">
        <w:r>
          <w:rPr>
            <w:rStyle w:val="Hyperlink"/>
          </w:rPr>
          <w:t xml:space="preserve">[10]</w:t>
        </w:r>
      </w:hyperlink>
      <w:r>
        <w:t xml:space="preserve">, NATO STANAG 4676</w:t>
      </w:r>
      <w:hyperlink r:id="rId52">
        <w:r>
          <w:rPr>
            <w:rStyle w:val="Hyperlink"/>
          </w:rPr>
          <w:t xml:space="preserve">[12]</w:t>
        </w:r>
      </w:hyperlink>
      <w:r>
        <w:t xml:space="preserve">, RIST/SRT protocols</w:t>
      </w:r>
      <w:hyperlink r:id="rId57">
        <w:r>
          <w:rPr>
            <w:rStyle w:val="Hyperlink"/>
          </w:rPr>
          <w:t xml:space="preserve">[14]</w:t>
        </w:r>
      </w:hyperlink>
      <w:hyperlink r:id="rId58">
        <w:r>
          <w:rPr>
            <w:rStyle w:val="Hyperlink"/>
          </w:rPr>
          <w:t xml:space="preserve">[15]</w:t>
        </w:r>
      </w:hyperlink>
      <w:r>
        <w:t xml:space="preserve">, and NATO STANAG 4774/4778 labeling</w:t>
      </w:r>
      <w:hyperlink r:id="rId54">
        <w:r>
          <w:rPr>
            <w:rStyle w:val="Hyperlink"/>
          </w:rPr>
          <w:t xml:space="preserve">[13]</w:t>
        </w:r>
      </w:hyperlink>
      <w:r>
        <w:t xml:space="preserve">).</w:t>
      </w:r>
    </w:p>
    <w:bookmarkEnd w:id="68"/>
    <w:bookmarkEnd w:id="69"/>
    <w:bookmarkEnd w:id="70"/>
    <w:p>
      <w:r>
        <w:pict>
          <v:rect style="width:0;height:1.5pt" o:hralign="center" o:hrstd="t" o:hr="t"/>
        </w:pict>
      </w:r>
    </w:p>
    <w:bookmarkStart w:id="86" w:name="citations"/>
    <w:p>
      <w:pPr>
        <w:pStyle w:val="FirstParagraph"/>
      </w:pPr>
      <w:hyperlink r:id="rId24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 </w:t>
      </w:r>
      <w:r>
        <w:t xml:space="preserve">RFC 3569 - An Overview of Source-Specific Multicast (SSM)</w:t>
      </w:r>
      <w:r>
        <w:t xml:space="preserve"> </w:t>
      </w:r>
    </w:p>
    <w:p>
      <w:pPr>
        <w:pStyle w:val="BodyText"/>
      </w:pPr>
      <w:hyperlink r:id="rId71">
        <w:r>
          <w:rPr>
            <w:rStyle w:val="Hyperlink"/>
          </w:rPr>
          <w:t xml:space="preserve">https://datatracker.ietf.org/doc/html/rfc3569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[2]</w:t>
        </w:r>
      </w:hyperlink>
      <w:r>
        <w:t xml:space="preserve"> </w:t>
      </w:r>
      <w:hyperlink r:id="rId33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Precision Time Protocol - Wikipedia</w:t>
      </w:r>
    </w:p>
    <w:p>
      <w:pPr>
        <w:pStyle w:val="BodyText"/>
      </w:pPr>
      <w:hyperlink r:id="rId72">
        <w:r>
          <w:rPr>
            <w:rStyle w:val="Hyperlink"/>
          </w:rPr>
          <w:t xml:space="preserve">https://en.wikipedia.org/wiki/Precision_Time_Protocol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IEEE 802.1X - Wikipedia</w:t>
      </w:r>
    </w:p>
    <w:p>
      <w:pPr>
        <w:pStyle w:val="BodyText"/>
      </w:pPr>
      <w:hyperlink r:id="rId73">
        <w:r>
          <w:rPr>
            <w:rStyle w:val="Hyperlink"/>
          </w:rPr>
          <w:t xml:space="preserve">https://en.wikipedia.org/wiki/IEEE_802.1X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What is MACsec? - Comcores</w:t>
      </w:r>
    </w:p>
    <w:p>
      <w:pPr>
        <w:pStyle w:val="BodyText"/>
      </w:pPr>
      <w:hyperlink r:id="rId74">
        <w:r>
          <w:rPr>
            <w:rStyle w:val="Hyperlink"/>
          </w:rPr>
          <w:t xml:space="preserve">https://www.comcores.com/what-is-macsec/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cat062p9ed110</w:t>
      </w:r>
    </w:p>
    <w:p>
      <w:pPr>
        <w:pStyle w:val="BodyText"/>
      </w:pPr>
      <w:hyperlink r:id="rId75">
        <w:r>
          <w:rPr>
            <w:rStyle w:val="Hyperlink"/>
          </w:rPr>
          <w:t xml:space="preserve">https://www.eurocontrol.int/sites/default/files/content/documents/nm/asterix/archives/asterix-cat062-system-track-data-part9-v1.10-122009.pdf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VITA - VITA 49 Overview</w:t>
      </w:r>
    </w:p>
    <w:p>
      <w:pPr>
        <w:pStyle w:val="BodyText"/>
      </w:pPr>
      <w:hyperlink r:id="rId76">
        <w:r>
          <w:rPr>
            <w:rStyle w:val="Hyperlink"/>
          </w:rPr>
          <w:t xml:space="preserve">https://www.vita.com/page-1855484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sigmf.org</w:t>
      </w:r>
    </w:p>
    <w:p>
      <w:pPr>
        <w:pStyle w:val="BodyText"/>
      </w:pPr>
      <w:hyperlink r:id="rId77">
        <w:r>
          <w:rPr>
            <w:rStyle w:val="Hyperlink"/>
          </w:rPr>
          <w:t xml:space="preserve">https://sigmf.org/sigmf-spec.pdf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[9]</w:t>
        </w:r>
      </w:hyperlink>
      <w:r>
        <w:t xml:space="preserve"> </w:t>
      </w:r>
      <w:hyperlink r:id="rId46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STANAG 4609 – ISR Video – ImpleoTV</w:t>
      </w:r>
    </w:p>
    <w:p>
      <w:pPr>
        <w:pStyle w:val="BodyText"/>
      </w:pPr>
      <w:hyperlink r:id="rId78">
        <w:r>
          <w:rPr>
            <w:rStyle w:val="Hyperlink"/>
          </w:rPr>
          <w:t xml:space="preserve">https://impleotv.com/2025/03/11/stanag-4609-isr-video/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 </w:t>
      </w:r>
      <w:r>
        <w:t xml:space="preserve">Drone Remote ID Protocol (drip)</w:t>
      </w:r>
      <w:r>
        <w:t xml:space="preserve"> </w:t>
      </w:r>
    </w:p>
    <w:p>
      <w:pPr>
        <w:pStyle w:val="BodyText"/>
      </w:pPr>
      <w:hyperlink r:id="rId79">
        <w:r>
          <w:rPr>
            <w:rStyle w:val="Hyperlink"/>
          </w:rPr>
          <w:t xml:space="preserve">https://datatracker.ietf.org/group/drip/about/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api.army.mil</w:t>
      </w:r>
    </w:p>
    <w:p>
      <w:pPr>
        <w:pStyle w:val="BodyText"/>
      </w:pPr>
      <w:hyperlink r:id="rId80">
        <w:r>
          <w:rPr>
            <w:rStyle w:val="Hyperlink"/>
          </w:rPr>
          <w:t xml:space="preserve">https://api.army.mil/e2/c/downloads/2023/01/31/daf24e67/nato-standardization-agreements-apr-19-public.pdf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Ensuring NATO STANAG 4774 and 4778 Compliance</w:t>
      </w:r>
    </w:p>
    <w:p>
      <w:pPr>
        <w:pStyle w:val="BodyText"/>
      </w:pPr>
      <w:hyperlink r:id="rId81">
        <w:r>
          <w:rPr>
            <w:rStyle w:val="Hyperlink"/>
          </w:rPr>
          <w:t xml:space="preserve">https://www.archtis.com/achieving-nato-stanag-4774-and-4778-compliance/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Reliable Internet Stream Transport - Wikipedia</w:t>
      </w:r>
    </w:p>
    <w:p>
      <w:pPr>
        <w:pStyle w:val="BodyText"/>
      </w:pPr>
      <w:hyperlink r:id="rId82">
        <w:r>
          <w:rPr>
            <w:rStyle w:val="Hyperlink"/>
          </w:rPr>
          <w:t xml:space="preserve">https://en.wikipedia.org/wiki/Reliable_Internet_Stream_Transport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Secure Reliable Transport - Wikipedia</w:t>
      </w:r>
    </w:p>
    <w:p>
      <w:pPr>
        <w:pStyle w:val="BodyText"/>
      </w:pPr>
      <w:hyperlink r:id="rId83">
        <w:r>
          <w:rPr>
            <w:rStyle w:val="Hyperlink"/>
          </w:rPr>
          <w:t xml:space="preserve">https://en.wikipedia.org/wiki/Secure_Reliable_Transport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P802.1CB – Frame Replication and Elimination for Reliability |</w:t>
      </w:r>
      <w:r>
        <w:t xml:space="preserve"> </w:t>
      </w:r>
    </w:p>
    <w:p>
      <w:pPr>
        <w:pStyle w:val="BodyText"/>
      </w:pPr>
      <w:hyperlink r:id="rId84">
        <w:r>
          <w:rPr>
            <w:rStyle w:val="Hyperlink"/>
          </w:rPr>
          <w:t xml:space="preserve">https://1.ieee802.org/tsn/802-1cb/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 </w:t>
      </w:r>
      <w:r>
        <w:t xml:space="preserve">RFC 6241 - Network Configuration Protocol (NETCONF)</w:t>
      </w:r>
      <w:r>
        <w:t xml:space="preserve"> </w:t>
      </w:r>
    </w:p>
    <w:p>
      <w:pPr>
        <w:pStyle w:val="BodyText"/>
      </w:pPr>
      <w:hyperlink r:id="rId85">
        <w:r>
          <w:rPr>
            <w:rStyle w:val="Hyperlink"/>
          </w:rPr>
          <w:t xml:space="preserve">https://datatracker.ietf.org/doc/html/rfc6241</w:t>
        </w:r>
      </w:hyperlink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4" Target="https://1.ieee802.org/tsn/802-1cb/" TargetMode="External" /><Relationship Type="http://schemas.openxmlformats.org/officeDocument/2006/relationships/hyperlink" Id="rId60" Target="https://1.ieee802.org/tsn/802-1cb/#:~:text=This%20standard%20specifies%20procedures%2C%20managed,and%20end%20stations%20that%20provide" TargetMode="External" /><Relationship Type="http://schemas.openxmlformats.org/officeDocument/2006/relationships/hyperlink" Id="rId80" Target="https://api.army.mil/e2/c/downloads/2023/01/31/daf24e67/nato-standardization-agreements-apr-19-public.pdf" TargetMode="External" /><Relationship Type="http://schemas.openxmlformats.org/officeDocument/2006/relationships/hyperlink" Id="rId52" Target="https://api.army.mil/e2/c/downloads/2023/01/31/daf24e67/nato-standardization-agreements-apr-19-public.pdf#:~:text=4676%20ED%201%20NATO%20intelligence%2C,of%20best%20practices%20and%20technical" TargetMode="External" /><Relationship Type="http://schemas.openxmlformats.org/officeDocument/2006/relationships/hyperlink" Id="rId71" Target="https://datatracker.ietf.org/doc/html/rfc3569" TargetMode="External" /><Relationship Type="http://schemas.openxmlformats.org/officeDocument/2006/relationships/hyperlink" Id="rId24" Target="https://datatracker.ietf.org/doc/html/rfc3569#:~:text=identified%20by%20an%20SSM%20destination,source%20S%2C%20and%20is%20constructed" TargetMode="External" /><Relationship Type="http://schemas.openxmlformats.org/officeDocument/2006/relationships/hyperlink" Id="rId85" Target="https://datatracker.ietf.org/doc/html/rfc6241" TargetMode="External" /><Relationship Type="http://schemas.openxmlformats.org/officeDocument/2006/relationships/hyperlink" Id="rId63" Target="https://datatracker.ietf.org/doc/html/rfc6241#:~:text=The%20YANG%20data%20modeling%20language,Content%20layers%20of%20Figure%201" TargetMode="External" /><Relationship Type="http://schemas.openxmlformats.org/officeDocument/2006/relationships/hyperlink" Id="rId79" Target="https://datatracker.ietf.org/group/drip/about/" TargetMode="External" /><Relationship Type="http://schemas.openxmlformats.org/officeDocument/2006/relationships/hyperlink" Id="rId49" Target="https://datatracker.ietf.org/group/drip/about/#:~:text=DRIP%E2%80%99s%20goal%20is%20to%20specify,and%20other%20involved%20parties%E2%80%99%20privacy" TargetMode="External" /><Relationship Type="http://schemas.openxmlformats.org/officeDocument/2006/relationships/hyperlink" Id="rId73" Target="https://en.wikipedia.org/wiki/IEEE_802.1X" TargetMode="External" /><Relationship Type="http://schemas.openxmlformats.org/officeDocument/2006/relationships/hyperlink" Id="rId30" Target="https://en.wikipedia.org/wiki/IEEE_802.1X#:~:text=The%20802.1X,33" TargetMode="External" /><Relationship Type="http://schemas.openxmlformats.org/officeDocument/2006/relationships/hyperlink" Id="rId72" Target="https://en.wikipedia.org/wiki/Precision_Time_Protocol" TargetMode="External" /><Relationship Type="http://schemas.openxmlformats.org/officeDocument/2006/relationships/hyperlink" Id="rId33" Target="https://en.wikipedia.org/wiki/Precision_Time_Protocol#:~:text=have%20been%20defined%20for%20applications,Sensitive%20Networking%20%28TSN" TargetMode="External" /><Relationship Type="http://schemas.openxmlformats.org/officeDocument/2006/relationships/hyperlink" Id="rId26" Target="https://en.wikipedia.org/wiki/Precision_Time_Protocol#:~:text=precision%20%20as%20compared%20to,5" TargetMode="External" /><Relationship Type="http://schemas.openxmlformats.org/officeDocument/2006/relationships/hyperlink" Id="rId82" Target="https://en.wikipedia.org/wiki/Reliable_Internet_Stream_Transport" TargetMode="External" /><Relationship Type="http://schemas.openxmlformats.org/officeDocument/2006/relationships/hyperlink" Id="rId57" Target="https://en.wikipedia.org/wiki/Reliable_Internet_Stream_Transport#:~:text=Technically%2C%20RIST%20seeks%20to%20provide,2" TargetMode="External" /><Relationship Type="http://schemas.openxmlformats.org/officeDocument/2006/relationships/hyperlink" Id="rId83" Target="https://en.wikipedia.org/wiki/Secure_Reliable_Transport" TargetMode="External" /><Relationship Type="http://schemas.openxmlformats.org/officeDocument/2006/relationships/hyperlink" Id="rId58" Target="https://en.wikipedia.org/wiki/Secure_Reliable_Transport#:~:text=SRT%20provides%20connection%20and%20control%2C,supports%20encryption%20using%20%20127" TargetMode="External" /><Relationship Type="http://schemas.openxmlformats.org/officeDocument/2006/relationships/hyperlink" Id="rId78" Target="https://impleotv.com/2025/03/11/stanag-4609-isr-video/" TargetMode="External" /><Relationship Type="http://schemas.openxmlformats.org/officeDocument/2006/relationships/hyperlink" Id="rId45" Target="https://impleotv.com/2025/03/11/stanag-4609-isr-video/#:~:text=Introduction%20to%20STANAG%204609%20STANAG,exploited%20across%20different%20systems%2C%20improving" TargetMode="External" /><Relationship Type="http://schemas.openxmlformats.org/officeDocument/2006/relationships/hyperlink" Id="rId46" Target="https://impleotv.com/2025/03/11/stanag-4609-isr-video/#:~:text=Notably%2C%20MISB%20maintains%20a%20registry,VMTI%29%20metadata%20for%20tagging" TargetMode="External" /><Relationship Type="http://schemas.openxmlformats.org/officeDocument/2006/relationships/hyperlink" Id="rId77" Target="https://sigmf.org/sigmf-spec.pdf" TargetMode="External" /><Relationship Type="http://schemas.openxmlformats.org/officeDocument/2006/relationships/hyperlink" Id="rId43" Target="https://sigmf.org/sigmf-spec.pdf#:~:text=1,the%20relationship%20between%20different%20recordings" TargetMode="External" /><Relationship Type="http://schemas.openxmlformats.org/officeDocument/2006/relationships/hyperlink" Id="rId81" Target="https://www.archtis.com/achieving-nato-stanag-4774-and-4778-compliance/" TargetMode="External" /><Relationship Type="http://schemas.openxmlformats.org/officeDocument/2006/relationships/hyperlink" Id="rId54" Target="https://www.archtis.com/achieving-nato-stanag-4774-and-4778-compliance/#:~:text=STANAG%204774%20outlines%20the%20metadata,integrity%20of%20data%20and%20labels" TargetMode="External" /><Relationship Type="http://schemas.openxmlformats.org/officeDocument/2006/relationships/hyperlink" Id="rId74" Target="https://www.comcores.com/what-is-macsec/" TargetMode="External" /><Relationship Type="http://schemas.openxmlformats.org/officeDocument/2006/relationships/hyperlink" Id="rId31" Target="https://www.comcores.com/what-is-macsec/#:~:text=MACsec%20operates%20at%20line,even%20terabit%20per%20second%20speeds" TargetMode="External" /><Relationship Type="http://schemas.openxmlformats.org/officeDocument/2006/relationships/hyperlink" Id="rId75" Target="https://www.eurocontrol.int/sites/default/files/content/documents/nm/asterix/archives/asterix-cat062-system-track-data-part9-v1.10-122009.pdf" TargetMode="External" /><Relationship Type="http://schemas.openxmlformats.org/officeDocument/2006/relationships/hyperlink" Id="rId40" Target="https://www.eurocontrol.int/sites/default/files/content/documents/nm/asterix/archives/asterix-cat062-system-track-data-part9-v1.10-122009.pdf#:~:text=ASTERIX%20All%20Purpose%20STructured%20Eurocontrol,Information%20EXchange%20CAT%20Data%20Category" TargetMode="External" /><Relationship Type="http://schemas.openxmlformats.org/officeDocument/2006/relationships/hyperlink" Id="rId76" Target="https://www.vita.com/page-1855484" TargetMode="External" /><Relationship Type="http://schemas.openxmlformats.org/officeDocument/2006/relationships/hyperlink" Id="rId42" Target="https://www.vita.com/page-1855484#:~:text=The%20ANSI%2FVITA%2049,function%20architectur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1.ieee802.org/tsn/802-1cb/" TargetMode="External" /><Relationship Type="http://schemas.openxmlformats.org/officeDocument/2006/relationships/hyperlink" Id="rId60" Target="https://1.ieee802.org/tsn/802-1cb/#:~:text=This%20standard%20specifies%20procedures%2C%20managed,and%20end%20stations%20that%20provide" TargetMode="External" /><Relationship Type="http://schemas.openxmlformats.org/officeDocument/2006/relationships/hyperlink" Id="rId80" Target="https://api.army.mil/e2/c/downloads/2023/01/31/daf24e67/nato-standardization-agreements-apr-19-public.pdf" TargetMode="External" /><Relationship Type="http://schemas.openxmlformats.org/officeDocument/2006/relationships/hyperlink" Id="rId52" Target="https://api.army.mil/e2/c/downloads/2023/01/31/daf24e67/nato-standardization-agreements-apr-19-public.pdf#:~:text=4676%20ED%201%20NATO%20intelligence%2C,of%20best%20practices%20and%20technical" TargetMode="External" /><Relationship Type="http://schemas.openxmlformats.org/officeDocument/2006/relationships/hyperlink" Id="rId71" Target="https://datatracker.ietf.org/doc/html/rfc3569" TargetMode="External" /><Relationship Type="http://schemas.openxmlformats.org/officeDocument/2006/relationships/hyperlink" Id="rId24" Target="https://datatracker.ietf.org/doc/html/rfc3569#:~:text=identified%20by%20an%20SSM%20destination,source%20S%2C%20and%20is%20constructed" TargetMode="External" /><Relationship Type="http://schemas.openxmlformats.org/officeDocument/2006/relationships/hyperlink" Id="rId85" Target="https://datatracker.ietf.org/doc/html/rfc6241" TargetMode="External" /><Relationship Type="http://schemas.openxmlformats.org/officeDocument/2006/relationships/hyperlink" Id="rId63" Target="https://datatracker.ietf.org/doc/html/rfc6241#:~:text=The%20YANG%20data%20modeling%20language,Content%20layers%20of%20Figure%201" TargetMode="External" /><Relationship Type="http://schemas.openxmlformats.org/officeDocument/2006/relationships/hyperlink" Id="rId79" Target="https://datatracker.ietf.org/group/drip/about/" TargetMode="External" /><Relationship Type="http://schemas.openxmlformats.org/officeDocument/2006/relationships/hyperlink" Id="rId49" Target="https://datatracker.ietf.org/group/drip/about/#:~:text=DRIP%E2%80%99s%20goal%20is%20to%20specify,and%20other%20involved%20parties%E2%80%99%20privacy" TargetMode="External" /><Relationship Type="http://schemas.openxmlformats.org/officeDocument/2006/relationships/hyperlink" Id="rId73" Target="https://en.wikipedia.org/wiki/IEEE_802.1X" TargetMode="External" /><Relationship Type="http://schemas.openxmlformats.org/officeDocument/2006/relationships/hyperlink" Id="rId30" Target="https://en.wikipedia.org/wiki/IEEE_802.1X#:~:text=The%20802.1X,33" TargetMode="External" /><Relationship Type="http://schemas.openxmlformats.org/officeDocument/2006/relationships/hyperlink" Id="rId72" Target="https://en.wikipedia.org/wiki/Precision_Time_Protocol" TargetMode="External" /><Relationship Type="http://schemas.openxmlformats.org/officeDocument/2006/relationships/hyperlink" Id="rId33" Target="https://en.wikipedia.org/wiki/Precision_Time_Protocol#:~:text=have%20been%20defined%20for%20applications,Sensitive%20Networking%20%28TSN" TargetMode="External" /><Relationship Type="http://schemas.openxmlformats.org/officeDocument/2006/relationships/hyperlink" Id="rId26" Target="https://en.wikipedia.org/wiki/Precision_Time_Protocol#:~:text=precision%20%20as%20compared%20to,5" TargetMode="External" /><Relationship Type="http://schemas.openxmlformats.org/officeDocument/2006/relationships/hyperlink" Id="rId82" Target="https://en.wikipedia.org/wiki/Reliable_Internet_Stream_Transport" TargetMode="External" /><Relationship Type="http://schemas.openxmlformats.org/officeDocument/2006/relationships/hyperlink" Id="rId57" Target="https://en.wikipedia.org/wiki/Reliable_Internet_Stream_Transport#:~:text=Technically%2C%20RIST%20seeks%20to%20provide,2" TargetMode="External" /><Relationship Type="http://schemas.openxmlformats.org/officeDocument/2006/relationships/hyperlink" Id="rId83" Target="https://en.wikipedia.org/wiki/Secure_Reliable_Transport" TargetMode="External" /><Relationship Type="http://schemas.openxmlformats.org/officeDocument/2006/relationships/hyperlink" Id="rId58" Target="https://en.wikipedia.org/wiki/Secure_Reliable_Transport#:~:text=SRT%20provides%20connection%20and%20control%2C,supports%20encryption%20using%20%20127" TargetMode="External" /><Relationship Type="http://schemas.openxmlformats.org/officeDocument/2006/relationships/hyperlink" Id="rId78" Target="https://impleotv.com/2025/03/11/stanag-4609-isr-video/" TargetMode="External" /><Relationship Type="http://schemas.openxmlformats.org/officeDocument/2006/relationships/hyperlink" Id="rId45" Target="https://impleotv.com/2025/03/11/stanag-4609-isr-video/#:~:text=Introduction%20to%20STANAG%204609%20STANAG,exploited%20across%20different%20systems%2C%20improving" TargetMode="External" /><Relationship Type="http://schemas.openxmlformats.org/officeDocument/2006/relationships/hyperlink" Id="rId46" Target="https://impleotv.com/2025/03/11/stanag-4609-isr-video/#:~:text=Notably%2C%20MISB%20maintains%20a%20registry,VMTI%29%20metadata%20for%20tagging" TargetMode="External" /><Relationship Type="http://schemas.openxmlformats.org/officeDocument/2006/relationships/hyperlink" Id="rId77" Target="https://sigmf.org/sigmf-spec.pdf" TargetMode="External" /><Relationship Type="http://schemas.openxmlformats.org/officeDocument/2006/relationships/hyperlink" Id="rId43" Target="https://sigmf.org/sigmf-spec.pdf#:~:text=1,the%20relationship%20between%20different%20recordings" TargetMode="External" /><Relationship Type="http://schemas.openxmlformats.org/officeDocument/2006/relationships/hyperlink" Id="rId81" Target="https://www.archtis.com/achieving-nato-stanag-4774-and-4778-compliance/" TargetMode="External" /><Relationship Type="http://schemas.openxmlformats.org/officeDocument/2006/relationships/hyperlink" Id="rId54" Target="https://www.archtis.com/achieving-nato-stanag-4774-and-4778-compliance/#:~:text=STANAG%204774%20outlines%20the%20metadata,integrity%20of%20data%20and%20labels" TargetMode="External" /><Relationship Type="http://schemas.openxmlformats.org/officeDocument/2006/relationships/hyperlink" Id="rId74" Target="https://www.comcores.com/what-is-macsec/" TargetMode="External" /><Relationship Type="http://schemas.openxmlformats.org/officeDocument/2006/relationships/hyperlink" Id="rId31" Target="https://www.comcores.com/what-is-macsec/#:~:text=MACsec%20operates%20at%20line,even%20terabit%20per%20second%20speeds" TargetMode="External" /><Relationship Type="http://schemas.openxmlformats.org/officeDocument/2006/relationships/hyperlink" Id="rId75" Target="https://www.eurocontrol.int/sites/default/files/content/documents/nm/asterix/archives/asterix-cat062-system-track-data-part9-v1.10-122009.pdf" TargetMode="External" /><Relationship Type="http://schemas.openxmlformats.org/officeDocument/2006/relationships/hyperlink" Id="rId40" Target="https://www.eurocontrol.int/sites/default/files/content/documents/nm/asterix/archives/asterix-cat062-system-track-data-part9-v1.10-122009.pdf#:~:text=ASTERIX%20All%20Purpose%20STructured%20Eurocontrol,Information%20EXchange%20CAT%20Data%20Category" TargetMode="External" /><Relationship Type="http://schemas.openxmlformats.org/officeDocument/2006/relationships/hyperlink" Id="rId76" Target="https://www.vita.com/page-1855484" TargetMode="External" /><Relationship Type="http://schemas.openxmlformats.org/officeDocument/2006/relationships/hyperlink" Id="rId42" Target="https://www.vita.com/page-1855484#:~:text=The%20ANSI%2FVITA%2049,function%20architectur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et</dc:language>
  <cp:keywords/>
  <dcterms:created xsi:type="dcterms:W3CDTF">2026-01-07T21:01:37Z</dcterms:created>
  <dcterms:modified xsi:type="dcterms:W3CDTF">2026-01-07T21:01:37Z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