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8B98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trategy &amp; tactics to steer Nortal toward a Lattice-like federated mesh COP (vendor-neutral)</w:t>
      </w:r>
    </w:p>
    <w:p w14:paraId="734E133E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North-star outcome</w:t>
      </w:r>
    </w:p>
    <w:p w14:paraId="1545273D" w14:textId="77777777" w:rsidR="00FB52F6" w:rsidRPr="00FB52F6" w:rsidRDefault="00FB52F6" w:rsidP="00FB52F6">
      <w:r w:rsidRPr="00FB52F6">
        <w:t xml:space="preserve">A national COP composed of </w:t>
      </w:r>
      <w:r w:rsidRPr="00FB52F6">
        <w:rPr>
          <w:b/>
          <w:bCs/>
        </w:rPr>
        <w:t>many autonomous nodes</w:t>
      </w:r>
      <w:r w:rsidRPr="00FB52F6">
        <w:t xml:space="preserve"> (edge + regional + national), where:</w:t>
      </w:r>
    </w:p>
    <w:p w14:paraId="18FF106D" w14:textId="77777777" w:rsidR="00FB52F6" w:rsidRPr="00FB52F6" w:rsidRDefault="00FB52F6" w:rsidP="00FB52F6">
      <w:pPr>
        <w:numPr>
          <w:ilvl w:val="0"/>
          <w:numId w:val="1"/>
        </w:numPr>
      </w:pPr>
      <w:r w:rsidRPr="00FB52F6">
        <w:t>nodes keep operating during partitions (no SPOF),</w:t>
      </w:r>
    </w:p>
    <w:p w14:paraId="0C25E118" w14:textId="77777777" w:rsidR="00FB52F6" w:rsidRPr="00FB52F6" w:rsidRDefault="00FB52F6" w:rsidP="00FB52F6">
      <w:pPr>
        <w:numPr>
          <w:ilvl w:val="0"/>
          <w:numId w:val="1"/>
        </w:numPr>
      </w:pPr>
      <w:r w:rsidRPr="00FB52F6">
        <w:t xml:space="preserve">data sharing is </w:t>
      </w:r>
      <w:r w:rsidRPr="00FB52F6">
        <w:rPr>
          <w:b/>
          <w:bCs/>
        </w:rPr>
        <w:t>subscription-based</w:t>
      </w:r>
      <w:r w:rsidRPr="00FB52F6">
        <w:t xml:space="preserve"> (publish/subscribe), not “everything funnels to the center,”</w:t>
      </w:r>
    </w:p>
    <w:p w14:paraId="243911BD" w14:textId="77777777" w:rsidR="00FB52F6" w:rsidRPr="00FB52F6" w:rsidRDefault="00FB52F6" w:rsidP="00FB52F6">
      <w:pPr>
        <w:numPr>
          <w:ilvl w:val="0"/>
          <w:numId w:val="1"/>
        </w:numPr>
      </w:pPr>
      <w:r w:rsidRPr="00FB52F6">
        <w:t xml:space="preserve">integration happens via an </w:t>
      </w:r>
      <w:r w:rsidRPr="00FB52F6">
        <w:rPr>
          <w:b/>
          <w:bCs/>
        </w:rPr>
        <w:t>SDK + conformance harness</w:t>
      </w:r>
      <w:r w:rsidRPr="00FB52F6">
        <w:t xml:space="preserve"> (translator/adapter ecosystem),</w:t>
      </w:r>
    </w:p>
    <w:p w14:paraId="3C6A4618" w14:textId="77777777" w:rsidR="00FB52F6" w:rsidRPr="00FB52F6" w:rsidRDefault="00FB52F6" w:rsidP="00FB52F6">
      <w:pPr>
        <w:numPr>
          <w:ilvl w:val="0"/>
          <w:numId w:val="1"/>
        </w:numPr>
      </w:pPr>
      <w:r w:rsidRPr="00FB52F6">
        <w:t xml:space="preserve">deployment is </w:t>
      </w:r>
      <w:r w:rsidRPr="00FB52F6">
        <w:rPr>
          <w:b/>
          <w:bCs/>
        </w:rPr>
        <w:t>topology-parity</w:t>
      </w:r>
      <w:r w:rsidRPr="00FB52F6">
        <w:t>: the same services run on-prem, in sovereign cloud, or hybrid.</w:t>
      </w:r>
    </w:p>
    <w:p w14:paraId="540FD6AB" w14:textId="77777777" w:rsidR="00FB52F6" w:rsidRPr="00FB52F6" w:rsidRDefault="00FB52F6" w:rsidP="00FB52F6">
      <w:r w:rsidRPr="00FB52F6">
        <w:t>This directly builds on Nortal’s own stated principles: no SPOF, replaceable subsystems, regional + central usable even if either is down, edge device requirements, and x-tee-like edge behavior.</w:t>
      </w:r>
    </w:p>
    <w:p w14:paraId="7EAB30B0" w14:textId="77777777" w:rsidR="00FB52F6" w:rsidRPr="00FB52F6" w:rsidRDefault="00FB52F6" w:rsidP="00FB52F6">
      <w:r w:rsidRPr="00FB52F6">
        <w:pict w14:anchorId="45F02229">
          <v:rect id="_x0000_i1079" style="width:0;height:1.5pt" o:hralign="center" o:hrstd="t" o:hr="t" fillcolor="#a0a0a0" stroked="f"/>
        </w:pict>
      </w:r>
    </w:p>
    <w:p w14:paraId="0877D696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 xml:space="preserve">1) Reframe the “distributed architecture” requirement into </w:t>
      </w:r>
      <w:r w:rsidRPr="00FB52F6">
        <w:rPr>
          <w:b/>
          <w:bCs/>
          <w:i/>
          <w:iCs/>
        </w:rPr>
        <w:t>operationally testable</w:t>
      </w:r>
      <w:r w:rsidRPr="00FB52F6">
        <w:rPr>
          <w:b/>
          <w:bCs/>
        </w:rPr>
        <w:t xml:space="preserve"> behavior</w:t>
      </w:r>
    </w:p>
    <w:p w14:paraId="786FFBB3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What Nortal already has (good base)</w:t>
      </w:r>
    </w:p>
    <w:p w14:paraId="7B17FF9B" w14:textId="77777777" w:rsidR="00FB52F6" w:rsidRPr="00FB52F6" w:rsidRDefault="00FB52F6" w:rsidP="00FB52F6">
      <w:pPr>
        <w:numPr>
          <w:ilvl w:val="0"/>
          <w:numId w:val="2"/>
        </w:numPr>
      </w:pPr>
      <w:r w:rsidRPr="00FB52F6">
        <w:t xml:space="preserve">“No single point of failure (SPOF)” and replaceable subsystems. </w:t>
      </w:r>
    </w:p>
    <w:p w14:paraId="62B5C7A1" w14:textId="77777777" w:rsidR="00FB52F6" w:rsidRPr="00FB52F6" w:rsidRDefault="00FB52F6" w:rsidP="00FB52F6">
      <w:r w:rsidRPr="00FB52F6">
        <w:t>NORTAL</w:t>
      </w:r>
    </w:p>
    <w:p w14:paraId="72B86219" w14:textId="77777777" w:rsidR="00FB52F6" w:rsidRPr="00FB52F6" w:rsidRDefault="00FB52F6" w:rsidP="00FB52F6">
      <w:pPr>
        <w:numPr>
          <w:ilvl w:val="0"/>
          <w:numId w:val="2"/>
        </w:numPr>
      </w:pPr>
      <w:r w:rsidRPr="00FB52F6">
        <w:t xml:space="preserve">Regional + central can work even if one is unavailable. </w:t>
      </w:r>
    </w:p>
    <w:p w14:paraId="26984787" w14:textId="77777777" w:rsidR="00FB52F6" w:rsidRPr="00FB52F6" w:rsidRDefault="00FB52F6" w:rsidP="00FB52F6">
      <w:r w:rsidRPr="00FB52F6">
        <w:t>NORTAL</w:t>
      </w:r>
    </w:p>
    <w:p w14:paraId="3AFCD5FE" w14:textId="77777777" w:rsidR="00FB52F6" w:rsidRPr="00FB52F6" w:rsidRDefault="00FB52F6" w:rsidP="00FB52F6">
      <w:pPr>
        <w:numPr>
          <w:ilvl w:val="0"/>
          <w:numId w:val="2"/>
        </w:numPr>
      </w:pPr>
      <w:r w:rsidRPr="00FB52F6">
        <w:t xml:space="preserve">Edge device must do detection/classification, encrypt/sign traffic, remote management. </w:t>
      </w:r>
    </w:p>
    <w:p w14:paraId="10AA43D9" w14:textId="77777777" w:rsidR="00FB52F6" w:rsidRPr="00FB52F6" w:rsidRDefault="00FB52F6" w:rsidP="00FB52F6">
      <w:r w:rsidRPr="00FB52F6">
        <w:t>NORTAL</w:t>
      </w:r>
    </w:p>
    <w:p w14:paraId="6EF995C0" w14:textId="77777777" w:rsidR="00FB52F6" w:rsidRPr="00FB52F6" w:rsidRDefault="00FB52F6" w:rsidP="00FB52F6">
      <w:pPr>
        <w:numPr>
          <w:ilvl w:val="0"/>
          <w:numId w:val="2"/>
        </w:numPr>
      </w:pPr>
      <w:r w:rsidRPr="00FB52F6">
        <w:t xml:space="preserve">Wants x-tee-like edge security servers that can send even without central. </w:t>
      </w:r>
    </w:p>
    <w:p w14:paraId="77F2D03F" w14:textId="77777777" w:rsidR="00FB52F6" w:rsidRPr="00FB52F6" w:rsidRDefault="00FB52F6" w:rsidP="00FB52F6">
      <w:r w:rsidRPr="00FB52F6">
        <w:t>NORTAL</w:t>
      </w:r>
    </w:p>
    <w:p w14:paraId="392BF780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The nudge: make “mesh” explicit via acceptance tests</w:t>
      </w:r>
    </w:p>
    <w:p w14:paraId="66C2B1A7" w14:textId="77777777" w:rsidR="00FB52F6" w:rsidRPr="00FB52F6" w:rsidRDefault="00FB52F6" w:rsidP="00FB52F6">
      <w:r w:rsidRPr="00FB52F6">
        <w:t xml:space="preserve">Insert into the analysis outputs and later procurement spec as </w:t>
      </w:r>
      <w:r w:rsidRPr="00FB52F6">
        <w:rPr>
          <w:i/>
          <w:iCs/>
        </w:rPr>
        <w:t>MUST-pass tests</w:t>
      </w:r>
      <w:r w:rsidRPr="00FB52F6">
        <w:t>:</w:t>
      </w:r>
    </w:p>
    <w:p w14:paraId="562650CC" w14:textId="77777777" w:rsidR="00FB52F6" w:rsidRPr="00FB52F6" w:rsidRDefault="00FB52F6" w:rsidP="00FB52F6">
      <w:r w:rsidRPr="00FB52F6">
        <w:rPr>
          <w:b/>
          <w:bCs/>
        </w:rPr>
        <w:t>Partition resilience tests</w:t>
      </w:r>
    </w:p>
    <w:p w14:paraId="16F688FD" w14:textId="77777777" w:rsidR="00FB52F6" w:rsidRPr="00FB52F6" w:rsidRDefault="00FB52F6" w:rsidP="00FB52F6">
      <w:pPr>
        <w:numPr>
          <w:ilvl w:val="0"/>
          <w:numId w:val="3"/>
        </w:numPr>
      </w:pPr>
      <w:r w:rsidRPr="00FB52F6">
        <w:rPr>
          <w:b/>
          <w:bCs/>
        </w:rPr>
        <w:t>T1:</w:t>
      </w:r>
      <w:r w:rsidRPr="00FB52F6">
        <w:t xml:space="preserve"> With national/central node offline, each region continues COP for its AO (ingest → fuse → display → alert).</w:t>
      </w:r>
    </w:p>
    <w:p w14:paraId="0AF21473" w14:textId="77777777" w:rsidR="00FB52F6" w:rsidRPr="00FB52F6" w:rsidRDefault="00FB52F6" w:rsidP="00FB52F6">
      <w:pPr>
        <w:numPr>
          <w:ilvl w:val="0"/>
          <w:numId w:val="3"/>
        </w:numPr>
      </w:pPr>
      <w:r w:rsidRPr="00FB52F6">
        <w:rPr>
          <w:b/>
          <w:bCs/>
        </w:rPr>
        <w:lastRenderedPageBreak/>
        <w:t>T2:</w:t>
      </w:r>
      <w:r w:rsidRPr="00FB52F6">
        <w:t xml:space="preserve"> With region isolated, it continues; when reconnected, it reconciles without operator hand-holding (store-and-forward + conflict rules).</w:t>
      </w:r>
    </w:p>
    <w:p w14:paraId="04073EA5" w14:textId="77777777" w:rsidR="00FB52F6" w:rsidRPr="00FB52F6" w:rsidRDefault="00FB52F6" w:rsidP="00FB52F6">
      <w:pPr>
        <w:numPr>
          <w:ilvl w:val="0"/>
          <w:numId w:val="3"/>
        </w:numPr>
      </w:pPr>
      <w:r w:rsidRPr="00FB52F6">
        <w:rPr>
          <w:b/>
          <w:bCs/>
        </w:rPr>
        <w:t>T3:</w:t>
      </w:r>
      <w:r w:rsidRPr="00FB52F6">
        <w:t xml:space="preserve"> With a subset of edge nodes disconnected from region, local edge COP persists at minimum “alerts + last-known tracks.”</w:t>
      </w:r>
    </w:p>
    <w:p w14:paraId="24FB02A1" w14:textId="77777777" w:rsidR="00FB52F6" w:rsidRPr="00FB52F6" w:rsidRDefault="00FB52F6" w:rsidP="00FB52F6">
      <w:r w:rsidRPr="00FB52F6">
        <w:rPr>
          <w:b/>
          <w:bCs/>
        </w:rPr>
        <w:t>Multi-level fusion</w:t>
      </w:r>
    </w:p>
    <w:p w14:paraId="4CA0A74A" w14:textId="77777777" w:rsidR="00FB52F6" w:rsidRPr="00FB52F6" w:rsidRDefault="00FB52F6" w:rsidP="00FB52F6">
      <w:pPr>
        <w:numPr>
          <w:ilvl w:val="0"/>
          <w:numId w:val="4"/>
        </w:numPr>
      </w:pPr>
      <w:r w:rsidRPr="00FB52F6">
        <w:rPr>
          <w:b/>
          <w:bCs/>
        </w:rPr>
        <w:t>T4:</w:t>
      </w:r>
      <w:r w:rsidRPr="00FB52F6">
        <w:t xml:space="preserve"> Fusion runs at </w:t>
      </w:r>
      <w:r w:rsidRPr="00FB52F6">
        <w:rPr>
          <w:b/>
          <w:bCs/>
        </w:rPr>
        <w:t>edge + regional + national</w:t>
      </w:r>
      <w:r w:rsidRPr="00FB52F6">
        <w:t xml:space="preserve"> concurrently. Center is not a mandatory chokepoint.</w:t>
      </w:r>
    </w:p>
    <w:p w14:paraId="4A3EA2B1" w14:textId="77777777" w:rsidR="00FB52F6" w:rsidRPr="00FB52F6" w:rsidRDefault="00FB52F6" w:rsidP="00FB52F6">
      <w:r w:rsidRPr="00FB52F6">
        <w:t xml:space="preserve">This converts “distributed” from a diagram into something vendors must </w:t>
      </w:r>
      <w:r w:rsidRPr="00FB52F6">
        <w:rPr>
          <w:i/>
          <w:iCs/>
        </w:rPr>
        <w:t>demonstrate</w:t>
      </w:r>
      <w:r w:rsidRPr="00FB52F6">
        <w:t>.</w:t>
      </w:r>
    </w:p>
    <w:p w14:paraId="5FF42DDA" w14:textId="77777777" w:rsidR="00FB52F6" w:rsidRPr="00FB52F6" w:rsidRDefault="00FB52F6" w:rsidP="00FB52F6">
      <w:r w:rsidRPr="00FB52F6">
        <w:pict w14:anchorId="285B5D9B">
          <v:rect id="_x0000_i1080" style="width:0;height:1.5pt" o:hralign="center" o:hrstd="t" o:hr="t" fillcolor="#a0a0a0" stroked="f"/>
        </w:pict>
      </w:r>
    </w:p>
    <w:p w14:paraId="358FDDF6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2) Separate the planes: governance/control vs real-time data</w:t>
      </w:r>
    </w:p>
    <w:p w14:paraId="6B42F112" w14:textId="77777777" w:rsidR="00FB52F6" w:rsidRPr="00FB52F6" w:rsidRDefault="00FB52F6" w:rsidP="00FB52F6">
      <w:r w:rsidRPr="00FB52F6">
        <w:t xml:space="preserve">Nortal’s x-tee-like idea is strong for governance, but it can accidentally drag real-time sensor flows into a document-exchange mindset. </w:t>
      </w:r>
    </w:p>
    <w:p w14:paraId="02271D0E" w14:textId="77777777" w:rsidR="00FB52F6" w:rsidRPr="00FB52F6" w:rsidRDefault="00FB52F6" w:rsidP="00FB52F6">
      <w:r w:rsidRPr="00FB52F6">
        <w:t>NORTAL</w:t>
      </w:r>
    </w:p>
    <w:p w14:paraId="31924993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Required framing in the analysis</w:t>
      </w:r>
    </w:p>
    <w:p w14:paraId="541D5BAE" w14:textId="77777777" w:rsidR="00FB52F6" w:rsidRPr="00FB52F6" w:rsidRDefault="00FB52F6" w:rsidP="00FB52F6">
      <w:pPr>
        <w:numPr>
          <w:ilvl w:val="0"/>
          <w:numId w:val="5"/>
        </w:numPr>
      </w:pPr>
      <w:r w:rsidRPr="00FB52F6">
        <w:rPr>
          <w:b/>
          <w:bCs/>
        </w:rPr>
        <w:t>Governance plane:</w:t>
      </w:r>
      <w:r w:rsidRPr="00FB52F6">
        <w:t xml:space="preserve"> identity, authentication, authorization, audit, policy distribution, legal traceability.</w:t>
      </w:r>
    </w:p>
    <w:p w14:paraId="0552F370" w14:textId="77777777" w:rsidR="00FB52F6" w:rsidRPr="00FB52F6" w:rsidRDefault="00FB52F6" w:rsidP="00FB52F6">
      <w:pPr>
        <w:numPr>
          <w:ilvl w:val="0"/>
          <w:numId w:val="5"/>
        </w:numPr>
      </w:pPr>
      <w:r w:rsidRPr="00FB52F6">
        <w:rPr>
          <w:b/>
          <w:bCs/>
        </w:rPr>
        <w:t>Data plane:</w:t>
      </w:r>
      <w:r w:rsidRPr="00FB52F6">
        <w:t xml:space="preserve"> low-latency pub/sub for tracks/events/video-metadata streams.</w:t>
      </w:r>
    </w:p>
    <w:p w14:paraId="5A51BF44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Tactic</w:t>
      </w:r>
    </w:p>
    <w:p w14:paraId="0D237AA8" w14:textId="77777777" w:rsidR="00FB52F6" w:rsidRPr="00FB52F6" w:rsidRDefault="00FB52F6" w:rsidP="00FB52F6">
      <w:r w:rsidRPr="00FB52F6">
        <w:t xml:space="preserve">Ask Nortal to deliver </w:t>
      </w:r>
      <w:r w:rsidRPr="00FB52F6">
        <w:rPr>
          <w:b/>
          <w:bCs/>
        </w:rPr>
        <w:t>two architecture views</w:t>
      </w:r>
      <w:r w:rsidRPr="00FB52F6">
        <w:t xml:space="preserve"> (C4-style works):</w:t>
      </w:r>
    </w:p>
    <w:p w14:paraId="2525488A" w14:textId="77777777" w:rsidR="00FB52F6" w:rsidRPr="00FB52F6" w:rsidRDefault="00FB52F6" w:rsidP="00FB52F6">
      <w:pPr>
        <w:numPr>
          <w:ilvl w:val="0"/>
          <w:numId w:val="6"/>
        </w:numPr>
      </w:pPr>
      <w:r w:rsidRPr="00FB52F6">
        <w:t>control plane (x-tee-like or equivalent pattern),</w:t>
      </w:r>
    </w:p>
    <w:p w14:paraId="225C90E1" w14:textId="77777777" w:rsidR="00FB52F6" w:rsidRPr="00FB52F6" w:rsidRDefault="00FB52F6" w:rsidP="00FB52F6">
      <w:pPr>
        <w:numPr>
          <w:ilvl w:val="0"/>
          <w:numId w:val="6"/>
        </w:numPr>
      </w:pPr>
      <w:r w:rsidRPr="00FB52F6">
        <w:t>data plane (pub/sub, selective subscription, priority/QoS).</w:t>
      </w:r>
    </w:p>
    <w:p w14:paraId="542ECACC" w14:textId="77777777" w:rsidR="00FB52F6" w:rsidRPr="00FB52F6" w:rsidRDefault="00FB52F6" w:rsidP="00FB52F6">
      <w:r w:rsidRPr="00FB52F6">
        <w:t>That one move makes “Lattice-like mesh” feel like the natural solution, while keeping your legal/security stakeholders happy.</w:t>
      </w:r>
    </w:p>
    <w:p w14:paraId="2226E3C1" w14:textId="77777777" w:rsidR="00FB52F6" w:rsidRPr="00FB52F6" w:rsidRDefault="00FB52F6" w:rsidP="00FB52F6">
      <w:r w:rsidRPr="00FB52F6">
        <w:pict w14:anchorId="5422CD90">
          <v:rect id="_x0000_i1081" style="width:0;height:1.5pt" o:hralign="center" o:hrstd="t" o:hr="t" fillcolor="#a0a0a0" stroked="f"/>
        </w:pict>
      </w:r>
    </w:p>
    <w:p w14:paraId="48FC2F51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3) Elevate cloud-native and SDK without making it smell like “cloud mandate”</w:t>
      </w:r>
    </w:p>
    <w:p w14:paraId="0DB005DA" w14:textId="77777777" w:rsidR="00FB52F6" w:rsidRPr="00FB52F6" w:rsidRDefault="00FB52F6" w:rsidP="00FB52F6">
      <w:r w:rsidRPr="00FB52F6">
        <w:t xml:space="preserve">Nortal already flags classified vs public networks and the need to test cross-domain behavior. </w:t>
      </w:r>
    </w:p>
    <w:p w14:paraId="34DD445A" w14:textId="77777777" w:rsidR="00FB52F6" w:rsidRPr="00FB52F6" w:rsidRDefault="00FB52F6" w:rsidP="00FB52F6">
      <w:r w:rsidRPr="00FB52F6">
        <w:t>NORTAL</w:t>
      </w:r>
    </w:p>
    <w:p w14:paraId="27940777" w14:textId="77777777" w:rsidR="00FB52F6" w:rsidRPr="00FB52F6" w:rsidRDefault="00FB52F6" w:rsidP="00FB52F6">
      <w:r w:rsidRPr="00FB52F6">
        <w:lastRenderedPageBreak/>
        <w:br/>
        <w:t>Use “deployment topology parity” language:</w:t>
      </w:r>
    </w:p>
    <w:p w14:paraId="74EF20BE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Insert into evaluation / requirements</w:t>
      </w:r>
    </w:p>
    <w:p w14:paraId="14C801ED" w14:textId="77777777" w:rsidR="00FB52F6" w:rsidRPr="00FB52F6" w:rsidRDefault="00FB52F6" w:rsidP="00FB52F6">
      <w:pPr>
        <w:numPr>
          <w:ilvl w:val="0"/>
          <w:numId w:val="7"/>
        </w:numPr>
      </w:pPr>
      <w:r w:rsidRPr="00FB52F6">
        <w:t xml:space="preserve">“Core services must be deployable </w:t>
      </w:r>
      <w:r w:rsidRPr="00FB52F6">
        <w:rPr>
          <w:b/>
          <w:bCs/>
        </w:rPr>
        <w:t>unchanged</w:t>
      </w:r>
      <w:r w:rsidRPr="00FB52F6">
        <w:t xml:space="preserve"> on-prem or sovereign cloud (containerized microservices).”</w:t>
      </w:r>
    </w:p>
    <w:p w14:paraId="57FE9FF6" w14:textId="77777777" w:rsidR="00FB52F6" w:rsidRPr="00FB52F6" w:rsidRDefault="00FB52F6" w:rsidP="00FB52F6">
      <w:pPr>
        <w:numPr>
          <w:ilvl w:val="0"/>
          <w:numId w:val="7"/>
        </w:numPr>
      </w:pPr>
      <w:r w:rsidRPr="00FB52F6">
        <w:t>“Hybrid mode must be supported: some services in restricted networks, some in public, with controlled replication.”</w:t>
      </w:r>
    </w:p>
    <w:p w14:paraId="5E4B896A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Weighting (do it ethically)</w:t>
      </w:r>
    </w:p>
    <w:p w14:paraId="12E39AAD" w14:textId="77777777" w:rsidR="00FB52F6" w:rsidRPr="00FB52F6" w:rsidRDefault="00FB52F6" w:rsidP="00FB52F6">
      <w:r w:rsidRPr="00FB52F6">
        <w:t xml:space="preserve">Instead of “cloud-native 25%,” weight </w:t>
      </w:r>
      <w:r w:rsidRPr="00FB52F6">
        <w:rPr>
          <w:b/>
          <w:bCs/>
        </w:rPr>
        <w:t>capabilities</w:t>
      </w:r>
      <w:r w:rsidRPr="00FB52F6">
        <w:t>:</w:t>
      </w:r>
    </w:p>
    <w:p w14:paraId="40B1994B" w14:textId="77777777" w:rsidR="00FB52F6" w:rsidRPr="00FB52F6" w:rsidRDefault="00FB52F6" w:rsidP="00FB52F6">
      <w:pPr>
        <w:numPr>
          <w:ilvl w:val="0"/>
          <w:numId w:val="8"/>
        </w:numPr>
      </w:pPr>
      <w:r w:rsidRPr="00FB52F6">
        <w:rPr>
          <w:b/>
          <w:bCs/>
        </w:rPr>
        <w:t>Disconnected ops + partition tolerance</w:t>
      </w:r>
    </w:p>
    <w:p w14:paraId="78529FCB" w14:textId="77777777" w:rsidR="00FB52F6" w:rsidRPr="00FB52F6" w:rsidRDefault="00FB52F6" w:rsidP="00FB52F6">
      <w:pPr>
        <w:numPr>
          <w:ilvl w:val="0"/>
          <w:numId w:val="8"/>
        </w:numPr>
      </w:pPr>
      <w:r w:rsidRPr="00FB52F6">
        <w:rPr>
          <w:b/>
          <w:bCs/>
        </w:rPr>
        <w:t>Integration velocity (new sensor in ≤2 weeks via published adapter contract)</w:t>
      </w:r>
    </w:p>
    <w:p w14:paraId="14C92EE0" w14:textId="77777777" w:rsidR="00FB52F6" w:rsidRPr="00FB52F6" w:rsidRDefault="00FB52F6" w:rsidP="00FB52F6">
      <w:pPr>
        <w:numPr>
          <w:ilvl w:val="0"/>
          <w:numId w:val="8"/>
        </w:numPr>
      </w:pPr>
      <w:r w:rsidRPr="00FB52F6">
        <w:rPr>
          <w:b/>
          <w:bCs/>
        </w:rPr>
        <w:t>Deployment flexibility (on-prem / cloud / hybrid parity)</w:t>
      </w:r>
    </w:p>
    <w:p w14:paraId="0518123B" w14:textId="77777777" w:rsidR="00FB52F6" w:rsidRPr="00FB52F6" w:rsidRDefault="00FB52F6" w:rsidP="00FB52F6">
      <w:pPr>
        <w:numPr>
          <w:ilvl w:val="0"/>
          <w:numId w:val="8"/>
        </w:numPr>
      </w:pPr>
      <w:r w:rsidRPr="00FB52F6">
        <w:rPr>
          <w:b/>
          <w:bCs/>
        </w:rPr>
        <w:t>Operability (telemetry, audit, reproducible deployments)</w:t>
      </w:r>
    </w:p>
    <w:p w14:paraId="07802685" w14:textId="77777777" w:rsidR="00FB52F6" w:rsidRPr="00FB52F6" w:rsidRDefault="00FB52F6" w:rsidP="00FB52F6">
      <w:r w:rsidRPr="00FB52F6">
        <w:t>Cloud-native architectures tend to win these, but you aren’t explicitly biasing to one vendor.</w:t>
      </w:r>
    </w:p>
    <w:p w14:paraId="5A5281EC" w14:textId="77777777" w:rsidR="00FB52F6" w:rsidRPr="00FB52F6" w:rsidRDefault="00FB52F6" w:rsidP="00FB52F6">
      <w:r w:rsidRPr="00FB52F6">
        <w:pict w14:anchorId="5634E760">
          <v:rect id="_x0000_i1082" style="width:0;height:1.5pt" o:hralign="center" o:hrstd="t" o:hr="t" fillcolor="#a0a0a0" stroked="f"/>
        </w:pict>
      </w:r>
    </w:p>
    <w:p w14:paraId="2A4F311F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4) Force the “translator ecosystem” by making SDK + conformance harness a deliverable</w:t>
      </w:r>
    </w:p>
    <w:p w14:paraId="3B1C4BCD" w14:textId="77777777" w:rsidR="00FB52F6" w:rsidRPr="00FB52F6" w:rsidRDefault="00FB52F6" w:rsidP="00FB52F6">
      <w:r w:rsidRPr="00FB52F6">
        <w:t>Your own standards plan already emphasizes adapters + canonical schema + conformance tests.</w:t>
      </w:r>
      <w:r w:rsidRPr="00FB52F6">
        <w:br/>
        <w:t>Make Nortal’s analysis produce procurement-ready artifacts:</w:t>
      </w:r>
    </w:p>
    <w:p w14:paraId="4794D3A2" w14:textId="77777777" w:rsidR="00FB52F6" w:rsidRPr="00FB52F6" w:rsidRDefault="00FB52F6" w:rsidP="00FB52F6">
      <w:r w:rsidRPr="00FB52F6">
        <w:rPr>
          <w:b/>
          <w:bCs/>
        </w:rPr>
        <w:t>A. Canonical model</w:t>
      </w:r>
    </w:p>
    <w:p w14:paraId="3387D7BA" w14:textId="77777777" w:rsidR="00FB52F6" w:rsidRPr="00FB52F6" w:rsidRDefault="00FB52F6" w:rsidP="00FB52F6">
      <w:pPr>
        <w:numPr>
          <w:ilvl w:val="0"/>
          <w:numId w:val="9"/>
        </w:numPr>
      </w:pPr>
      <w:r w:rsidRPr="00FB52F6">
        <w:t xml:space="preserve">Canonical </w:t>
      </w:r>
      <w:r w:rsidRPr="00FB52F6">
        <w:rPr>
          <w:b/>
          <w:bCs/>
        </w:rPr>
        <w:t>Entity/Track/Event</w:t>
      </w:r>
      <w:r w:rsidRPr="00FB52F6">
        <w:t xml:space="preserve"> schema with: position/velocity, confidence, lineage/provenance, policy tags (classification/releasability, precision downgrade rules). (This supports multi-agency masking.)</w:t>
      </w:r>
    </w:p>
    <w:p w14:paraId="7D6BC74B" w14:textId="77777777" w:rsidR="00FB52F6" w:rsidRPr="00FB52F6" w:rsidRDefault="00FB52F6" w:rsidP="00FB52F6">
      <w:r w:rsidRPr="00FB52F6">
        <w:rPr>
          <w:b/>
          <w:bCs/>
        </w:rPr>
        <w:t>B. Adapter contract</w:t>
      </w:r>
    </w:p>
    <w:p w14:paraId="2AC98873" w14:textId="77777777" w:rsidR="00FB52F6" w:rsidRPr="00FB52F6" w:rsidRDefault="00FB52F6" w:rsidP="00FB52F6">
      <w:pPr>
        <w:numPr>
          <w:ilvl w:val="0"/>
          <w:numId w:val="10"/>
        </w:numPr>
      </w:pPr>
      <w:r w:rsidRPr="00FB52F6">
        <w:t xml:space="preserve">One “primary” integration surface (recommend: </w:t>
      </w:r>
      <w:r w:rsidRPr="00FB52F6">
        <w:rPr>
          <w:b/>
          <w:bCs/>
        </w:rPr>
        <w:t>gRPC/protobuf</w:t>
      </w:r>
      <w:r w:rsidRPr="00FB52F6">
        <w:t>) plus one fallback (REST/JSON).</w:t>
      </w:r>
    </w:p>
    <w:p w14:paraId="10847587" w14:textId="77777777" w:rsidR="00FB52F6" w:rsidRPr="00FB52F6" w:rsidRDefault="00FB52F6" w:rsidP="00FB52F6">
      <w:pPr>
        <w:numPr>
          <w:ilvl w:val="0"/>
          <w:numId w:val="10"/>
        </w:numPr>
      </w:pPr>
      <w:r w:rsidRPr="00FB52F6">
        <w:t>Adapters publish capabilities via a manifest (versioning + supported outputs).</w:t>
      </w:r>
    </w:p>
    <w:p w14:paraId="449D760A" w14:textId="77777777" w:rsidR="00FB52F6" w:rsidRPr="00FB52F6" w:rsidRDefault="00FB52F6" w:rsidP="00FB52F6">
      <w:r w:rsidRPr="00FB52F6">
        <w:rPr>
          <w:b/>
          <w:bCs/>
        </w:rPr>
        <w:t>C. Certification harness</w:t>
      </w:r>
    </w:p>
    <w:p w14:paraId="67C627BC" w14:textId="77777777" w:rsidR="00FB52F6" w:rsidRPr="00FB52F6" w:rsidRDefault="00FB52F6" w:rsidP="00FB52F6">
      <w:pPr>
        <w:numPr>
          <w:ilvl w:val="0"/>
          <w:numId w:val="11"/>
        </w:numPr>
      </w:pPr>
      <w:r w:rsidRPr="00FB52F6">
        <w:t>Golden test vectors + replayable datasets.</w:t>
      </w:r>
    </w:p>
    <w:p w14:paraId="37EF49CA" w14:textId="77777777" w:rsidR="00FB52F6" w:rsidRPr="00FB52F6" w:rsidRDefault="00FB52F6" w:rsidP="00FB52F6">
      <w:pPr>
        <w:numPr>
          <w:ilvl w:val="0"/>
          <w:numId w:val="11"/>
        </w:numPr>
      </w:pPr>
      <w:r w:rsidRPr="00FB52F6">
        <w:lastRenderedPageBreak/>
        <w:t>“Adapter passes harness” becomes procurement gate.</w:t>
      </w:r>
    </w:p>
    <w:p w14:paraId="71EE92D6" w14:textId="77777777" w:rsidR="00FB52F6" w:rsidRPr="00FB52F6" w:rsidRDefault="00FB52F6" w:rsidP="00FB52F6">
      <w:r w:rsidRPr="00FB52F6">
        <w:t>This is the single most reliable way to “nudge toward Lattice-like” behavior without naming Lattice.</w:t>
      </w:r>
    </w:p>
    <w:p w14:paraId="68840E61" w14:textId="77777777" w:rsidR="00FB52F6" w:rsidRPr="00FB52F6" w:rsidRDefault="00FB52F6" w:rsidP="00FB52F6">
      <w:r w:rsidRPr="00FB52F6">
        <w:pict w14:anchorId="469D3474">
          <v:rect id="_x0000_i1083" style="width:0;height:1.5pt" o:hralign="center" o:hrstd="t" o:hr="t" fillcolor="#a0a0a0" stroked="f"/>
        </w:pict>
      </w:r>
    </w:p>
    <w:p w14:paraId="2D289C25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5) Shift the edge paradigm: edge nodes are autonomous fusion participants</w:t>
      </w:r>
    </w:p>
    <w:p w14:paraId="09FB096B" w14:textId="77777777" w:rsidR="00FB52F6" w:rsidRPr="00FB52F6" w:rsidRDefault="00FB52F6" w:rsidP="00FB52F6">
      <w:r w:rsidRPr="00FB52F6">
        <w:t xml:space="preserve">Nortal already requires edge to classify detections, sign/encrypt, and remote-manage. </w:t>
      </w:r>
    </w:p>
    <w:p w14:paraId="7EA4F667" w14:textId="77777777" w:rsidR="00FB52F6" w:rsidRPr="00FB52F6" w:rsidRDefault="00FB52F6" w:rsidP="00FB52F6">
      <w:r w:rsidRPr="00FB52F6">
        <w:t>NORTAL</w:t>
      </w:r>
    </w:p>
    <w:p w14:paraId="198DD7E3" w14:textId="77777777" w:rsidR="00FB52F6" w:rsidRPr="00FB52F6" w:rsidRDefault="00FB52F6" w:rsidP="00FB52F6">
      <w:r w:rsidRPr="00FB52F6">
        <w:br/>
        <w:t xml:space="preserve">Nudge the analysis to treat edge as a </w:t>
      </w:r>
      <w:r w:rsidRPr="00FB52F6">
        <w:rPr>
          <w:b/>
          <w:bCs/>
        </w:rPr>
        <w:t>first-class node</w:t>
      </w:r>
      <w:r w:rsidRPr="00FB52F6">
        <w:t>:</w:t>
      </w:r>
    </w:p>
    <w:p w14:paraId="719FECB7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Add three explicit edge requirements</w:t>
      </w:r>
    </w:p>
    <w:p w14:paraId="1F490CBD" w14:textId="77777777" w:rsidR="00FB52F6" w:rsidRPr="00FB52F6" w:rsidRDefault="00FB52F6" w:rsidP="00FB52F6">
      <w:pPr>
        <w:numPr>
          <w:ilvl w:val="0"/>
          <w:numId w:val="12"/>
        </w:numPr>
      </w:pPr>
      <w:r w:rsidRPr="00FB52F6">
        <w:t xml:space="preserve">Edge node can maintain a </w:t>
      </w:r>
      <w:r w:rsidRPr="00FB52F6">
        <w:rPr>
          <w:b/>
          <w:bCs/>
        </w:rPr>
        <w:t>local track store</w:t>
      </w:r>
      <w:r w:rsidRPr="00FB52F6">
        <w:t xml:space="preserve"> + local alerting rules.</w:t>
      </w:r>
    </w:p>
    <w:p w14:paraId="507A63A2" w14:textId="77777777" w:rsidR="00FB52F6" w:rsidRPr="00FB52F6" w:rsidRDefault="00FB52F6" w:rsidP="00FB52F6">
      <w:pPr>
        <w:numPr>
          <w:ilvl w:val="0"/>
          <w:numId w:val="12"/>
        </w:numPr>
      </w:pPr>
      <w:r w:rsidRPr="00FB52F6">
        <w:t xml:space="preserve">Edge-to-edge and edge-to-region </w:t>
      </w:r>
      <w:r w:rsidRPr="00FB52F6">
        <w:rPr>
          <w:b/>
          <w:bCs/>
        </w:rPr>
        <w:t>peer comms</w:t>
      </w:r>
      <w:r w:rsidRPr="00FB52F6">
        <w:t xml:space="preserve"> is supported (not only edge→center).</w:t>
      </w:r>
    </w:p>
    <w:p w14:paraId="024D27CE" w14:textId="77777777" w:rsidR="00FB52F6" w:rsidRPr="00FB52F6" w:rsidRDefault="00FB52F6" w:rsidP="00FB52F6">
      <w:pPr>
        <w:numPr>
          <w:ilvl w:val="0"/>
          <w:numId w:val="12"/>
        </w:numPr>
      </w:pPr>
      <w:r w:rsidRPr="00FB52F6">
        <w:t xml:space="preserve">Edge supports </w:t>
      </w:r>
      <w:r w:rsidRPr="00FB52F6">
        <w:rPr>
          <w:b/>
          <w:bCs/>
        </w:rPr>
        <w:t>inference slot</w:t>
      </w:r>
      <w:r w:rsidRPr="00FB52F6">
        <w:t xml:space="preserve"> (hardware-agnostic): “deployable model inference container” for rapid algorithm updates.</w:t>
      </w:r>
    </w:p>
    <w:p w14:paraId="64FCB72A" w14:textId="77777777" w:rsidR="00FB52F6" w:rsidRPr="00FB52F6" w:rsidRDefault="00FB52F6" w:rsidP="00FB52F6">
      <w:r w:rsidRPr="00FB52F6">
        <w:pict w14:anchorId="17F2132B">
          <v:rect id="_x0000_i1084" style="width:0;height:1.5pt" o:hralign="center" o:hrstd="t" o:hr="t" fillcolor="#a0a0a0" stroked="f"/>
        </w:pict>
      </w:r>
    </w:p>
    <w:p w14:paraId="4E0BC257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6) Standards prioritization: keep the “OR” clauses and avoid lock-in</w:t>
      </w:r>
    </w:p>
    <w:p w14:paraId="342B6CA8" w14:textId="77777777" w:rsidR="00FB52F6" w:rsidRPr="00FB52F6" w:rsidRDefault="00FB52F6" w:rsidP="00FB52F6">
      <w:r w:rsidRPr="00FB52F6">
        <w:t>Your plan already recommends flexibility: ASTERIX or SAPIENT; RIST or SRT; PTP baseline; TSN where justified.</w:t>
      </w:r>
      <w:r w:rsidRPr="00FB52F6">
        <w:br/>
        <w:t>Tactically, ensure Nortal doesn’t collapse the options into a single mandated stack during analysis.</w:t>
      </w:r>
    </w:p>
    <w:p w14:paraId="00F435D6" w14:textId="77777777" w:rsidR="00FB52F6" w:rsidRPr="00FB52F6" w:rsidRDefault="00FB52F6" w:rsidP="00FB52F6">
      <w:r w:rsidRPr="00FB52F6">
        <w:rPr>
          <w:b/>
          <w:bCs/>
        </w:rPr>
        <w:t>Procurement-safe phrasing</w:t>
      </w:r>
    </w:p>
    <w:p w14:paraId="33C20D30" w14:textId="77777777" w:rsidR="00FB52F6" w:rsidRPr="00FB52F6" w:rsidRDefault="00FB52F6" w:rsidP="00FB52F6">
      <w:pPr>
        <w:numPr>
          <w:ilvl w:val="0"/>
          <w:numId w:val="13"/>
        </w:numPr>
      </w:pPr>
      <w:r w:rsidRPr="00FB52F6">
        <w:t xml:space="preserve">“System SHALL ingest </w:t>
      </w:r>
      <w:r w:rsidRPr="00FB52F6">
        <w:rPr>
          <w:b/>
          <w:bCs/>
        </w:rPr>
        <w:t>ASTERIX CAT-062/240</w:t>
      </w:r>
      <w:r w:rsidRPr="00FB52F6">
        <w:t xml:space="preserve"> and MAY ingest </w:t>
      </w:r>
      <w:r w:rsidRPr="00FB52F6">
        <w:rPr>
          <w:b/>
          <w:bCs/>
        </w:rPr>
        <w:t>SAPIENT</w:t>
      </w:r>
      <w:r w:rsidRPr="00FB52F6">
        <w:t>; internal normalization is required either way.”</w:t>
      </w:r>
    </w:p>
    <w:p w14:paraId="3680B7FE" w14:textId="77777777" w:rsidR="00FB52F6" w:rsidRPr="00FB52F6" w:rsidRDefault="00FB52F6" w:rsidP="00FB52F6">
      <w:pPr>
        <w:numPr>
          <w:ilvl w:val="0"/>
          <w:numId w:val="13"/>
        </w:numPr>
      </w:pPr>
      <w:r w:rsidRPr="00FB52F6">
        <w:t xml:space="preserve">“Backhaul SHALL support </w:t>
      </w:r>
      <w:r w:rsidRPr="00FB52F6">
        <w:rPr>
          <w:b/>
          <w:bCs/>
        </w:rPr>
        <w:t>SRT or RIST</w:t>
      </w:r>
      <w:r w:rsidRPr="00FB52F6">
        <w:t>.”</w:t>
      </w:r>
    </w:p>
    <w:p w14:paraId="031F4A2E" w14:textId="77777777" w:rsidR="00FB52F6" w:rsidRPr="00FB52F6" w:rsidRDefault="00FB52F6" w:rsidP="00FB52F6">
      <w:pPr>
        <w:numPr>
          <w:ilvl w:val="0"/>
          <w:numId w:val="13"/>
        </w:numPr>
      </w:pPr>
      <w:r w:rsidRPr="00FB52F6">
        <w:t>“Timebase SHALL support PTP; TSN is required only for segments with proven need.”</w:t>
      </w:r>
    </w:p>
    <w:p w14:paraId="626D79A9" w14:textId="77777777" w:rsidR="00FB52F6" w:rsidRPr="00FB52F6" w:rsidRDefault="00FB52F6" w:rsidP="00FB52F6">
      <w:r w:rsidRPr="00FB52F6">
        <w:t>This preserves competition and still aligns with Anduril-strength integrations.</w:t>
      </w:r>
    </w:p>
    <w:p w14:paraId="1CE13605" w14:textId="77777777" w:rsidR="00FB52F6" w:rsidRPr="00FB52F6" w:rsidRDefault="00FB52F6" w:rsidP="00FB52F6">
      <w:r w:rsidRPr="00FB52F6">
        <w:pict w14:anchorId="3CD627F8">
          <v:rect id="_x0000_i1085" style="width:0;height:1.5pt" o:hralign="center" o:hrstd="t" o:hr="t" fillcolor="#a0a0a0" stroked="f"/>
        </w:pict>
      </w:r>
    </w:p>
    <w:p w14:paraId="06E21E55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7) Ukraine interviews: steer the questions toward degraded comms + decentralization</w:t>
      </w:r>
    </w:p>
    <w:p w14:paraId="2BB2656B" w14:textId="77777777" w:rsidR="00FB52F6" w:rsidRPr="00FB52F6" w:rsidRDefault="00FB52F6" w:rsidP="00FB52F6">
      <w:r w:rsidRPr="00FB52F6">
        <w:lastRenderedPageBreak/>
        <w:t xml:space="preserve">Nortal already plans Ukraine expert interviews. </w:t>
      </w:r>
    </w:p>
    <w:p w14:paraId="75E978BC" w14:textId="77777777" w:rsidR="00FB52F6" w:rsidRPr="00FB52F6" w:rsidRDefault="00FB52F6" w:rsidP="00FB52F6">
      <w:r w:rsidRPr="00FB52F6">
        <w:t>NORTAL</w:t>
      </w:r>
    </w:p>
    <w:p w14:paraId="18C9AD59" w14:textId="77777777" w:rsidR="00FB52F6" w:rsidRPr="00FB52F6" w:rsidRDefault="00FB52F6" w:rsidP="00FB52F6">
      <w:r w:rsidRPr="00FB52F6">
        <w:br/>
        <w:t xml:space="preserve">Give them a </w:t>
      </w:r>
      <w:r w:rsidRPr="00FB52F6">
        <w:rPr>
          <w:b/>
          <w:bCs/>
        </w:rPr>
        <w:t>question set</w:t>
      </w:r>
      <w:r w:rsidRPr="00FB52F6">
        <w:t xml:space="preserve"> that naturally validates mesh/edge autonomy:</w:t>
      </w:r>
    </w:p>
    <w:p w14:paraId="0C0BFC49" w14:textId="77777777" w:rsidR="00FB52F6" w:rsidRPr="00FB52F6" w:rsidRDefault="00FB52F6" w:rsidP="00FB52F6">
      <w:pPr>
        <w:numPr>
          <w:ilvl w:val="0"/>
          <w:numId w:val="14"/>
        </w:numPr>
      </w:pPr>
      <w:r w:rsidRPr="00FB52F6">
        <w:t>“What failed first under EW: links, central nodes, or sensors?”</w:t>
      </w:r>
    </w:p>
    <w:p w14:paraId="42DA44E7" w14:textId="77777777" w:rsidR="00FB52F6" w:rsidRPr="00FB52F6" w:rsidRDefault="00FB52F6" w:rsidP="00FB52F6">
      <w:pPr>
        <w:numPr>
          <w:ilvl w:val="0"/>
          <w:numId w:val="14"/>
        </w:numPr>
      </w:pPr>
      <w:r w:rsidRPr="00FB52F6">
        <w:t>“What minimum picture was still usable when central C2 was degraded?”</w:t>
      </w:r>
    </w:p>
    <w:p w14:paraId="4A92173A" w14:textId="77777777" w:rsidR="00FB52F6" w:rsidRPr="00FB52F6" w:rsidRDefault="00FB52F6" w:rsidP="00FB52F6">
      <w:pPr>
        <w:numPr>
          <w:ilvl w:val="0"/>
          <w:numId w:val="14"/>
        </w:numPr>
      </w:pPr>
      <w:r w:rsidRPr="00FB52F6">
        <w:t>“What local/edge processing mattered most?”</w:t>
      </w:r>
    </w:p>
    <w:p w14:paraId="6191E695" w14:textId="77777777" w:rsidR="00FB52F6" w:rsidRPr="00FB52F6" w:rsidRDefault="00FB52F6" w:rsidP="00FB52F6">
      <w:pPr>
        <w:numPr>
          <w:ilvl w:val="0"/>
          <w:numId w:val="14"/>
        </w:numPr>
      </w:pPr>
      <w:r w:rsidRPr="00FB52F6">
        <w:t>“What data products were shared peer-to-peer vs pushed centrally?”</w:t>
      </w:r>
    </w:p>
    <w:p w14:paraId="3547CC27" w14:textId="77777777" w:rsidR="00FB52F6" w:rsidRPr="00FB52F6" w:rsidRDefault="00FB52F6" w:rsidP="00FB52F6">
      <w:pPr>
        <w:numPr>
          <w:ilvl w:val="0"/>
          <w:numId w:val="14"/>
        </w:numPr>
      </w:pPr>
      <w:r w:rsidRPr="00FB52F6">
        <w:t>“How did you handle provenance + trust when data was partial/spoofed?”</w:t>
      </w:r>
    </w:p>
    <w:p w14:paraId="1E6FCED5" w14:textId="77777777" w:rsidR="00FB52F6" w:rsidRPr="00FB52F6" w:rsidRDefault="00FB52F6" w:rsidP="00FB52F6">
      <w:r w:rsidRPr="00FB52F6">
        <w:t>You’re not saying “Anduril did X,” you’re making the analysis discover the conditions where mesh wins.</w:t>
      </w:r>
    </w:p>
    <w:p w14:paraId="425E92FA" w14:textId="77777777" w:rsidR="00FB52F6" w:rsidRPr="00FB52F6" w:rsidRDefault="00FB52F6" w:rsidP="00FB52F6">
      <w:r w:rsidRPr="00FB52F6">
        <w:pict w14:anchorId="7EC83CA4">
          <v:rect id="_x0000_i1086" style="width:0;height:1.5pt" o:hralign="center" o:hrstd="t" o:hr="t" fillcolor="#a0a0a0" stroked="f"/>
        </w:pict>
      </w:r>
    </w:p>
    <w:p w14:paraId="4139533E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8) Security reframing: zero trust + edge-held keys, expressed as testable requirements</w:t>
      </w:r>
    </w:p>
    <w:p w14:paraId="4F3B43DE" w14:textId="77777777" w:rsidR="00FB52F6" w:rsidRPr="00FB52F6" w:rsidRDefault="00FB52F6" w:rsidP="00FB52F6">
      <w:r w:rsidRPr="00FB52F6">
        <w:t>Nortal is already deep on stakeholders, access levels, auditability, and legal constraints.</w:t>
      </w:r>
      <w:r w:rsidRPr="00FB52F6">
        <w:br/>
        <w:t>Turn “zero trust” into checks:</w:t>
      </w:r>
    </w:p>
    <w:p w14:paraId="2FA78D64" w14:textId="77777777" w:rsidR="00FB52F6" w:rsidRPr="00FB52F6" w:rsidRDefault="00FB52F6" w:rsidP="00FB52F6">
      <w:pPr>
        <w:numPr>
          <w:ilvl w:val="0"/>
          <w:numId w:val="15"/>
        </w:numPr>
      </w:pPr>
      <w:r w:rsidRPr="00FB52F6">
        <w:t>mutual auth everywhere (service-to-service and node-to-node),</w:t>
      </w:r>
    </w:p>
    <w:p w14:paraId="49E804D4" w14:textId="77777777" w:rsidR="00FB52F6" w:rsidRPr="00FB52F6" w:rsidRDefault="00FB52F6" w:rsidP="00FB52F6">
      <w:pPr>
        <w:numPr>
          <w:ilvl w:val="0"/>
          <w:numId w:val="15"/>
        </w:numPr>
      </w:pPr>
      <w:r w:rsidRPr="00FB52F6">
        <w:t>per-message signing for critical events/tracks,</w:t>
      </w:r>
    </w:p>
    <w:p w14:paraId="650E0823" w14:textId="77777777" w:rsidR="00FB52F6" w:rsidRPr="00FB52F6" w:rsidRDefault="00FB52F6" w:rsidP="00FB52F6">
      <w:pPr>
        <w:numPr>
          <w:ilvl w:val="0"/>
          <w:numId w:val="15"/>
        </w:numPr>
      </w:pPr>
      <w:r w:rsidRPr="00FB52F6">
        <w:t>ABAC enforced at the API and subscription layer (not only UI),</w:t>
      </w:r>
    </w:p>
    <w:p w14:paraId="665B1FB9" w14:textId="77777777" w:rsidR="00FB52F6" w:rsidRPr="00FB52F6" w:rsidRDefault="00FB52F6" w:rsidP="00FB52F6">
      <w:pPr>
        <w:numPr>
          <w:ilvl w:val="0"/>
          <w:numId w:val="15"/>
        </w:numPr>
      </w:pPr>
      <w:r w:rsidRPr="00FB52F6">
        <w:t>audit logs include “who saw what / subscribed to what.”</w:t>
      </w:r>
    </w:p>
    <w:p w14:paraId="50DCE375" w14:textId="77777777" w:rsidR="00FB52F6" w:rsidRPr="00FB52F6" w:rsidRDefault="00FB52F6" w:rsidP="00FB52F6">
      <w:r w:rsidRPr="00FB52F6">
        <w:pict w14:anchorId="62CB60D4">
          <v:rect id="_x0000_i1087" style="width:0;height:1.5pt" o:hralign="center" o:hrstd="t" o:hr="t" fillcolor="#a0a0a0" stroked="f"/>
        </w:pict>
      </w:r>
    </w:p>
    <w:p w14:paraId="450EE4E2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Practical intervention plan (what to do immediately)</w:t>
      </w:r>
    </w:p>
    <w:p w14:paraId="676F82B9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A) Submit an “Architecture Guardrails” annex (1–2 pages)</w:t>
      </w:r>
    </w:p>
    <w:p w14:paraId="3BF6DE21" w14:textId="77777777" w:rsidR="00FB52F6" w:rsidRPr="00FB52F6" w:rsidRDefault="00FB52F6" w:rsidP="00FB52F6">
      <w:r w:rsidRPr="00FB52F6">
        <w:t>Non-negotiables:</w:t>
      </w:r>
    </w:p>
    <w:p w14:paraId="08B4798C" w14:textId="77777777" w:rsidR="00FB52F6" w:rsidRPr="00FB52F6" w:rsidRDefault="00FB52F6" w:rsidP="00FB52F6">
      <w:pPr>
        <w:numPr>
          <w:ilvl w:val="0"/>
          <w:numId w:val="16"/>
        </w:numPr>
      </w:pPr>
      <w:r w:rsidRPr="00FB52F6">
        <w:t>partition tolerance + offline-first,</w:t>
      </w:r>
    </w:p>
    <w:p w14:paraId="0EA7B65F" w14:textId="77777777" w:rsidR="00FB52F6" w:rsidRPr="00FB52F6" w:rsidRDefault="00FB52F6" w:rsidP="00FB52F6">
      <w:pPr>
        <w:numPr>
          <w:ilvl w:val="0"/>
          <w:numId w:val="16"/>
        </w:numPr>
      </w:pPr>
      <w:r w:rsidRPr="00FB52F6">
        <w:t>multi-level fusion,</w:t>
      </w:r>
    </w:p>
    <w:p w14:paraId="530C0B10" w14:textId="77777777" w:rsidR="00FB52F6" w:rsidRPr="00FB52F6" w:rsidRDefault="00FB52F6" w:rsidP="00FB52F6">
      <w:pPr>
        <w:numPr>
          <w:ilvl w:val="0"/>
          <w:numId w:val="16"/>
        </w:numPr>
      </w:pPr>
      <w:r w:rsidRPr="00FB52F6">
        <w:t>two-plane separation,</w:t>
      </w:r>
    </w:p>
    <w:p w14:paraId="101159A1" w14:textId="77777777" w:rsidR="00FB52F6" w:rsidRPr="00FB52F6" w:rsidRDefault="00FB52F6" w:rsidP="00FB52F6">
      <w:pPr>
        <w:numPr>
          <w:ilvl w:val="0"/>
          <w:numId w:val="16"/>
        </w:numPr>
      </w:pPr>
      <w:r w:rsidRPr="00FB52F6">
        <w:t>SDK + conformance harness,</w:t>
      </w:r>
    </w:p>
    <w:p w14:paraId="04A82FC9" w14:textId="77777777" w:rsidR="00FB52F6" w:rsidRPr="00FB52F6" w:rsidRDefault="00FB52F6" w:rsidP="00FB52F6">
      <w:pPr>
        <w:numPr>
          <w:ilvl w:val="0"/>
          <w:numId w:val="16"/>
        </w:numPr>
      </w:pPr>
      <w:r w:rsidRPr="00FB52F6">
        <w:lastRenderedPageBreak/>
        <w:t>deployment parity (on-prem / cloud / hybrid),</w:t>
      </w:r>
    </w:p>
    <w:p w14:paraId="433DF1A2" w14:textId="77777777" w:rsidR="00FB52F6" w:rsidRPr="00FB52F6" w:rsidRDefault="00FB52F6" w:rsidP="00FB52F6">
      <w:pPr>
        <w:numPr>
          <w:ilvl w:val="0"/>
          <w:numId w:val="16"/>
        </w:numPr>
      </w:pPr>
      <w:r w:rsidRPr="00FB52F6">
        <w:t>policy-tagged data model.</w:t>
      </w:r>
    </w:p>
    <w:p w14:paraId="3A6BB5DC" w14:textId="77777777" w:rsidR="00FB52F6" w:rsidRPr="00FB52F6" w:rsidRDefault="00FB52F6" w:rsidP="00FB52F6">
      <w:r w:rsidRPr="00FB52F6">
        <w:t>Anchor it to Nortal’s own SPOF + edge + distributed intent so it reads like refinement, not derailment.</w:t>
      </w:r>
    </w:p>
    <w:p w14:paraId="512C82E0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B) Force the prototype to prove mesh (not just ingest→map)</w:t>
      </w:r>
    </w:p>
    <w:p w14:paraId="33A5AFEE" w14:textId="77777777" w:rsidR="00FB52F6" w:rsidRPr="00FB52F6" w:rsidRDefault="00FB52F6" w:rsidP="00FB52F6">
      <w:r w:rsidRPr="00FB52F6">
        <w:t>Prototype success criteria:</w:t>
      </w:r>
    </w:p>
    <w:p w14:paraId="765B0E28" w14:textId="77777777" w:rsidR="00FB52F6" w:rsidRPr="00FB52F6" w:rsidRDefault="00FB52F6" w:rsidP="00FB52F6">
      <w:pPr>
        <w:numPr>
          <w:ilvl w:val="0"/>
          <w:numId w:val="17"/>
        </w:numPr>
      </w:pPr>
      <w:r w:rsidRPr="00FB52F6">
        <w:t>2 regions + 1 national node + 3 edge clusters,</w:t>
      </w:r>
    </w:p>
    <w:p w14:paraId="1E3B066D" w14:textId="77777777" w:rsidR="00FB52F6" w:rsidRPr="00FB52F6" w:rsidRDefault="00FB52F6" w:rsidP="00FB52F6">
      <w:pPr>
        <w:numPr>
          <w:ilvl w:val="0"/>
          <w:numId w:val="17"/>
        </w:numPr>
      </w:pPr>
      <w:r w:rsidRPr="00FB52F6">
        <w:t>run T1–T4 partition tests,</w:t>
      </w:r>
    </w:p>
    <w:p w14:paraId="59723AAB" w14:textId="77777777" w:rsidR="00FB52F6" w:rsidRPr="00FB52F6" w:rsidRDefault="00FB52F6" w:rsidP="00FB52F6">
      <w:pPr>
        <w:numPr>
          <w:ilvl w:val="0"/>
          <w:numId w:val="17"/>
        </w:numPr>
      </w:pPr>
      <w:r w:rsidRPr="00FB52F6">
        <w:t>integrate 3 sensor types via adapter contract (radar track, RF, Remote ID),</w:t>
      </w:r>
    </w:p>
    <w:p w14:paraId="0E419F5F" w14:textId="77777777" w:rsidR="00FB52F6" w:rsidRPr="00FB52F6" w:rsidRDefault="00FB52F6" w:rsidP="00FB52F6">
      <w:pPr>
        <w:numPr>
          <w:ilvl w:val="0"/>
          <w:numId w:val="17"/>
        </w:numPr>
      </w:pPr>
      <w:r w:rsidRPr="00FB52F6">
        <w:t>show ABAC masking across agencies.</w:t>
      </w:r>
    </w:p>
    <w:p w14:paraId="068BAC8C" w14:textId="77777777" w:rsidR="00FB52F6" w:rsidRPr="00FB52F6" w:rsidRDefault="00FB52F6" w:rsidP="00FB52F6">
      <w:pPr>
        <w:rPr>
          <w:b/>
          <w:bCs/>
        </w:rPr>
      </w:pPr>
      <w:r w:rsidRPr="00FB52F6">
        <w:rPr>
          <w:b/>
          <w:bCs/>
        </w:rPr>
        <w:t>C) Make “integration time” a scored capability</w:t>
      </w:r>
    </w:p>
    <w:p w14:paraId="376730B4" w14:textId="77777777" w:rsidR="00FB52F6" w:rsidRPr="00FB52F6" w:rsidRDefault="00FB52F6" w:rsidP="00FB52F6">
      <w:r w:rsidRPr="00FB52F6">
        <w:t>Score vendors on:</w:t>
      </w:r>
    </w:p>
    <w:p w14:paraId="0CC44BED" w14:textId="77777777" w:rsidR="00FB52F6" w:rsidRPr="00FB52F6" w:rsidRDefault="00FB52F6" w:rsidP="00FB52F6">
      <w:pPr>
        <w:numPr>
          <w:ilvl w:val="0"/>
          <w:numId w:val="18"/>
        </w:numPr>
      </w:pPr>
      <w:r w:rsidRPr="00FB52F6">
        <w:t>time to onboard a new sensor using the SDK/contract,</w:t>
      </w:r>
    </w:p>
    <w:p w14:paraId="61A1711A" w14:textId="77777777" w:rsidR="00FB52F6" w:rsidRPr="00FB52F6" w:rsidRDefault="00FB52F6" w:rsidP="00FB52F6">
      <w:pPr>
        <w:numPr>
          <w:ilvl w:val="0"/>
          <w:numId w:val="18"/>
        </w:numPr>
      </w:pPr>
      <w:r w:rsidRPr="00FB52F6">
        <w:t>ability to run the conformance harness,</w:t>
      </w:r>
    </w:p>
    <w:p w14:paraId="097CE085" w14:textId="77777777" w:rsidR="00FB52F6" w:rsidRPr="00FB52F6" w:rsidRDefault="00FB52F6" w:rsidP="00FB52F6">
      <w:pPr>
        <w:numPr>
          <w:ilvl w:val="0"/>
          <w:numId w:val="18"/>
        </w:numPr>
      </w:pPr>
      <w:r w:rsidRPr="00FB52F6">
        <w:t>ability to deploy the same stack in a disconnected edge site and in cloud.</w:t>
      </w:r>
    </w:p>
    <w:p w14:paraId="16BDFB47" w14:textId="77777777" w:rsidR="00FB52F6" w:rsidRPr="00FB52F6" w:rsidRDefault="00FB52F6" w:rsidP="00FB52F6">
      <w:r w:rsidRPr="00FB52F6">
        <w:t>This is where monoliths sweat.</w:t>
      </w:r>
    </w:p>
    <w:p w14:paraId="55EA1601" w14:textId="77777777" w:rsidR="0068050D" w:rsidRDefault="0068050D"/>
    <w:p w14:paraId="52421817" w14:textId="77777777" w:rsidR="00FB52F6" w:rsidRDefault="00FB52F6"/>
    <w:p w14:paraId="26859116" w14:textId="77777777" w:rsidR="00FB52F6" w:rsidRDefault="00FB52F6">
      <w:pPr>
        <w:pBdr>
          <w:bottom w:val="single" w:sz="6" w:space="1" w:color="auto"/>
        </w:pBdr>
      </w:pPr>
    </w:p>
    <w:p w14:paraId="6F5F1BF5" w14:textId="77777777" w:rsidR="000E4688" w:rsidRPr="000E4688" w:rsidRDefault="000E4688" w:rsidP="000E4688">
      <w:r w:rsidRPr="000E4688">
        <w:rPr>
          <w:b/>
          <w:bCs/>
        </w:rPr>
        <w:t>[KOMMENTAAR XTEE-1 | paigutus: 1.6 „Sensorvõrgustiku vaade” lõiku, kohe pärast lauset „Nortal eelistab x-tee laadset lahendust …”]</w:t>
      </w:r>
      <w:r w:rsidRPr="000E4688">
        <w:br/>
        <w:t xml:space="preserve">X-tee/turvaserveri analoogia on tugev </w:t>
      </w:r>
      <w:r w:rsidRPr="000E4688">
        <w:rPr>
          <w:i/>
          <w:iCs/>
        </w:rPr>
        <w:t>governance</w:t>
      </w:r>
      <w:r w:rsidRPr="000E4688">
        <w:t xml:space="preserve"> (identiteet, autentimine, audit, õiguslik jälgitavus) jaoks, kuid reaalaja sensorvõrgu </w:t>
      </w:r>
      <w:r w:rsidRPr="000E4688">
        <w:rPr>
          <w:i/>
          <w:iCs/>
        </w:rPr>
        <w:t>andmeplaanina</w:t>
      </w:r>
      <w:r w:rsidRPr="000E4688">
        <w:t xml:space="preserve"> (tracks/events/video-metadata) tekitab see vale arhitektuurilise paradigma: X-tee on valdavalt päringu-/dokumendivahetuse loogikaga, mis on keeruline sobitada madala latentsuse, QoS-i, selektiivse tellimise (subscription) ja katkestustaluvusega (partition-tolerant) voogudele. Risk on, et “keskserver pole kättesaadav” muutub praktikas siiski koordineerimis- ja jõudlus-chokepoint’iks või sunnib ehitama suure hulga erandeid, mis lõhuvad ühtset arhitektuurimustrit. Seetõttu soovitame X-tee-laadse lähenemise </w:t>
      </w:r>
      <w:r w:rsidRPr="000E4688">
        <w:rPr>
          <w:i/>
          <w:iCs/>
        </w:rPr>
        <w:t>asendada andmeplaanis</w:t>
      </w:r>
      <w:r w:rsidRPr="000E4688">
        <w:t xml:space="preserve"> standardse pub/sub (publish-subscribe) ja </w:t>
      </w:r>
      <w:r w:rsidRPr="000E4688">
        <w:lastRenderedPageBreak/>
        <w:t xml:space="preserve">“tõlkijate/adapterite” mudeliga ning jätta X-tee-laadne mehhanism </w:t>
      </w:r>
      <w:r w:rsidRPr="000E4688">
        <w:rPr>
          <w:i/>
          <w:iCs/>
        </w:rPr>
        <w:t>juhtimis- ja kontrollplaani</w:t>
      </w:r>
      <w:r w:rsidRPr="000E4688">
        <w:t xml:space="preserve"> (poliitikad, ABAC, audit, sertifikaadid) jaoks. </w:t>
      </w:r>
    </w:p>
    <w:p w14:paraId="2EC07220" w14:textId="77777777" w:rsidR="000E4688" w:rsidRPr="000E4688" w:rsidRDefault="000E4688" w:rsidP="000E4688">
      <w:r w:rsidRPr="000E4688">
        <w:t>NORTAL</w:t>
      </w:r>
    </w:p>
    <w:p w14:paraId="27E713A9" w14:textId="77777777" w:rsidR="000E4688" w:rsidRPr="000E4688" w:rsidRDefault="000E4688" w:rsidP="000E4688">
      <w:r w:rsidRPr="000E4688">
        <w:rPr>
          <w:b/>
          <w:bCs/>
        </w:rPr>
        <w:t>Soovituslik asendus (Anduril-laadne, kuid hankes/vormistuses neutraalne):</w:t>
      </w:r>
    </w:p>
    <w:p w14:paraId="66EA12A8" w14:textId="77777777" w:rsidR="000E4688" w:rsidRPr="000E4688" w:rsidRDefault="000E4688" w:rsidP="000E4688">
      <w:pPr>
        <w:numPr>
          <w:ilvl w:val="0"/>
          <w:numId w:val="19"/>
        </w:numPr>
      </w:pPr>
      <w:r w:rsidRPr="000E4688">
        <w:rPr>
          <w:b/>
          <w:bCs/>
        </w:rPr>
        <w:t>Data plane (reaalaja pilt):</w:t>
      </w:r>
      <w:r w:rsidRPr="000E4688">
        <w:t xml:space="preserve"> pub/sub sõnumivahendus + versioonitud integratsiooni-API. Tehniliseks liideseks määrata </w:t>
      </w:r>
      <w:r w:rsidRPr="000E4688">
        <w:rPr>
          <w:i/>
          <w:iCs/>
        </w:rPr>
        <w:t>programmi integraatsioonileping</w:t>
      </w:r>
      <w:r w:rsidRPr="000E4688">
        <w:t xml:space="preserve"> (SDK): </w:t>
      </w:r>
      <w:r w:rsidRPr="000E4688">
        <w:rPr>
          <w:b/>
          <w:bCs/>
        </w:rPr>
        <w:t>gRPC/Protobuf</w:t>
      </w:r>
      <w:r w:rsidRPr="000E4688">
        <w:t xml:space="preserve"> reaalajaks + </w:t>
      </w:r>
      <w:r w:rsidRPr="000E4688">
        <w:rPr>
          <w:b/>
          <w:bCs/>
        </w:rPr>
        <w:t>REST/OpenAPI</w:t>
      </w:r>
      <w:r w:rsidRPr="000E4688">
        <w:t xml:space="preserve"> laiemaks ökosüsteemiks; “translator/adapter” konteinerid kirjutatakse selle lepingu vastu. See on otseselt kooskõlas MOSA põhimõtetega ja võimaldab turul tekkinud “open architecture + developer kit” integratsioonimudelit, kus kolmandad osapooled lisavad sensoreid adapterite kaudu.</w:t>
      </w:r>
    </w:p>
    <w:p w14:paraId="3CDAB62F" w14:textId="77777777" w:rsidR="000E4688" w:rsidRPr="000E4688" w:rsidRDefault="000E4688" w:rsidP="000E4688">
      <w:pPr>
        <w:numPr>
          <w:ilvl w:val="0"/>
          <w:numId w:val="19"/>
        </w:numPr>
      </w:pPr>
      <w:r w:rsidRPr="000E4688">
        <w:rPr>
          <w:b/>
          <w:bCs/>
        </w:rPr>
        <w:t>Payload-standardid (mida üle võrgu kantakse):</w:t>
      </w:r>
      <w:r w:rsidRPr="000E4688">
        <w:t xml:space="preserve"> säilitada mitme standardi tugi ja vältida ühtset “tõlkekeskust”: </w:t>
      </w:r>
      <w:r w:rsidRPr="000E4688">
        <w:rPr>
          <w:b/>
          <w:bCs/>
        </w:rPr>
        <w:t>ASTERIX</w:t>
      </w:r>
      <w:r w:rsidRPr="000E4688">
        <w:t xml:space="preserve"> (nt CAT-062/CAT-240) ja/või </w:t>
      </w:r>
      <w:r w:rsidRPr="000E4688">
        <w:rPr>
          <w:b/>
          <w:bCs/>
        </w:rPr>
        <w:t>SAPIENT</w:t>
      </w:r>
      <w:r w:rsidRPr="000E4688">
        <w:t xml:space="preserve"> (kui allikad seda toetavad) sisendina </w:t>
      </w:r>
      <w:r w:rsidRPr="000E4688">
        <w:rPr>
          <w:i/>
          <w:iCs/>
        </w:rPr>
        <w:t>igal fusion-tasemel</w:t>
      </w:r>
      <w:r w:rsidRPr="000E4688">
        <w:t xml:space="preserve"> (EDGE/regionaal/keskne), normaliseerides sisemisse kanonilisse mudelisse adapterite kaudu.</w:t>
      </w:r>
    </w:p>
    <w:p w14:paraId="2D8C0C48" w14:textId="77777777" w:rsidR="000E4688" w:rsidRPr="000E4688" w:rsidRDefault="000E4688" w:rsidP="000E4688">
      <w:pPr>
        <w:numPr>
          <w:ilvl w:val="0"/>
          <w:numId w:val="19"/>
        </w:numPr>
      </w:pPr>
      <w:r w:rsidRPr="000E4688">
        <w:rPr>
          <w:b/>
          <w:bCs/>
        </w:rPr>
        <w:t>Control/Governance plane (õigused ja jälgitavus):</w:t>
      </w:r>
      <w:r w:rsidRPr="000E4688">
        <w:t xml:space="preserve"> X-tee-laadne muster võib jääda </w:t>
      </w:r>
      <w:r w:rsidRPr="000E4688">
        <w:rPr>
          <w:i/>
          <w:iCs/>
        </w:rPr>
        <w:t>poliitikate ja auditi</w:t>
      </w:r>
      <w:r w:rsidRPr="000E4688">
        <w:t xml:space="preserve"> tarbeks, kuid peab olema disainitud nii, et </w:t>
      </w:r>
      <w:r w:rsidRPr="000E4688">
        <w:rPr>
          <w:b/>
          <w:bCs/>
        </w:rPr>
        <w:t>reaalaja töö ei sõltu alati-onlines kesksetest teenustest</w:t>
      </w:r>
      <w:r w:rsidRPr="000E4688">
        <w:t xml:space="preserve"> (edge peab suutma töötada poliitikate vahemäluga). </w:t>
      </w:r>
    </w:p>
    <w:p w14:paraId="70BFEC83" w14:textId="77777777" w:rsidR="000E4688" w:rsidRPr="000E4688" w:rsidRDefault="000E4688" w:rsidP="000E4688">
      <w:r w:rsidRPr="000E4688">
        <w:t>NORTAL</w:t>
      </w:r>
    </w:p>
    <w:p w14:paraId="0DE14CF0" w14:textId="77777777" w:rsidR="000E4688" w:rsidRPr="000E4688" w:rsidRDefault="000E4688" w:rsidP="000E4688">
      <w:r w:rsidRPr="000E4688">
        <w:rPr>
          <w:b/>
          <w:bCs/>
        </w:rPr>
        <w:t>Miks see on parem kui X-tee andmeplaanina (argument “tough”):</w:t>
      </w:r>
    </w:p>
    <w:p w14:paraId="175143AB" w14:textId="77777777" w:rsidR="000E4688" w:rsidRPr="000E4688" w:rsidRDefault="000E4688" w:rsidP="000E4688">
      <w:pPr>
        <w:numPr>
          <w:ilvl w:val="0"/>
          <w:numId w:val="20"/>
        </w:numPr>
      </w:pPr>
      <w:r w:rsidRPr="000E4688">
        <w:t>Pub/sub annab loomuliku “tellimuspõhise” jaotusmudeli (ainult vajalik info liigub), mis vähendab koormust ja toetab katkestustaluvust (võrk võib jaguneda ja hiljem koonduda).</w:t>
      </w:r>
    </w:p>
    <w:p w14:paraId="239DBE9B" w14:textId="77777777" w:rsidR="000E4688" w:rsidRPr="000E4688" w:rsidRDefault="000E4688" w:rsidP="000E4688">
      <w:pPr>
        <w:numPr>
          <w:ilvl w:val="0"/>
          <w:numId w:val="20"/>
        </w:numPr>
      </w:pPr>
      <w:r w:rsidRPr="000E4688">
        <w:t xml:space="preserve">SDK + adapterite leping teeb integratsiooni </w:t>
      </w:r>
      <w:r w:rsidRPr="000E4688">
        <w:rPr>
          <w:i/>
          <w:iCs/>
        </w:rPr>
        <w:t>korratavaks</w:t>
      </w:r>
      <w:r w:rsidRPr="000E4688">
        <w:t>: iga uus sensor ei ole eraldi projekt, vaid sertifitseeritav adapter.</w:t>
      </w:r>
    </w:p>
    <w:p w14:paraId="75A5FEB9" w14:textId="77777777" w:rsidR="000E4688" w:rsidRPr="000E4688" w:rsidRDefault="000E4688" w:rsidP="000E4688">
      <w:pPr>
        <w:numPr>
          <w:ilvl w:val="0"/>
          <w:numId w:val="20"/>
        </w:numPr>
      </w:pPr>
      <w:r w:rsidRPr="000E4688">
        <w:t>ASTERIX/SAPIENT jäävad “turunõuetele” ja liitlasstandarditele vastavaks väliseks keeleks; sisemine mudel ja API kontrollivad evolutsiooni ja ühilduvust.</w:t>
      </w:r>
    </w:p>
    <w:p w14:paraId="7C29E4CE" w14:textId="77777777" w:rsidR="000E4688" w:rsidRPr="000E4688" w:rsidRDefault="000E4688" w:rsidP="000E4688">
      <w:r w:rsidRPr="000E4688">
        <w:rPr>
          <w:b/>
          <w:bCs/>
        </w:rPr>
        <w:t>Soovituslik lisatav vastuvõtutest (üks lause lõppu):</w:t>
      </w:r>
      <w:r w:rsidRPr="000E4688">
        <w:br/>
        <w:t>“Tulevases prototüübis tuleb demonstreerida, et EDGE-sõlm publitseerib rajajälgi pub/sub kanalisse gRPC streaminguga, regionaalne sõlm tellib ja fuseerib; keskse komponendi väljalülitamisel säilib lokaalne COP ja hilisem resünkroniseerimine toimub automaatselt.”</w:t>
      </w:r>
    </w:p>
    <w:p w14:paraId="6E3BBEB9" w14:textId="77777777" w:rsidR="000E4688" w:rsidRPr="000E4688" w:rsidRDefault="000E4688" w:rsidP="000E4688">
      <w:r w:rsidRPr="000E4688">
        <w:rPr>
          <w:b/>
          <w:bCs/>
        </w:rPr>
        <w:t>[Tugevus: väga tugev; Anduriliga ühilduvus: kriitiline (sama “open API + translator/adapter + pub/sub mesh” muster, kuid sõnastus jääb vendor-neutraalseks).]</w:t>
      </w:r>
    </w:p>
    <w:p w14:paraId="0510C435" w14:textId="77777777" w:rsidR="000E4688" w:rsidRPr="000E4688" w:rsidRDefault="000E4688" w:rsidP="000E4688">
      <w:r w:rsidRPr="000E4688">
        <w:rPr>
          <w:b/>
          <w:bCs/>
        </w:rPr>
        <w:lastRenderedPageBreak/>
        <w:t>Võimalik pitfall / alternatiiv:</w:t>
      </w:r>
      <w:r w:rsidRPr="000E4688">
        <w:t xml:space="preserve"> DDS/RTPS annaks kõige “päris” reaalaegse pub/sub QoS-i, aga selle juurutus ja operatiivne keerukus võib olla suurem; pragmatiline vahevariant on gRPC streaming + message-bus (nt NATS/Kafka) ning DDS hoida segmentides, kus QoS/latentsus nõuab.</w:t>
      </w:r>
    </w:p>
    <w:p w14:paraId="02BB97EE" w14:textId="77777777" w:rsidR="00FB52F6" w:rsidRDefault="00FB52F6"/>
    <w:sectPr w:rsidR="00FB5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689"/>
    <w:multiLevelType w:val="multilevel"/>
    <w:tmpl w:val="66B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0469"/>
    <w:multiLevelType w:val="multilevel"/>
    <w:tmpl w:val="AD20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44F95"/>
    <w:multiLevelType w:val="multilevel"/>
    <w:tmpl w:val="C03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B7A"/>
    <w:multiLevelType w:val="multilevel"/>
    <w:tmpl w:val="059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4237"/>
    <w:multiLevelType w:val="multilevel"/>
    <w:tmpl w:val="F94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512A5"/>
    <w:multiLevelType w:val="multilevel"/>
    <w:tmpl w:val="ECA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B0D6A"/>
    <w:multiLevelType w:val="multilevel"/>
    <w:tmpl w:val="9D5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979E0"/>
    <w:multiLevelType w:val="multilevel"/>
    <w:tmpl w:val="9BC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C0750"/>
    <w:multiLevelType w:val="multilevel"/>
    <w:tmpl w:val="88E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C1EC2"/>
    <w:multiLevelType w:val="multilevel"/>
    <w:tmpl w:val="3A7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E4E01"/>
    <w:multiLevelType w:val="multilevel"/>
    <w:tmpl w:val="914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C36B9"/>
    <w:multiLevelType w:val="multilevel"/>
    <w:tmpl w:val="17A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C611D"/>
    <w:multiLevelType w:val="multilevel"/>
    <w:tmpl w:val="BE3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E3436"/>
    <w:multiLevelType w:val="multilevel"/>
    <w:tmpl w:val="672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C19A9"/>
    <w:multiLevelType w:val="multilevel"/>
    <w:tmpl w:val="4316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4D4C72"/>
    <w:multiLevelType w:val="multilevel"/>
    <w:tmpl w:val="E50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0091D"/>
    <w:multiLevelType w:val="multilevel"/>
    <w:tmpl w:val="7CE4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427C7"/>
    <w:multiLevelType w:val="multilevel"/>
    <w:tmpl w:val="6B7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90334"/>
    <w:multiLevelType w:val="multilevel"/>
    <w:tmpl w:val="115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60604"/>
    <w:multiLevelType w:val="multilevel"/>
    <w:tmpl w:val="FAA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16876">
    <w:abstractNumId w:val="19"/>
  </w:num>
  <w:num w:numId="2" w16cid:durableId="1479150483">
    <w:abstractNumId w:val="7"/>
  </w:num>
  <w:num w:numId="3" w16cid:durableId="2099709601">
    <w:abstractNumId w:val="9"/>
  </w:num>
  <w:num w:numId="4" w16cid:durableId="783118614">
    <w:abstractNumId w:val="0"/>
  </w:num>
  <w:num w:numId="5" w16cid:durableId="668212204">
    <w:abstractNumId w:val="4"/>
  </w:num>
  <w:num w:numId="6" w16cid:durableId="347414030">
    <w:abstractNumId w:val="14"/>
  </w:num>
  <w:num w:numId="7" w16cid:durableId="492332076">
    <w:abstractNumId w:val="5"/>
  </w:num>
  <w:num w:numId="8" w16cid:durableId="1110512341">
    <w:abstractNumId w:val="8"/>
  </w:num>
  <w:num w:numId="9" w16cid:durableId="1360471319">
    <w:abstractNumId w:val="6"/>
  </w:num>
  <w:num w:numId="10" w16cid:durableId="886332728">
    <w:abstractNumId w:val="2"/>
  </w:num>
  <w:num w:numId="11" w16cid:durableId="255481649">
    <w:abstractNumId w:val="16"/>
  </w:num>
  <w:num w:numId="12" w16cid:durableId="1949389851">
    <w:abstractNumId w:val="10"/>
  </w:num>
  <w:num w:numId="13" w16cid:durableId="1195117537">
    <w:abstractNumId w:val="13"/>
  </w:num>
  <w:num w:numId="14" w16cid:durableId="1673218355">
    <w:abstractNumId w:val="11"/>
  </w:num>
  <w:num w:numId="15" w16cid:durableId="1748767443">
    <w:abstractNumId w:val="15"/>
  </w:num>
  <w:num w:numId="16" w16cid:durableId="1748763327">
    <w:abstractNumId w:val="12"/>
  </w:num>
  <w:num w:numId="17" w16cid:durableId="1526213607">
    <w:abstractNumId w:val="18"/>
  </w:num>
  <w:num w:numId="18" w16cid:durableId="2073262220">
    <w:abstractNumId w:val="17"/>
  </w:num>
  <w:num w:numId="19" w16cid:durableId="1688944263">
    <w:abstractNumId w:val="1"/>
  </w:num>
  <w:num w:numId="20" w16cid:durableId="774787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6"/>
    <w:rsid w:val="000926C6"/>
    <w:rsid w:val="000E4688"/>
    <w:rsid w:val="00501E6B"/>
    <w:rsid w:val="0068050D"/>
    <w:rsid w:val="007F5710"/>
    <w:rsid w:val="00B16D1E"/>
    <w:rsid w:val="00C87175"/>
    <w:rsid w:val="00D44660"/>
    <w:rsid w:val="00FB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0A207"/>
  <w15:chartTrackingRefBased/>
  <w15:docId w15:val="{EF7D1E04-DEDD-4BEB-A4A1-21933184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1</cp:revision>
  <dcterms:created xsi:type="dcterms:W3CDTF">2026-01-07T22:22:00Z</dcterms:created>
  <dcterms:modified xsi:type="dcterms:W3CDTF">2026-01-07T23:31:00Z</dcterms:modified>
</cp:coreProperties>
</file>