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6B70C" w14:textId="77777777" w:rsidR="00590F0D" w:rsidRPr="00590F0D" w:rsidRDefault="00590F0D" w:rsidP="00590F0D">
      <w:r w:rsidRPr="00590F0D">
        <w:t xml:space="preserve">The “contradictions” show up when </w:t>
      </w:r>
      <w:r w:rsidRPr="00590F0D">
        <w:rPr>
          <w:b/>
          <w:bCs/>
        </w:rPr>
        <w:t>MOSA is treated as a checkbox</w:t>
      </w:r>
      <w:r w:rsidRPr="00590F0D">
        <w:t xml:space="preserve">, while </w:t>
      </w:r>
      <w:r w:rsidRPr="00590F0D">
        <w:rPr>
          <w:b/>
          <w:bCs/>
        </w:rPr>
        <w:t>SAPIENT and ASTERIX are treated as “the interface”</w:t>
      </w:r>
      <w:r w:rsidRPr="00590F0D">
        <w:t>—even though both have perfectly legal escape hatches for vendor-specific behavior.</w:t>
      </w:r>
    </w:p>
    <w:p w14:paraId="37890DA5" w14:textId="77777777" w:rsidR="00590F0D" w:rsidRPr="00590F0D" w:rsidRDefault="00590F0D" w:rsidP="00590F0D">
      <w:pPr>
        <w:rPr>
          <w:b/>
          <w:bCs/>
        </w:rPr>
      </w:pPr>
      <w:r w:rsidRPr="00590F0D">
        <w:rPr>
          <w:b/>
          <w:bCs/>
        </w:rPr>
        <w:t>Where they clash in real C-UAS integrations</w:t>
      </w:r>
    </w:p>
    <w:p w14:paraId="1FDD34F5" w14:textId="77777777" w:rsidR="00590F0D" w:rsidRPr="00590F0D" w:rsidRDefault="00590F0D" w:rsidP="00590F0D">
      <w:r w:rsidRPr="00590F0D">
        <w:rPr>
          <w:b/>
          <w:bCs/>
        </w:rPr>
        <w:t xml:space="preserve">1) MOSA says “no proprietary connections,” but standards still allow proprietary </w:t>
      </w:r>
      <w:r w:rsidRPr="00590F0D">
        <w:rPr>
          <w:b/>
          <w:bCs/>
          <w:i/>
          <w:iCs/>
        </w:rPr>
        <w:t>profiles</w:t>
      </w:r>
      <w:r w:rsidRPr="00590F0D">
        <w:rPr>
          <w:b/>
          <w:bCs/>
        </w:rPr>
        <w:t>.</w:t>
      </w:r>
      <w:r w:rsidRPr="00590F0D">
        <w:br/>
        <w:t xml:space="preserve">MOSA guidance explicitly targets avoiding “proprietary connections” and calls out needing </w:t>
      </w:r>
      <w:r w:rsidRPr="00590F0D">
        <w:rPr>
          <w:b/>
          <w:bCs/>
        </w:rPr>
        <w:t>publicly disclosed interfaces + sufficient data rights</w:t>
      </w:r>
      <w:r w:rsidRPr="00590F0D">
        <w:t xml:space="preserve"> to interconnect and evolve systems. </w:t>
      </w:r>
      <w:hyperlink r:id="rId5" w:tgtFrame="_blank" w:history="1">
        <w:r w:rsidRPr="00590F0D">
          <w:rPr>
            <w:rStyle w:val="Hyperlink"/>
          </w:rPr>
          <w:t>cto.mil+1</w:t>
        </w:r>
      </w:hyperlink>
      <w:r w:rsidRPr="00590F0D">
        <w:br/>
        <w:t xml:space="preserve">In practice vendors comply by saying “we speak SAPIENT/ASTERIX,” while locking you into </w:t>
      </w:r>
      <w:r w:rsidRPr="00590F0D">
        <w:rPr>
          <w:i/>
          <w:iCs/>
        </w:rPr>
        <w:t>their</w:t>
      </w:r>
      <w:r w:rsidRPr="00590F0D">
        <w:t xml:space="preserve"> subset + extensions + tooling.</w:t>
      </w:r>
    </w:p>
    <w:p w14:paraId="04454F75" w14:textId="77777777" w:rsidR="00590F0D" w:rsidRPr="00590F0D" w:rsidRDefault="00590F0D" w:rsidP="00590F0D">
      <w:r w:rsidRPr="00590F0D">
        <w:rPr>
          <w:b/>
          <w:bCs/>
        </w:rPr>
        <w:t>2) SAPIENT standardizes message content, not transport/security—so “SAPIENT compliant” can still be non-interoperable.</w:t>
      </w:r>
      <w:r w:rsidRPr="00590F0D">
        <w:br/>
        <w:t xml:space="preserve">The ICD states it specifies message content “rather than constrain the means of communicating,” and it uses TCP framing rules but leaves the rest of the comms stack/middleware choices open. </w:t>
      </w:r>
      <w:hyperlink r:id="rId6" w:tgtFrame="_blank" w:history="1">
        <w:r w:rsidRPr="00590F0D">
          <w:rPr>
            <w:rStyle w:val="Hyperlink"/>
          </w:rPr>
          <w:t>assets.publishing.service.gov.uk</w:t>
        </w:r>
      </w:hyperlink>
      <w:r w:rsidRPr="00590F0D">
        <w:br/>
        <w:t>That freedom is good, but it’s also where vendors slip in proprietary message brokers, auth, QoS behavior, retries, backpressure, etc.</w:t>
      </w:r>
    </w:p>
    <w:p w14:paraId="7205F4AC" w14:textId="77777777" w:rsidR="00590F0D" w:rsidRPr="00590F0D" w:rsidRDefault="00590F0D" w:rsidP="00590F0D">
      <w:r w:rsidRPr="00590F0D">
        <w:rPr>
          <w:b/>
          <w:bCs/>
        </w:rPr>
        <w:t xml:space="preserve">3) Both SAPIENT </w:t>
      </w:r>
      <w:r w:rsidRPr="00590F0D">
        <w:rPr>
          <w:b/>
          <w:bCs/>
          <w:i/>
          <w:iCs/>
        </w:rPr>
        <w:t>and</w:t>
      </w:r>
      <w:r w:rsidRPr="00590F0D">
        <w:rPr>
          <w:b/>
          <w:bCs/>
        </w:rPr>
        <w:t xml:space="preserve"> ASTERIX are extendable, which is great… until it becomes “standard + secret sauce.”</w:t>
      </w:r>
      <w:r w:rsidRPr="00590F0D">
        <w:br/>
        <w:t xml:space="preserve">SAPIENT: </w:t>
      </w:r>
      <w:proofErr w:type="spellStart"/>
      <w:r w:rsidRPr="00590F0D">
        <w:t>Protobuf</w:t>
      </w:r>
      <w:proofErr w:type="spellEnd"/>
      <w:r w:rsidRPr="00590F0D">
        <w:t xml:space="preserve"> is “readily extendable,” nodes aren’t expected to populate all fields (only a mandatory subset). </w:t>
      </w:r>
      <w:hyperlink r:id="rId7" w:tgtFrame="_blank" w:history="1">
        <w:r w:rsidRPr="00590F0D">
          <w:rPr>
            <w:rStyle w:val="Hyperlink"/>
          </w:rPr>
          <w:t>assets.publishing.service.gov.uk+1</w:t>
        </w:r>
      </w:hyperlink>
      <w:r w:rsidRPr="00590F0D">
        <w:br/>
        <w:t xml:space="preserve">ASTERIX: categories have explicit “Reserved Expansion” mechanisms; CAT020 and CAT062 publish coding rules for Reserved Expansion Fields, and CAT048 even notes a “Reserved Expansion Indicator” in its history. </w:t>
      </w:r>
      <w:hyperlink r:id="rId8" w:tgtFrame="_blank" w:history="1">
        <w:r w:rsidRPr="00590F0D">
          <w:rPr>
            <w:rStyle w:val="Hyperlink"/>
          </w:rPr>
          <w:t>eurocontrol.int+2eurocontrol.int+2</w:t>
        </w:r>
      </w:hyperlink>
      <w:r w:rsidRPr="00590F0D">
        <w:br/>
        <w:t xml:space="preserve">Net effect: you can end up with </w:t>
      </w:r>
      <w:r w:rsidRPr="00590F0D">
        <w:rPr>
          <w:b/>
          <w:bCs/>
        </w:rPr>
        <w:t>N vendors, N dialects</w:t>
      </w:r>
      <w:r w:rsidRPr="00590F0D">
        <w:t>—all “valid,” none interchangeable.</w:t>
      </w:r>
    </w:p>
    <w:p w14:paraId="69885B06" w14:textId="77777777" w:rsidR="00590F0D" w:rsidRPr="00590F0D" w:rsidRDefault="00590F0D" w:rsidP="00590F0D">
      <w:r w:rsidRPr="00590F0D">
        <w:rPr>
          <w:b/>
          <w:bCs/>
        </w:rPr>
        <w:t xml:space="preserve">4) ASTERIX plot/track/video choices change </w:t>
      </w:r>
      <w:r w:rsidRPr="00590F0D">
        <w:rPr>
          <w:b/>
          <w:bCs/>
          <w:i/>
          <w:iCs/>
        </w:rPr>
        <w:t>who owns the algorithm</w:t>
      </w:r>
      <w:r w:rsidRPr="00590F0D">
        <w:rPr>
          <w:b/>
          <w:bCs/>
        </w:rPr>
        <w:t xml:space="preserve"> (and thus the lock-in).</w:t>
      </w:r>
    </w:p>
    <w:p w14:paraId="2F18EECA" w14:textId="77777777" w:rsidR="00590F0D" w:rsidRPr="00590F0D" w:rsidRDefault="00590F0D" w:rsidP="00590F0D">
      <w:pPr>
        <w:numPr>
          <w:ilvl w:val="0"/>
          <w:numId w:val="1"/>
        </w:numPr>
      </w:pPr>
      <w:r w:rsidRPr="00590F0D">
        <w:t xml:space="preserve">CAT048 = </w:t>
      </w:r>
      <w:proofErr w:type="spellStart"/>
      <w:r w:rsidRPr="00590F0D">
        <w:t>monoradar</w:t>
      </w:r>
      <w:proofErr w:type="spellEnd"/>
      <w:r w:rsidRPr="00590F0D">
        <w:t xml:space="preserve"> target reports (“plots/contacts”) </w:t>
      </w:r>
      <w:hyperlink r:id="rId9" w:tgtFrame="_blank" w:history="1">
        <w:r w:rsidRPr="00590F0D">
          <w:rPr>
            <w:rStyle w:val="Hyperlink"/>
          </w:rPr>
          <w:t>eurocontrol.int</w:t>
        </w:r>
      </w:hyperlink>
    </w:p>
    <w:p w14:paraId="6A8D8DA7" w14:textId="77777777" w:rsidR="00590F0D" w:rsidRPr="00590F0D" w:rsidRDefault="00590F0D" w:rsidP="00590F0D">
      <w:pPr>
        <w:numPr>
          <w:ilvl w:val="0"/>
          <w:numId w:val="1"/>
        </w:numPr>
      </w:pPr>
      <w:r w:rsidRPr="00590F0D">
        <w:t xml:space="preserve">CAT062 = system track data (already-tracked/fused tracks) </w:t>
      </w:r>
      <w:hyperlink r:id="rId10" w:tgtFrame="_blank" w:history="1">
        <w:r w:rsidRPr="00590F0D">
          <w:rPr>
            <w:rStyle w:val="Hyperlink"/>
          </w:rPr>
          <w:t>eurocontrol.int</w:t>
        </w:r>
      </w:hyperlink>
    </w:p>
    <w:p w14:paraId="53802A71" w14:textId="77777777" w:rsidR="00590F0D" w:rsidRPr="00590F0D" w:rsidRDefault="00590F0D" w:rsidP="00590F0D">
      <w:pPr>
        <w:numPr>
          <w:ilvl w:val="0"/>
          <w:numId w:val="1"/>
        </w:numPr>
      </w:pPr>
      <w:r w:rsidRPr="00590F0D">
        <w:t xml:space="preserve">CAT020 = MLAT target reports </w:t>
      </w:r>
      <w:hyperlink r:id="rId11" w:tgtFrame="_blank" w:history="1">
        <w:r w:rsidRPr="00590F0D">
          <w:rPr>
            <w:rStyle w:val="Hyperlink"/>
          </w:rPr>
          <w:t>eurocontrol.int+1</w:t>
        </w:r>
      </w:hyperlink>
    </w:p>
    <w:p w14:paraId="76E904AB" w14:textId="77777777" w:rsidR="00590F0D" w:rsidRPr="00590F0D" w:rsidRDefault="00590F0D" w:rsidP="00590F0D">
      <w:pPr>
        <w:numPr>
          <w:ilvl w:val="0"/>
          <w:numId w:val="1"/>
        </w:numPr>
      </w:pPr>
      <w:r w:rsidRPr="00590F0D">
        <w:t xml:space="preserve">CAT240 = radar video </w:t>
      </w:r>
      <w:hyperlink r:id="rId12" w:tgtFrame="_blank" w:history="1">
        <w:r w:rsidRPr="00590F0D">
          <w:rPr>
            <w:rStyle w:val="Hyperlink"/>
          </w:rPr>
          <w:t>eurocontrol.int</w:t>
        </w:r>
      </w:hyperlink>
    </w:p>
    <w:p w14:paraId="6465093B" w14:textId="77777777" w:rsidR="00590F0D" w:rsidRPr="00590F0D" w:rsidRDefault="00590F0D" w:rsidP="00590F0D">
      <w:r w:rsidRPr="00590F0D">
        <w:t xml:space="preserve">If you integrate via </w:t>
      </w:r>
      <w:r w:rsidRPr="00590F0D">
        <w:rPr>
          <w:b/>
          <w:bCs/>
        </w:rPr>
        <w:t>CAT062 tracks</w:t>
      </w:r>
      <w:r w:rsidRPr="00590F0D">
        <w:t xml:space="preserve">, you’re often buying the vendor’s tracking/correlation behavior as a black box. Swapping the radar later means your whole downstream </w:t>
      </w:r>
      <w:r w:rsidRPr="00590F0D">
        <w:lastRenderedPageBreak/>
        <w:t xml:space="preserve">tuning/behavior changes. If you integrate via </w:t>
      </w:r>
      <w:r w:rsidRPr="00590F0D">
        <w:rPr>
          <w:b/>
          <w:bCs/>
        </w:rPr>
        <w:t>CAT048 plots</w:t>
      </w:r>
      <w:r w:rsidRPr="00590F0D">
        <w:t>, you own more tracking—more work, but less vendor gravity.</w:t>
      </w:r>
    </w:p>
    <w:p w14:paraId="1320190B" w14:textId="77777777" w:rsidR="00590F0D" w:rsidRPr="00590F0D" w:rsidRDefault="00590F0D" w:rsidP="00590F0D">
      <w:r w:rsidRPr="00590F0D">
        <w:rPr>
          <w:b/>
          <w:bCs/>
        </w:rPr>
        <w:t>5) SAPIENT is oriented to C-UAS system-of-systems; ASTERIX is oriented to surveillance plumbing.</w:t>
      </w:r>
      <w:r w:rsidRPr="00590F0D">
        <w:br/>
        <w:t xml:space="preserve">Bridging them usually needs a </w:t>
      </w:r>
      <w:r w:rsidRPr="00590F0D">
        <w:rPr>
          <w:b/>
          <w:bCs/>
        </w:rPr>
        <w:t>gateway that maps semantics</w:t>
      </w:r>
      <w:r w:rsidRPr="00590F0D">
        <w:t xml:space="preserve"> (detections/tracks/tasking vs surveillance plots/tracks/video). That gateway becomes a “strategic choke point” for lock-in unless you own it.</w:t>
      </w:r>
    </w:p>
    <w:p w14:paraId="516D7118" w14:textId="77777777" w:rsidR="00590F0D" w:rsidRPr="00590F0D" w:rsidRDefault="00590F0D" w:rsidP="00590F0D">
      <w:pPr>
        <w:rPr>
          <w:b/>
          <w:bCs/>
        </w:rPr>
      </w:pPr>
      <w:r w:rsidRPr="00590F0D">
        <w:rPr>
          <w:b/>
          <w:bCs/>
        </w:rPr>
        <w:t>How lock-in gets created (the usual suspects)</w:t>
      </w:r>
    </w:p>
    <w:p w14:paraId="6E98851A" w14:textId="77777777" w:rsidR="00590F0D" w:rsidRPr="00590F0D" w:rsidRDefault="00590F0D" w:rsidP="00590F0D">
      <w:r w:rsidRPr="00590F0D">
        <w:rPr>
          <w:b/>
          <w:bCs/>
        </w:rPr>
        <w:t>Technical lock-in</w:t>
      </w:r>
    </w:p>
    <w:p w14:paraId="6C37190C" w14:textId="77777777" w:rsidR="00590F0D" w:rsidRPr="00590F0D" w:rsidRDefault="00590F0D" w:rsidP="00590F0D">
      <w:pPr>
        <w:numPr>
          <w:ilvl w:val="0"/>
          <w:numId w:val="2"/>
        </w:numPr>
      </w:pPr>
      <w:r w:rsidRPr="00590F0D">
        <w:t xml:space="preserve">Proprietary </w:t>
      </w:r>
      <w:r w:rsidRPr="00590F0D">
        <w:rPr>
          <w:b/>
          <w:bCs/>
        </w:rPr>
        <w:t>SAPIENT “extensions”</w:t>
      </w:r>
      <w:r w:rsidRPr="00590F0D">
        <w:t xml:space="preserve"> (extra </w:t>
      </w:r>
      <w:proofErr w:type="spellStart"/>
      <w:r w:rsidRPr="00590F0D">
        <w:t>Protobuf</w:t>
      </w:r>
      <w:proofErr w:type="spellEnd"/>
      <w:r w:rsidRPr="00590F0D">
        <w:t xml:space="preserve"> fields/</w:t>
      </w:r>
      <w:proofErr w:type="spellStart"/>
      <w:r w:rsidRPr="00590F0D">
        <w:t>enums</w:t>
      </w:r>
      <w:proofErr w:type="spellEnd"/>
      <w:r w:rsidRPr="00590F0D">
        <w:t>) or “optional” fields made de facto mandatory.</w:t>
      </w:r>
    </w:p>
    <w:p w14:paraId="18C8E310" w14:textId="77777777" w:rsidR="00590F0D" w:rsidRPr="00590F0D" w:rsidRDefault="00590F0D" w:rsidP="00590F0D">
      <w:pPr>
        <w:numPr>
          <w:ilvl w:val="0"/>
          <w:numId w:val="2"/>
        </w:numPr>
      </w:pPr>
      <w:r w:rsidRPr="00590F0D">
        <w:t xml:space="preserve">ASTERIX </w:t>
      </w:r>
      <w:r w:rsidRPr="00590F0D">
        <w:rPr>
          <w:b/>
          <w:bCs/>
        </w:rPr>
        <w:t>Reserved Expansion Field</w:t>
      </w:r>
      <w:r w:rsidRPr="00590F0D">
        <w:t xml:space="preserve"> usage that only the vendor’s decoder understands. </w:t>
      </w:r>
      <w:hyperlink r:id="rId13" w:tgtFrame="_blank" w:history="1">
        <w:r w:rsidRPr="00590F0D">
          <w:rPr>
            <w:rStyle w:val="Hyperlink"/>
          </w:rPr>
          <w:t>eurocontrol.int+1</w:t>
        </w:r>
      </w:hyperlink>
    </w:p>
    <w:p w14:paraId="6DBBA078" w14:textId="77777777" w:rsidR="00590F0D" w:rsidRPr="00590F0D" w:rsidRDefault="00590F0D" w:rsidP="00590F0D">
      <w:pPr>
        <w:numPr>
          <w:ilvl w:val="0"/>
          <w:numId w:val="2"/>
        </w:numPr>
      </w:pPr>
      <w:r w:rsidRPr="00590F0D">
        <w:t xml:space="preserve">“We output CAT062” but with assumptions about </w:t>
      </w:r>
      <w:r w:rsidRPr="00590F0D">
        <w:rPr>
          <w:b/>
          <w:bCs/>
        </w:rPr>
        <w:t>track IDs</w:t>
      </w:r>
      <w:r w:rsidRPr="00590F0D">
        <w:t>, update rates, covariance/quality interpretation, or filtering that only their UI/C2 handles well.</w:t>
      </w:r>
    </w:p>
    <w:p w14:paraId="52081C9F" w14:textId="77777777" w:rsidR="00590F0D" w:rsidRPr="00590F0D" w:rsidRDefault="00590F0D" w:rsidP="00590F0D">
      <w:pPr>
        <w:numPr>
          <w:ilvl w:val="0"/>
          <w:numId w:val="2"/>
        </w:numPr>
      </w:pPr>
      <w:r w:rsidRPr="00590F0D">
        <w:t xml:space="preserve">CAT240 video that’s technically standard but practically requires </w:t>
      </w:r>
      <w:r w:rsidRPr="00590F0D">
        <w:rPr>
          <w:b/>
          <w:bCs/>
        </w:rPr>
        <w:t>vendor tooling</w:t>
      </w:r>
      <w:r w:rsidRPr="00590F0D">
        <w:t xml:space="preserve"> to render/process at useful latency. </w:t>
      </w:r>
      <w:hyperlink r:id="rId14" w:tgtFrame="_blank" w:history="1">
        <w:r w:rsidRPr="00590F0D">
          <w:rPr>
            <w:rStyle w:val="Hyperlink"/>
          </w:rPr>
          <w:t>eurocontrol.int</w:t>
        </w:r>
      </w:hyperlink>
    </w:p>
    <w:p w14:paraId="1C3ED183" w14:textId="77777777" w:rsidR="00590F0D" w:rsidRPr="00590F0D" w:rsidRDefault="00590F0D" w:rsidP="00590F0D">
      <w:r w:rsidRPr="00590F0D">
        <w:rPr>
          <w:b/>
          <w:bCs/>
        </w:rPr>
        <w:t>Contractual lock-in (MOSA’s kryptonite)</w:t>
      </w:r>
    </w:p>
    <w:p w14:paraId="30F84896" w14:textId="77777777" w:rsidR="00590F0D" w:rsidRPr="00590F0D" w:rsidRDefault="00590F0D" w:rsidP="00590F0D">
      <w:pPr>
        <w:numPr>
          <w:ilvl w:val="0"/>
          <w:numId w:val="3"/>
        </w:numPr>
      </w:pPr>
      <w:r w:rsidRPr="00590F0D">
        <w:t xml:space="preserve">You don’t get rights to the </w:t>
      </w:r>
      <w:r w:rsidRPr="00590F0D">
        <w:rPr>
          <w:b/>
          <w:bCs/>
        </w:rPr>
        <w:t>ICD, schemas, gateway mapping, or test tools</w:t>
      </w:r>
      <w:r w:rsidRPr="00590F0D">
        <w:t>, so only the prime can integrate changes.</w:t>
      </w:r>
    </w:p>
    <w:p w14:paraId="40056C99" w14:textId="77777777" w:rsidR="00590F0D" w:rsidRPr="00590F0D" w:rsidRDefault="00590F0D" w:rsidP="00590F0D">
      <w:pPr>
        <w:numPr>
          <w:ilvl w:val="0"/>
          <w:numId w:val="3"/>
        </w:numPr>
      </w:pPr>
      <w:r w:rsidRPr="00590F0D">
        <w:t xml:space="preserve">“Open interface” exists, but the </w:t>
      </w:r>
      <w:r w:rsidRPr="00590F0D">
        <w:rPr>
          <w:b/>
          <w:bCs/>
        </w:rPr>
        <w:t>semantic meaning</w:t>
      </w:r>
      <w:r w:rsidRPr="00590F0D">
        <w:t xml:space="preserve"> and machine-readable interface definition aren’t delivered in a way that supports competition (MOSA explicitly cares about this). </w:t>
      </w:r>
      <w:hyperlink r:id="rId15" w:tgtFrame="_blank" w:history="1">
        <w:r w:rsidRPr="00590F0D">
          <w:rPr>
            <w:rStyle w:val="Hyperlink"/>
          </w:rPr>
          <w:t>dsp.dla.mil+1</w:t>
        </w:r>
      </w:hyperlink>
    </w:p>
    <w:p w14:paraId="2B23F5B6" w14:textId="77777777" w:rsidR="00590F0D" w:rsidRPr="00590F0D" w:rsidRDefault="00590F0D" w:rsidP="00590F0D">
      <w:r w:rsidRPr="00590F0D">
        <w:rPr>
          <w:b/>
          <w:bCs/>
        </w:rPr>
        <w:t>Operational lock-in</w:t>
      </w:r>
    </w:p>
    <w:p w14:paraId="1D960F93" w14:textId="77777777" w:rsidR="00590F0D" w:rsidRPr="00590F0D" w:rsidRDefault="00590F0D" w:rsidP="00590F0D">
      <w:pPr>
        <w:numPr>
          <w:ilvl w:val="0"/>
          <w:numId w:val="4"/>
        </w:numPr>
      </w:pPr>
      <w:r w:rsidRPr="00590F0D">
        <w:t>Site-specific tuning (“clutter maps”, classifier thresholds, sensor alignment) only the vendor can safely modify.</w:t>
      </w:r>
    </w:p>
    <w:p w14:paraId="20E046AE" w14:textId="77777777" w:rsidR="00590F0D" w:rsidRPr="00590F0D" w:rsidRDefault="00590F0D" w:rsidP="00590F0D">
      <w:pPr>
        <w:numPr>
          <w:ilvl w:val="0"/>
          <w:numId w:val="4"/>
        </w:numPr>
      </w:pPr>
      <w:r w:rsidRPr="00590F0D">
        <w:t>Performance claims depend on proprietary fusion/threat scoring inside the C2.</w:t>
      </w:r>
    </w:p>
    <w:p w14:paraId="5704579A" w14:textId="77777777" w:rsidR="00590F0D" w:rsidRPr="00590F0D" w:rsidRDefault="00590F0D" w:rsidP="00590F0D">
      <w:pPr>
        <w:rPr>
          <w:b/>
          <w:bCs/>
        </w:rPr>
      </w:pPr>
      <w:r w:rsidRPr="00590F0D">
        <w:rPr>
          <w:b/>
          <w:bCs/>
        </w:rPr>
        <w:t>Keywords / phrases to investigate (to avoid expensive surprises)</w:t>
      </w:r>
    </w:p>
    <w:p w14:paraId="5CA19958" w14:textId="77777777" w:rsidR="00590F0D" w:rsidRPr="00590F0D" w:rsidRDefault="00590F0D" w:rsidP="00590F0D">
      <w:r w:rsidRPr="00590F0D">
        <w:t>Search for these in RFPs, SOWs, ICDs, and vendor answers:</w:t>
      </w:r>
    </w:p>
    <w:p w14:paraId="3E849C1C" w14:textId="77777777" w:rsidR="00590F0D" w:rsidRPr="00590F0D" w:rsidRDefault="00590F0D" w:rsidP="00590F0D">
      <w:r w:rsidRPr="00590F0D">
        <w:rPr>
          <w:b/>
          <w:bCs/>
        </w:rPr>
        <w:t>MOSA / contracting</w:t>
      </w:r>
    </w:p>
    <w:p w14:paraId="0065C188" w14:textId="77777777" w:rsidR="00590F0D" w:rsidRPr="00590F0D" w:rsidRDefault="00590F0D" w:rsidP="00590F0D">
      <w:pPr>
        <w:numPr>
          <w:ilvl w:val="0"/>
          <w:numId w:val="5"/>
        </w:numPr>
      </w:pPr>
      <w:r w:rsidRPr="00590F0D">
        <w:lastRenderedPageBreak/>
        <w:t>“</w:t>
      </w:r>
      <w:r w:rsidRPr="00590F0D">
        <w:rPr>
          <w:b/>
          <w:bCs/>
        </w:rPr>
        <w:t>Interface Control Authority (ICA)</w:t>
      </w:r>
      <w:r w:rsidRPr="00590F0D">
        <w:t>”, “ICD ownership”, “change control board”</w:t>
      </w:r>
    </w:p>
    <w:p w14:paraId="5ABE2C56" w14:textId="77777777" w:rsidR="00590F0D" w:rsidRPr="00590F0D" w:rsidRDefault="00590F0D" w:rsidP="00590F0D">
      <w:pPr>
        <w:numPr>
          <w:ilvl w:val="0"/>
          <w:numId w:val="5"/>
        </w:numPr>
      </w:pPr>
      <w:r w:rsidRPr="00590F0D">
        <w:t>“</w:t>
      </w:r>
      <w:proofErr w:type="gramStart"/>
      <w:r w:rsidRPr="00590F0D">
        <w:rPr>
          <w:b/>
          <w:bCs/>
        </w:rPr>
        <w:t>data</w:t>
      </w:r>
      <w:proofErr w:type="gramEnd"/>
      <w:r w:rsidRPr="00590F0D">
        <w:rPr>
          <w:b/>
          <w:bCs/>
        </w:rPr>
        <w:t xml:space="preserve"> rights</w:t>
      </w:r>
      <w:r w:rsidRPr="00590F0D">
        <w:t>”, “Government Purpose Rights (GPR)”, “DFARS 252.227*”, “technical data package (TDP)”</w:t>
      </w:r>
    </w:p>
    <w:p w14:paraId="4CB7C658" w14:textId="77777777" w:rsidR="00590F0D" w:rsidRPr="00590F0D" w:rsidRDefault="00590F0D" w:rsidP="00590F0D">
      <w:pPr>
        <w:numPr>
          <w:ilvl w:val="0"/>
          <w:numId w:val="5"/>
        </w:numPr>
      </w:pPr>
      <w:r w:rsidRPr="00590F0D">
        <w:t xml:space="preserve">“machine-readable interface definition”, “semantic meaning of interface elements” (these are explicitly called out in MOSA language) </w:t>
      </w:r>
      <w:hyperlink r:id="rId16" w:tgtFrame="_blank" w:history="1">
        <w:r w:rsidRPr="00590F0D">
          <w:rPr>
            <w:rStyle w:val="Hyperlink"/>
          </w:rPr>
          <w:t>dsp.dla.mil+1</w:t>
        </w:r>
      </w:hyperlink>
    </w:p>
    <w:p w14:paraId="414103CC" w14:textId="77777777" w:rsidR="00590F0D" w:rsidRPr="00590F0D" w:rsidRDefault="00590F0D" w:rsidP="00590F0D">
      <w:r w:rsidRPr="00590F0D">
        <w:rPr>
          <w:b/>
          <w:bCs/>
        </w:rPr>
        <w:t>SAPIENT</w:t>
      </w:r>
    </w:p>
    <w:p w14:paraId="763B7D2D" w14:textId="77777777" w:rsidR="00590F0D" w:rsidRPr="00590F0D" w:rsidRDefault="00590F0D" w:rsidP="00590F0D">
      <w:pPr>
        <w:numPr>
          <w:ilvl w:val="0"/>
          <w:numId w:val="6"/>
        </w:numPr>
      </w:pPr>
      <w:r w:rsidRPr="00590F0D">
        <w:t xml:space="preserve">“SAPIENT </w:t>
      </w:r>
      <w:r w:rsidRPr="00590F0D">
        <w:rPr>
          <w:b/>
          <w:bCs/>
        </w:rPr>
        <w:t>profile</w:t>
      </w:r>
      <w:r w:rsidRPr="00590F0D">
        <w:t xml:space="preserve">”, “conformance”, “mandatory subset”, “discretionary/conditional fields” </w:t>
      </w:r>
      <w:hyperlink r:id="rId17" w:tgtFrame="_blank" w:history="1">
        <w:r w:rsidRPr="00590F0D">
          <w:rPr>
            <w:rStyle w:val="Hyperlink"/>
          </w:rPr>
          <w:t>assets.publishing.service.gov.uk+1</w:t>
        </w:r>
      </w:hyperlink>
    </w:p>
    <w:p w14:paraId="633E1FE8" w14:textId="77777777" w:rsidR="00590F0D" w:rsidRPr="00590F0D" w:rsidRDefault="00590F0D" w:rsidP="00590F0D">
      <w:pPr>
        <w:numPr>
          <w:ilvl w:val="0"/>
          <w:numId w:val="6"/>
        </w:numPr>
      </w:pPr>
      <w:r w:rsidRPr="00590F0D">
        <w:t>“</w:t>
      </w:r>
      <w:proofErr w:type="spellStart"/>
      <w:r w:rsidRPr="00590F0D">
        <w:t>Protobuf</w:t>
      </w:r>
      <w:proofErr w:type="spellEnd"/>
      <w:r w:rsidRPr="00590F0D">
        <w:t xml:space="preserve"> </w:t>
      </w:r>
      <w:r w:rsidRPr="00590F0D">
        <w:rPr>
          <w:b/>
          <w:bCs/>
        </w:rPr>
        <w:t>schema evolution</w:t>
      </w:r>
      <w:r w:rsidRPr="00590F0D">
        <w:t>”, “unknown fields”, “version negotiation”</w:t>
      </w:r>
    </w:p>
    <w:p w14:paraId="615AEB29" w14:textId="77777777" w:rsidR="00590F0D" w:rsidRPr="00590F0D" w:rsidRDefault="00590F0D" w:rsidP="00590F0D">
      <w:pPr>
        <w:numPr>
          <w:ilvl w:val="0"/>
          <w:numId w:val="6"/>
        </w:numPr>
      </w:pPr>
      <w:r w:rsidRPr="00590F0D">
        <w:t>“transport”, “middleware”, “message broker”, “TLS/</w:t>
      </w:r>
      <w:proofErr w:type="spellStart"/>
      <w:r w:rsidRPr="00590F0D">
        <w:t>mTLS</w:t>
      </w:r>
      <w:proofErr w:type="spellEnd"/>
      <w:r w:rsidRPr="00590F0D">
        <w:t>”, “PKI”, “QoS”, “backpressure”</w:t>
      </w:r>
    </w:p>
    <w:p w14:paraId="77FC629A" w14:textId="77777777" w:rsidR="00590F0D" w:rsidRPr="00590F0D" w:rsidRDefault="00590F0D" w:rsidP="00590F0D">
      <w:r w:rsidRPr="00590F0D">
        <w:rPr>
          <w:b/>
          <w:bCs/>
        </w:rPr>
        <w:t>ASTERIX</w:t>
      </w:r>
    </w:p>
    <w:p w14:paraId="285F9E90" w14:textId="77777777" w:rsidR="00590F0D" w:rsidRPr="00590F0D" w:rsidRDefault="00590F0D" w:rsidP="00590F0D">
      <w:pPr>
        <w:numPr>
          <w:ilvl w:val="0"/>
          <w:numId w:val="7"/>
        </w:numPr>
      </w:pPr>
      <w:r w:rsidRPr="00590F0D">
        <w:t>“</w:t>
      </w:r>
      <w:r w:rsidRPr="00590F0D">
        <w:rPr>
          <w:b/>
          <w:bCs/>
        </w:rPr>
        <w:t>UAP</w:t>
      </w:r>
      <w:r w:rsidRPr="00590F0D">
        <w:t xml:space="preserve"> (User Application Profile)” (a classic interop footgun if mismatched) </w:t>
      </w:r>
      <w:hyperlink r:id="rId18" w:tgtFrame="_blank" w:history="1">
        <w:r w:rsidRPr="00590F0D">
          <w:rPr>
            <w:rStyle w:val="Hyperlink"/>
          </w:rPr>
          <w:t>eurocontrol.int+1</w:t>
        </w:r>
      </w:hyperlink>
    </w:p>
    <w:p w14:paraId="7752D473" w14:textId="77777777" w:rsidR="00590F0D" w:rsidRPr="00590F0D" w:rsidRDefault="00590F0D" w:rsidP="00590F0D">
      <w:pPr>
        <w:numPr>
          <w:ilvl w:val="0"/>
          <w:numId w:val="7"/>
        </w:numPr>
      </w:pPr>
      <w:r w:rsidRPr="00590F0D">
        <w:t>“</w:t>
      </w:r>
      <w:r w:rsidRPr="00590F0D">
        <w:rPr>
          <w:b/>
          <w:bCs/>
        </w:rPr>
        <w:t>Reserved Expansion Field (REF)</w:t>
      </w:r>
      <w:r w:rsidRPr="00590F0D">
        <w:t xml:space="preserve">”, “Appendix A”, “Reserved Expansion Indicator” </w:t>
      </w:r>
      <w:hyperlink r:id="rId19" w:tgtFrame="_blank" w:history="1">
        <w:r w:rsidRPr="00590F0D">
          <w:rPr>
            <w:rStyle w:val="Hyperlink"/>
          </w:rPr>
          <w:t>eurocontrol.int+2eurocontrol.int+2</w:t>
        </w:r>
      </w:hyperlink>
    </w:p>
    <w:p w14:paraId="3FAD2D53" w14:textId="77777777" w:rsidR="00590F0D" w:rsidRPr="00590F0D" w:rsidRDefault="00590F0D" w:rsidP="00590F0D">
      <w:pPr>
        <w:numPr>
          <w:ilvl w:val="0"/>
          <w:numId w:val="7"/>
        </w:numPr>
      </w:pPr>
      <w:r w:rsidRPr="00590F0D">
        <w:t>“CAT048 vs CAT062 ownership of tracking”</w:t>
      </w:r>
    </w:p>
    <w:p w14:paraId="71B09234" w14:textId="77777777" w:rsidR="00590F0D" w:rsidRPr="00590F0D" w:rsidRDefault="00590F0D" w:rsidP="00590F0D">
      <w:pPr>
        <w:numPr>
          <w:ilvl w:val="0"/>
          <w:numId w:val="7"/>
        </w:numPr>
      </w:pPr>
      <w:r w:rsidRPr="00590F0D">
        <w:t>“CAT240 bandwidth/latency”, “video processing chain”</w:t>
      </w:r>
    </w:p>
    <w:p w14:paraId="1DE5D8EB" w14:textId="77777777" w:rsidR="00590F0D" w:rsidRPr="00590F0D" w:rsidRDefault="00590F0D" w:rsidP="00590F0D">
      <w:r w:rsidRPr="00590F0D">
        <w:rPr>
          <w:b/>
          <w:bCs/>
        </w:rPr>
        <w:t>Gateway / integration</w:t>
      </w:r>
    </w:p>
    <w:p w14:paraId="15BF64F3" w14:textId="77777777" w:rsidR="00590F0D" w:rsidRPr="00590F0D" w:rsidRDefault="00590F0D" w:rsidP="00590F0D">
      <w:pPr>
        <w:numPr>
          <w:ilvl w:val="0"/>
          <w:numId w:val="8"/>
        </w:numPr>
      </w:pPr>
      <w:r w:rsidRPr="00590F0D">
        <w:t>“</w:t>
      </w:r>
      <w:proofErr w:type="gramStart"/>
      <w:r w:rsidRPr="00590F0D">
        <w:t>semantic</w:t>
      </w:r>
      <w:proofErr w:type="gramEnd"/>
      <w:r w:rsidRPr="00590F0D">
        <w:t xml:space="preserve"> mapping”, “track correlation”, “track ID stability”, “time stamping / latency budget”</w:t>
      </w:r>
    </w:p>
    <w:p w14:paraId="6A906CE1" w14:textId="77777777" w:rsidR="00590F0D" w:rsidRPr="00590F0D" w:rsidRDefault="00590F0D" w:rsidP="00590F0D">
      <w:pPr>
        <w:numPr>
          <w:ilvl w:val="0"/>
          <w:numId w:val="8"/>
        </w:numPr>
      </w:pPr>
      <w:r w:rsidRPr="00590F0D">
        <w:t>“</w:t>
      </w:r>
      <w:proofErr w:type="gramStart"/>
      <w:r w:rsidRPr="00590F0D">
        <w:t>conformance</w:t>
      </w:r>
      <w:proofErr w:type="gramEnd"/>
      <w:r w:rsidRPr="00590F0D">
        <w:t xml:space="preserve"> test suite”, “golden datasets”, “interop </w:t>
      </w:r>
      <w:proofErr w:type="spellStart"/>
      <w:r w:rsidRPr="00590F0D">
        <w:t>plugfest</w:t>
      </w:r>
      <w:proofErr w:type="spellEnd"/>
      <w:r w:rsidRPr="00590F0D">
        <w:t>”</w:t>
      </w:r>
    </w:p>
    <w:p w14:paraId="41ADF331" w14:textId="77777777" w:rsidR="00590F0D" w:rsidRPr="00590F0D" w:rsidRDefault="00590F0D" w:rsidP="00590F0D">
      <w:r w:rsidRPr="00590F0D">
        <w:t xml:space="preserve">Devil’s advocate: going “full open” can increase integration and validation costs—sometimes a single-vendor vertical stack is cheaper </w:t>
      </w:r>
      <w:r w:rsidRPr="00590F0D">
        <w:rPr>
          <w:i/>
          <w:iCs/>
        </w:rPr>
        <w:t>short-term</w:t>
      </w:r>
      <w:r w:rsidRPr="00590F0D">
        <w:t xml:space="preserve"> because one party owns all the weird corner cases. The trick is forcing that stack to be </w:t>
      </w:r>
      <w:r w:rsidRPr="00590F0D">
        <w:rPr>
          <w:i/>
          <w:iCs/>
        </w:rPr>
        <w:t>replaceable later</w:t>
      </w:r>
      <w:r w:rsidRPr="00590F0D">
        <w:t xml:space="preserve"> by owning the ICDs, profiles, mappings, and data rights (otherwise MOSA becomes a motivational poster).</w:t>
      </w:r>
    </w:p>
    <w:p w14:paraId="45B9F35A" w14:textId="77777777" w:rsidR="0068050D" w:rsidRDefault="0068050D"/>
    <w:p w14:paraId="74012818" w14:textId="77777777" w:rsidR="00A474A1" w:rsidRDefault="00A474A1">
      <w:pPr>
        <w:pBdr>
          <w:bottom w:val="single" w:sz="6" w:space="1" w:color="auto"/>
        </w:pBdr>
      </w:pPr>
    </w:p>
    <w:p w14:paraId="1B50CC02" w14:textId="77777777" w:rsidR="00A474A1" w:rsidRDefault="00A474A1"/>
    <w:p w14:paraId="7702A07F" w14:textId="77777777" w:rsidR="00A474A1" w:rsidRPr="00A474A1" w:rsidRDefault="00A474A1" w:rsidP="00A474A1">
      <w:pPr>
        <w:numPr>
          <w:ilvl w:val="0"/>
          <w:numId w:val="9"/>
        </w:numPr>
      </w:pPr>
      <w:r w:rsidRPr="00A474A1">
        <w:lastRenderedPageBreak/>
        <w:t xml:space="preserve">There </w:t>
      </w:r>
      <w:r w:rsidRPr="00A474A1">
        <w:rPr>
          <w:b/>
          <w:bCs/>
        </w:rPr>
        <w:t>are</w:t>
      </w:r>
      <w:r w:rsidRPr="00A474A1">
        <w:t xml:space="preserve"> public concerns in this ecosystem about vendor lock-in around radar / ATM / C-UAS:</w:t>
      </w:r>
    </w:p>
    <w:p w14:paraId="3AD42BC9" w14:textId="77777777" w:rsidR="00A474A1" w:rsidRPr="00A474A1" w:rsidRDefault="00A474A1" w:rsidP="00A474A1">
      <w:pPr>
        <w:numPr>
          <w:ilvl w:val="1"/>
          <w:numId w:val="9"/>
        </w:numPr>
      </w:pPr>
      <w:r w:rsidRPr="00A474A1">
        <w:t xml:space="preserve">UK MoD explicitly worries about “Vendor Lock” when contractors build closed capabilities that can’t be upgraded except by the original vendor. </w:t>
      </w:r>
      <w:hyperlink r:id="rId20" w:tgtFrame="_blank" w:history="1">
        <w:r w:rsidRPr="00A474A1">
          <w:rPr>
            <w:rStyle w:val="Hyperlink"/>
          </w:rPr>
          <w:t xml:space="preserve">Euro Security &amp; </w:t>
        </w:r>
        <w:proofErr w:type="spellStart"/>
        <w:r w:rsidRPr="00A474A1">
          <w:rPr>
            <w:rStyle w:val="Hyperlink"/>
          </w:rPr>
          <w:t>Defence</w:t>
        </w:r>
        <w:proofErr w:type="spellEnd"/>
      </w:hyperlink>
    </w:p>
    <w:p w14:paraId="78A09D66" w14:textId="77777777" w:rsidR="00A474A1" w:rsidRPr="00A474A1" w:rsidRDefault="00A474A1" w:rsidP="00A474A1">
      <w:pPr>
        <w:numPr>
          <w:ilvl w:val="1"/>
          <w:numId w:val="9"/>
        </w:numPr>
      </w:pPr>
      <w:r w:rsidRPr="00A474A1">
        <w:t xml:space="preserve">ATC / ATM folks note that even with standardized surveillance formats like </w:t>
      </w:r>
      <w:r w:rsidRPr="00A474A1">
        <w:rPr>
          <w:b/>
          <w:bCs/>
        </w:rPr>
        <w:t>ASTERIX</w:t>
      </w:r>
      <w:r w:rsidRPr="00A474A1">
        <w:t xml:space="preserve">, many systems are still “constrained by vendor lock-ins” and vendor-specific architectures. </w:t>
      </w:r>
      <w:hyperlink r:id="rId21" w:tgtFrame="_blank" w:history="1">
        <w:proofErr w:type="spellStart"/>
        <w:r w:rsidRPr="00A474A1">
          <w:rPr>
            <w:rStyle w:val="Hyperlink"/>
          </w:rPr>
          <w:t>Skyradar</w:t>
        </w:r>
        <w:proofErr w:type="spellEnd"/>
      </w:hyperlink>
    </w:p>
    <w:p w14:paraId="44C35B06" w14:textId="77777777" w:rsidR="00A474A1" w:rsidRPr="00A474A1" w:rsidRDefault="00A474A1" w:rsidP="00A474A1">
      <w:pPr>
        <w:numPr>
          <w:ilvl w:val="1"/>
          <w:numId w:val="9"/>
        </w:numPr>
      </w:pPr>
      <w:r w:rsidRPr="00A474A1">
        <w:t xml:space="preserve">FAA’s service-based reference architecture talks about minimizing vendor lock-in and managing it with multi-cloud and standards-based layers. </w:t>
      </w:r>
      <w:hyperlink r:id="rId22" w:tgtFrame="_blank" w:history="1">
        <w:proofErr w:type="spellStart"/>
        <w:r w:rsidRPr="00A474A1">
          <w:rPr>
            <w:rStyle w:val="Hyperlink"/>
          </w:rPr>
          <w:t>Ameerika</w:t>
        </w:r>
        <w:proofErr w:type="spellEnd"/>
        <w:r w:rsidRPr="00A474A1">
          <w:rPr>
            <w:rStyle w:val="Hyperlink"/>
          </w:rPr>
          <w:t xml:space="preserve"> </w:t>
        </w:r>
        <w:proofErr w:type="spellStart"/>
        <w:r w:rsidRPr="00A474A1">
          <w:rPr>
            <w:rStyle w:val="Hyperlink"/>
          </w:rPr>
          <w:t>Tsiviillennundus</w:t>
        </w:r>
        <w:proofErr w:type="spellEnd"/>
      </w:hyperlink>
    </w:p>
    <w:p w14:paraId="1587D085" w14:textId="77777777" w:rsidR="00A474A1" w:rsidRPr="00A474A1" w:rsidRDefault="00A474A1" w:rsidP="00A474A1">
      <w:pPr>
        <w:numPr>
          <w:ilvl w:val="1"/>
          <w:numId w:val="9"/>
        </w:numPr>
      </w:pPr>
      <w:r w:rsidRPr="00A474A1">
        <w:t xml:space="preserve">In C-UAS specifically, OSL’s C2 article calls out </w:t>
      </w:r>
      <w:r w:rsidRPr="00A474A1">
        <w:rPr>
          <w:b/>
          <w:bCs/>
        </w:rPr>
        <w:t>“vendor lock-in and limited fusion capabilities”</w:t>
      </w:r>
      <w:r w:rsidRPr="00A474A1">
        <w:t xml:space="preserve"> as a real problem when sensor manufacturers bundle their own C2. </w:t>
      </w:r>
      <w:hyperlink r:id="rId23" w:tgtFrame="_blank" w:history="1">
        <w:r w:rsidRPr="00A474A1">
          <w:rPr>
            <w:rStyle w:val="Hyperlink"/>
          </w:rPr>
          <w:t>OSL Technology</w:t>
        </w:r>
      </w:hyperlink>
    </w:p>
    <w:p w14:paraId="165741E8" w14:textId="77777777" w:rsidR="00A474A1" w:rsidRPr="00A474A1" w:rsidRDefault="00A474A1" w:rsidP="00A474A1">
      <w:pPr>
        <w:numPr>
          <w:ilvl w:val="0"/>
          <w:numId w:val="9"/>
        </w:numPr>
      </w:pPr>
      <w:r w:rsidRPr="00A474A1">
        <w:t xml:space="preserve">Separately, the product patterns I used are real, </w:t>
      </w:r>
      <w:r w:rsidRPr="00A474A1">
        <w:rPr>
          <w:i/>
          <w:iCs/>
        </w:rPr>
        <w:t>but I took the last step myself</w:t>
      </w:r>
      <w:r w:rsidRPr="00A474A1">
        <w:t>:</w:t>
      </w:r>
    </w:p>
    <w:p w14:paraId="2C880E9D" w14:textId="77777777" w:rsidR="00A474A1" w:rsidRPr="00A474A1" w:rsidRDefault="00A474A1" w:rsidP="00A474A1">
      <w:pPr>
        <w:numPr>
          <w:ilvl w:val="1"/>
          <w:numId w:val="9"/>
        </w:numPr>
      </w:pPr>
      <w:r w:rsidRPr="00A474A1">
        <w:t xml:space="preserve">DSPNOR DRONNUR 2D: standard ASTERIX CAT-240/010/048/062 plus </w:t>
      </w:r>
      <w:r w:rsidRPr="00A474A1">
        <w:rPr>
          <w:b/>
          <w:bCs/>
        </w:rPr>
        <w:t>“military extensions […] available for qualified end-customers.”</w:t>
      </w:r>
      <w:r w:rsidRPr="00A474A1">
        <w:t xml:space="preserve"> </w:t>
      </w:r>
      <w:hyperlink r:id="rId24" w:tgtFrame="_blank" w:history="1">
        <w:r w:rsidRPr="00A474A1">
          <w:rPr>
            <w:rStyle w:val="Hyperlink"/>
          </w:rPr>
          <w:t>dspnor+1</w:t>
        </w:r>
      </w:hyperlink>
    </w:p>
    <w:p w14:paraId="7AA572C0" w14:textId="77777777" w:rsidR="00A474A1" w:rsidRPr="00A474A1" w:rsidRDefault="00A474A1" w:rsidP="00A474A1">
      <w:pPr>
        <w:numPr>
          <w:ilvl w:val="1"/>
          <w:numId w:val="9"/>
        </w:numPr>
      </w:pPr>
      <w:r w:rsidRPr="00A474A1">
        <w:t xml:space="preserve">Kongsberg DR100 C-UAS radar: data protocol listed as </w:t>
      </w:r>
      <w:r w:rsidRPr="00A474A1">
        <w:rPr>
          <w:b/>
          <w:bCs/>
        </w:rPr>
        <w:t>“Native (proprietary), Asterix, Sapient (under implementation)”</w:t>
      </w:r>
      <w:r w:rsidRPr="00A474A1">
        <w:t xml:space="preserve">. </w:t>
      </w:r>
      <w:hyperlink r:id="rId25" w:tgtFrame="_blank" w:history="1">
        <w:r w:rsidRPr="00A474A1">
          <w:rPr>
            <w:rStyle w:val="Hyperlink"/>
          </w:rPr>
          <w:t>Kongsberg</w:t>
        </w:r>
      </w:hyperlink>
    </w:p>
    <w:p w14:paraId="38302829" w14:textId="77777777" w:rsidR="00A474A1" w:rsidRPr="00A474A1" w:rsidRDefault="00A474A1" w:rsidP="00A474A1">
      <w:pPr>
        <w:numPr>
          <w:ilvl w:val="1"/>
          <w:numId w:val="9"/>
        </w:numPr>
      </w:pPr>
      <w:proofErr w:type="spellStart"/>
      <w:r w:rsidRPr="00A474A1">
        <w:t>Navtech</w:t>
      </w:r>
      <w:proofErr w:type="spellEnd"/>
      <w:r w:rsidRPr="00A474A1">
        <w:t xml:space="preserve"> MAS10: </w:t>
      </w:r>
      <w:r w:rsidRPr="00A474A1">
        <w:rPr>
          <w:b/>
          <w:bCs/>
        </w:rPr>
        <w:t>“raw image output is available in a proprietary format, or ASTERIX CAT 240 – an industry standard protocol for radar video”</w:t>
      </w:r>
      <w:r w:rsidRPr="00A474A1">
        <w:t xml:space="preserve">. </w:t>
      </w:r>
      <w:hyperlink r:id="rId26" w:tgtFrame="_blank" w:history="1">
        <w:proofErr w:type="spellStart"/>
        <w:r w:rsidRPr="00A474A1">
          <w:rPr>
            <w:rStyle w:val="Hyperlink"/>
          </w:rPr>
          <w:t>Navtech</w:t>
        </w:r>
        <w:proofErr w:type="spellEnd"/>
        <w:r w:rsidRPr="00A474A1">
          <w:rPr>
            <w:rStyle w:val="Hyperlink"/>
          </w:rPr>
          <w:t xml:space="preserve"> Radar</w:t>
        </w:r>
      </w:hyperlink>
    </w:p>
    <w:p w14:paraId="2A8182D7" w14:textId="77777777" w:rsidR="00A474A1" w:rsidRPr="00A474A1" w:rsidRDefault="00A474A1" w:rsidP="00A474A1">
      <w:pPr>
        <w:numPr>
          <w:ilvl w:val="1"/>
          <w:numId w:val="9"/>
        </w:numPr>
      </w:pPr>
      <w:r w:rsidRPr="00A474A1">
        <w:t xml:space="preserve">Cambridge Pixel </w:t>
      </w:r>
      <w:proofErr w:type="spellStart"/>
      <w:r w:rsidRPr="00A474A1">
        <w:t>SPx</w:t>
      </w:r>
      <w:proofErr w:type="spellEnd"/>
      <w:r w:rsidRPr="00A474A1">
        <w:t xml:space="preserve"> Tracker-3D / </w:t>
      </w:r>
      <w:proofErr w:type="spellStart"/>
      <w:r w:rsidRPr="00A474A1">
        <w:t>SPx</w:t>
      </w:r>
      <w:proofErr w:type="spellEnd"/>
      <w:r w:rsidRPr="00A474A1">
        <w:t xml:space="preserve"> Server: plots in </w:t>
      </w:r>
      <w:proofErr w:type="spellStart"/>
      <w:r w:rsidRPr="00A474A1">
        <w:rPr>
          <w:b/>
          <w:bCs/>
        </w:rPr>
        <w:t>SPx</w:t>
      </w:r>
      <w:proofErr w:type="spellEnd"/>
      <w:r w:rsidRPr="00A474A1">
        <w:rPr>
          <w:b/>
          <w:bCs/>
        </w:rPr>
        <w:t>, ASTERIX or proprietary formats</w:t>
      </w:r>
      <w:r w:rsidRPr="00A474A1">
        <w:t xml:space="preserve">, tracks out in </w:t>
      </w:r>
      <w:r w:rsidRPr="00A474A1">
        <w:rPr>
          <w:b/>
          <w:bCs/>
        </w:rPr>
        <w:t xml:space="preserve">ASTERIX or </w:t>
      </w:r>
      <w:proofErr w:type="spellStart"/>
      <w:r w:rsidRPr="00A474A1">
        <w:rPr>
          <w:b/>
          <w:bCs/>
        </w:rPr>
        <w:t>SPx</w:t>
      </w:r>
      <w:proofErr w:type="spellEnd"/>
      <w:r w:rsidRPr="00A474A1">
        <w:t xml:space="preserve">, plus SDK and custom extensions. </w:t>
      </w:r>
      <w:hyperlink r:id="rId27" w:tgtFrame="_blank" w:history="1">
        <w:r w:rsidRPr="00A474A1">
          <w:rPr>
            <w:rStyle w:val="Hyperlink"/>
          </w:rPr>
          <w:t>Cambridge Pixel+2Cambridge Pixel+2</w:t>
        </w:r>
      </w:hyperlink>
    </w:p>
    <w:p w14:paraId="458532B2" w14:textId="77777777" w:rsidR="00A474A1" w:rsidRPr="00A474A1" w:rsidRDefault="00A474A1" w:rsidP="00A474A1">
      <w:pPr>
        <w:numPr>
          <w:ilvl w:val="1"/>
          <w:numId w:val="9"/>
        </w:numPr>
      </w:pPr>
      <w:proofErr w:type="spellStart"/>
      <w:r w:rsidRPr="00A474A1">
        <w:t>MyDefence</w:t>
      </w:r>
      <w:proofErr w:type="spellEnd"/>
      <w:r w:rsidRPr="00A474A1">
        <w:t xml:space="preserve"> IRIS/ARGOS: catalogue states </w:t>
      </w:r>
      <w:r w:rsidRPr="00A474A1">
        <w:rPr>
          <w:b/>
          <w:bCs/>
        </w:rPr>
        <w:t>“IRIS/ARGOS is compliant with Sapient and has been integrated [with] Medusa and other C2 systems”</w:t>
      </w:r>
      <w:r w:rsidRPr="00A474A1">
        <w:t xml:space="preserve">. </w:t>
      </w:r>
      <w:hyperlink r:id="rId28" w:tgtFrame="_blank" w:history="1">
        <w:r w:rsidRPr="00A474A1">
          <w:rPr>
            <w:rStyle w:val="Hyperlink"/>
          </w:rPr>
          <w:t>MyDefence+1</w:t>
        </w:r>
      </w:hyperlink>
    </w:p>
    <w:p w14:paraId="21F6A02C" w14:textId="77777777" w:rsidR="00A474A1" w:rsidRPr="00A474A1" w:rsidRDefault="00A474A1" w:rsidP="00A474A1">
      <w:r w:rsidRPr="00A474A1">
        <w:t xml:space="preserve">Those docs show </w:t>
      </w:r>
      <w:r w:rsidRPr="00A474A1">
        <w:rPr>
          <w:b/>
          <w:bCs/>
        </w:rPr>
        <w:t>standard + proprietary paths in exactly the places where lock-in is structurally plausible</w:t>
      </w:r>
      <w:r w:rsidRPr="00A474A1">
        <w:t>. But I don’t have public sources where customers say “this specific product locked us in via SAPIENT/ASTERIX.”</w:t>
      </w:r>
    </w:p>
    <w:p w14:paraId="0D6B72BB" w14:textId="77777777" w:rsidR="00A474A1" w:rsidRPr="00A474A1" w:rsidRDefault="00A474A1" w:rsidP="00A474A1">
      <w:r w:rsidRPr="00A474A1">
        <w:t>So:</w:t>
      </w:r>
    </w:p>
    <w:p w14:paraId="6E1D32FE" w14:textId="77777777" w:rsidR="00A474A1" w:rsidRPr="00A474A1" w:rsidRDefault="00A474A1" w:rsidP="00A474A1">
      <w:pPr>
        <w:numPr>
          <w:ilvl w:val="0"/>
          <w:numId w:val="10"/>
        </w:numPr>
      </w:pPr>
      <w:r w:rsidRPr="00A474A1">
        <w:lastRenderedPageBreak/>
        <w:t xml:space="preserve">The </w:t>
      </w:r>
      <w:r w:rsidRPr="00A474A1">
        <w:rPr>
          <w:b/>
          <w:bCs/>
        </w:rPr>
        <w:t>lock-in mechanisms</w:t>
      </w:r>
      <w:r w:rsidRPr="00A474A1">
        <w:t xml:space="preserve"> I described (native protocol richer than ASTERIX/SAPIENT, private profiles, proprietary fusion cores, etc.) are standard architectural failure modes, and they are consistent with how these products are positioned.</w:t>
      </w:r>
    </w:p>
    <w:p w14:paraId="713A29EA" w14:textId="77777777" w:rsidR="00A474A1" w:rsidRPr="00A474A1" w:rsidRDefault="00A474A1" w:rsidP="00A474A1">
      <w:pPr>
        <w:numPr>
          <w:ilvl w:val="0"/>
          <w:numId w:val="10"/>
        </w:numPr>
      </w:pPr>
      <w:r w:rsidRPr="00A474A1">
        <w:t xml:space="preserve">The </w:t>
      </w:r>
      <w:r w:rsidRPr="00A474A1">
        <w:rPr>
          <w:b/>
          <w:bCs/>
        </w:rPr>
        <w:t xml:space="preserve">claim that these particular vendors </w:t>
      </w:r>
      <w:r w:rsidRPr="00A474A1">
        <w:rPr>
          <w:b/>
          <w:bCs/>
          <w:i/>
          <w:iCs/>
        </w:rPr>
        <w:t>have actually abused</w:t>
      </w:r>
      <w:r w:rsidRPr="00A474A1">
        <w:rPr>
          <w:b/>
          <w:bCs/>
        </w:rPr>
        <w:t xml:space="preserve"> that to lock in specific customers</w:t>
      </w:r>
      <w:r w:rsidRPr="00A474A1">
        <w:t xml:space="preserve"> would go beyond the evidence. I haven’t seen such complaints in public sources; those parts were </w:t>
      </w:r>
      <w:r w:rsidRPr="00A474A1">
        <w:rPr>
          <w:b/>
          <w:bCs/>
        </w:rPr>
        <w:t>analytical what-if stories</w:t>
      </w:r>
      <w:r w:rsidRPr="00A474A1">
        <w:t>, not reported cases.</w:t>
      </w:r>
    </w:p>
    <w:p w14:paraId="5F66E8B9" w14:textId="77777777" w:rsidR="00A474A1" w:rsidRPr="00A474A1" w:rsidRDefault="00A474A1" w:rsidP="00A474A1">
      <w:r w:rsidRPr="00A474A1">
        <w:t xml:space="preserve">Alternative view / pitfall: some vendors are explicitly marketing against lock-in by supporting many standards (e.g. ART HMI advertises compatibility with ASTERIX, SAPIENT, NMEA, MQTT, ONVIF, etc. “removes vendor lock-in”). </w:t>
      </w:r>
      <w:hyperlink r:id="rId29" w:tgtFrame="_blank" w:history="1">
        <w:r w:rsidRPr="00A474A1">
          <w:rPr>
            <w:rStyle w:val="Hyperlink"/>
          </w:rPr>
          <w:t>advancedradartechnologies.com</w:t>
        </w:r>
      </w:hyperlink>
      <w:r w:rsidRPr="00A474A1">
        <w:t xml:space="preserve"> So not every proprietary option is a trap; the risk is when your architecture and contracts let the proprietary path quietly become the only path that really works.</w:t>
      </w:r>
    </w:p>
    <w:p w14:paraId="2E351663" w14:textId="77777777" w:rsidR="00A474A1" w:rsidRDefault="00A474A1"/>
    <w:p w14:paraId="4EA96650" w14:textId="77777777" w:rsidR="00A474A1" w:rsidRDefault="00A474A1"/>
    <w:p w14:paraId="1053C313" w14:textId="77777777" w:rsidR="00A474A1" w:rsidRDefault="00A474A1">
      <w:pPr>
        <w:pBdr>
          <w:bottom w:val="single" w:sz="6" w:space="1" w:color="auto"/>
        </w:pBdr>
      </w:pPr>
    </w:p>
    <w:p w14:paraId="2B73D69C" w14:textId="7A8BC96E" w:rsidR="00A474A1" w:rsidRDefault="00A474A1">
      <w:r w:rsidRPr="00A474A1">
        <w:t xml:space="preserve">Berg Insight estimates DJI has </w:t>
      </w:r>
      <w:r w:rsidRPr="00A474A1">
        <w:rPr>
          <w:b/>
          <w:bCs/>
        </w:rPr>
        <w:t>~70% market share of the global drone market as of 2024</w:t>
      </w:r>
      <w:r w:rsidRPr="00A474A1">
        <w:t>.</w:t>
      </w:r>
    </w:p>
    <w:p w14:paraId="7C0AFA0F" w14:textId="37205217" w:rsidR="00A474A1" w:rsidRDefault="00A474A1">
      <w:r>
        <w:t>--</w:t>
      </w:r>
    </w:p>
    <w:p w14:paraId="2C74C1E2" w14:textId="2650F59F" w:rsidR="00A474A1" w:rsidRDefault="00A13927">
      <w:r w:rsidRPr="00A13927">
        <w:t xml:space="preserve">vendors (example: </w:t>
      </w:r>
      <w:proofErr w:type="spellStart"/>
      <w:r w:rsidRPr="00A13927">
        <w:t>Sentrycs</w:t>
      </w:r>
      <w:proofErr w:type="spellEnd"/>
      <w:r w:rsidRPr="00A13927">
        <w:t>) even market “avoid vendor lock-in” as a buyer tip — which is telling: it’s a live market pressure point, not a theoretical worry.</w:t>
      </w:r>
    </w:p>
    <w:p w14:paraId="1D064D2E" w14:textId="77777777" w:rsidR="00A13927" w:rsidRDefault="00A13927">
      <w:pPr>
        <w:pBdr>
          <w:bottom w:val="single" w:sz="6" w:space="1" w:color="auto"/>
        </w:pBdr>
      </w:pPr>
    </w:p>
    <w:p w14:paraId="68BFDE59" w14:textId="77777777" w:rsidR="00A13927" w:rsidRDefault="00A13927"/>
    <w:p w14:paraId="35684D95" w14:textId="77777777" w:rsidR="00070F50" w:rsidRDefault="00070F50"/>
    <w:p w14:paraId="106800A9" w14:textId="2D65689E" w:rsidR="00070F50" w:rsidRDefault="00070F50">
      <w:r>
        <w:t xml:space="preserve">World beyond </w:t>
      </w:r>
      <w:proofErr w:type="spellStart"/>
      <w:r>
        <w:t>asterix</w:t>
      </w:r>
      <w:proofErr w:type="spellEnd"/>
      <w:r>
        <w:t xml:space="preserve"> and obelisk</w:t>
      </w:r>
    </w:p>
    <w:p w14:paraId="79733AE1" w14:textId="77777777" w:rsidR="00070F50" w:rsidRDefault="00070F50"/>
    <w:p w14:paraId="26E3EB9E" w14:textId="77777777" w:rsidR="00A84ABC" w:rsidRDefault="00A84ABC"/>
    <w:p w14:paraId="01093B30" w14:textId="36779135" w:rsidR="00A84ABC" w:rsidRDefault="00A84ABC">
      <w:r>
        <w:t xml:space="preserve">Asterix ja </w:t>
      </w:r>
      <w:proofErr w:type="spellStart"/>
      <w:r>
        <w:t>obelix</w:t>
      </w:r>
      <w:proofErr w:type="spellEnd"/>
      <w:r>
        <w:t xml:space="preserve"> </w:t>
      </w:r>
      <w:proofErr w:type="spellStart"/>
      <w:r>
        <w:t>ei</w:t>
      </w:r>
      <w:proofErr w:type="spellEnd"/>
      <w:r>
        <w:t xml:space="preserve"> </w:t>
      </w:r>
      <w:proofErr w:type="spellStart"/>
      <w:r>
        <w:t>päästa</w:t>
      </w:r>
      <w:proofErr w:type="spellEnd"/>
      <w:r>
        <w:t xml:space="preserve"> </w:t>
      </w:r>
      <w:proofErr w:type="spellStart"/>
      <w:r>
        <w:t>päeva</w:t>
      </w:r>
      <w:proofErr w:type="spellEnd"/>
    </w:p>
    <w:p w14:paraId="3F101504" w14:textId="77777777" w:rsidR="00A84ABC" w:rsidRDefault="00A84ABC"/>
    <w:p w14:paraId="42089E1B" w14:textId="77777777" w:rsidR="00070F50" w:rsidRPr="00070F50" w:rsidRDefault="00070F50" w:rsidP="00070F50">
      <w:r w:rsidRPr="00070F50">
        <w:t xml:space="preserve">Cambridge Pixel (a radar middleware vendor) bluntly explains why proprietary formats happen: </w:t>
      </w:r>
      <w:r w:rsidRPr="00070F50">
        <w:rPr>
          <w:b/>
          <w:bCs/>
        </w:rPr>
        <w:t>radar manufacturers want to control what can connect to their sensor</w:t>
      </w:r>
      <w:r w:rsidRPr="00070F50">
        <w:t xml:space="preserve">, which makes interoperability hard and can “limit the available choices for associated equipment.” </w:t>
      </w:r>
      <w:hyperlink r:id="rId30" w:tgtFrame="_blank" w:history="1">
        <w:r w:rsidRPr="00070F50">
          <w:rPr>
            <w:rStyle w:val="Hyperlink"/>
          </w:rPr>
          <w:t>Cambridge Pixel</w:t>
        </w:r>
      </w:hyperlink>
    </w:p>
    <w:p w14:paraId="5FA637B7" w14:textId="77777777" w:rsidR="00070F50" w:rsidRPr="00070F50" w:rsidRDefault="00070F50" w:rsidP="00070F50">
      <w:r w:rsidRPr="00070F50">
        <w:lastRenderedPageBreak/>
        <w:t xml:space="preserve">Then the </w:t>
      </w:r>
      <w:r w:rsidRPr="00070F50">
        <w:rPr>
          <w:i/>
          <w:iCs/>
        </w:rPr>
        <w:t>extra spicy</w:t>
      </w:r>
      <w:r w:rsidRPr="00070F50">
        <w:t xml:space="preserve"> part: even when you use </w:t>
      </w:r>
      <w:r w:rsidRPr="00070F50">
        <w:rPr>
          <w:b/>
          <w:bCs/>
        </w:rPr>
        <w:t>ASTERIX CAT-240</w:t>
      </w:r>
      <w:r w:rsidRPr="00070F50">
        <w:t xml:space="preserve">, the standard defines the packet structure but </w:t>
      </w:r>
      <w:r w:rsidRPr="00070F50">
        <w:rPr>
          <w:b/>
          <w:bCs/>
        </w:rPr>
        <w:t>does not define a compression standard</w:t>
      </w:r>
      <w:r w:rsidRPr="00070F50">
        <w:t xml:space="preserve"> — so interoperability can still break if vendors choose different compression methods. </w:t>
      </w:r>
      <w:hyperlink r:id="rId31" w:tgtFrame="_blank" w:history="1">
        <w:r w:rsidRPr="00070F50">
          <w:rPr>
            <w:rStyle w:val="Hyperlink"/>
          </w:rPr>
          <w:t>Cambridge Pixel</w:t>
        </w:r>
      </w:hyperlink>
    </w:p>
    <w:p w14:paraId="06B45362" w14:textId="77777777" w:rsidR="00070F50" w:rsidRPr="00070F50" w:rsidRDefault="00070F50" w:rsidP="00070F50">
      <w:r w:rsidRPr="00070F50">
        <w:rPr>
          <w:b/>
          <w:bCs/>
        </w:rPr>
        <w:t>Example lock-in #2 (Radar video / “standard” CAT-240):</w:t>
      </w:r>
    </w:p>
    <w:p w14:paraId="4EEF794B" w14:textId="77777777" w:rsidR="00070F50" w:rsidRPr="00070F50" w:rsidRDefault="00070F50" w:rsidP="00070F50">
      <w:pPr>
        <w:numPr>
          <w:ilvl w:val="0"/>
          <w:numId w:val="11"/>
        </w:numPr>
      </w:pPr>
      <w:r w:rsidRPr="00070F50">
        <w:t>Procurement says: “No worries, it’s ASTERIX CAT-240, so we’re open!”</w:t>
      </w:r>
    </w:p>
    <w:p w14:paraId="540D0FE8" w14:textId="77777777" w:rsidR="00070F50" w:rsidRPr="00070F50" w:rsidRDefault="00070F50" w:rsidP="00070F50">
      <w:pPr>
        <w:numPr>
          <w:ilvl w:val="0"/>
          <w:numId w:val="11"/>
        </w:numPr>
      </w:pPr>
      <w:r w:rsidRPr="00070F50">
        <w:t>Vendor A outputs CAT-240 with compression/settings your chosen C2 doesn’t support (or only supports with Vendor A’s SDK/gateway).</w:t>
      </w:r>
    </w:p>
    <w:p w14:paraId="14281312" w14:textId="77777777" w:rsidR="00070F50" w:rsidRPr="00070F50" w:rsidRDefault="00070F50" w:rsidP="00070F50">
      <w:pPr>
        <w:numPr>
          <w:ilvl w:val="0"/>
          <w:numId w:val="11"/>
        </w:numPr>
      </w:pPr>
      <w:r w:rsidRPr="00070F50">
        <w:t>You end up buying the vendor’s decoder, gateway, or “integration service” anyway.</w:t>
      </w:r>
    </w:p>
    <w:p w14:paraId="60706092" w14:textId="77777777" w:rsidR="00070F50" w:rsidRPr="00070F50" w:rsidRDefault="00070F50" w:rsidP="00070F50">
      <w:r w:rsidRPr="00070F50">
        <w:t xml:space="preserve">And to show this isn’t hypothetical, you can see how many </w:t>
      </w:r>
      <w:r w:rsidRPr="00070F50">
        <w:rPr>
          <w:i/>
          <w:iCs/>
        </w:rPr>
        <w:t>named vendor formats</w:t>
      </w:r>
      <w:r w:rsidRPr="00070F50">
        <w:t xml:space="preserve"> exist in the wild: Saab AMB LAN Data, Raytheon </w:t>
      </w:r>
      <w:proofErr w:type="spellStart"/>
      <w:r w:rsidRPr="00070F50">
        <w:t>Nautoscan</w:t>
      </w:r>
      <w:proofErr w:type="spellEnd"/>
      <w:r w:rsidRPr="00070F50">
        <w:t xml:space="preserve">, Kelvin Hughes / </w:t>
      </w:r>
      <w:proofErr w:type="spellStart"/>
      <w:r w:rsidRPr="00070F50">
        <w:t>Hensoldt</w:t>
      </w:r>
      <w:proofErr w:type="spellEnd"/>
      <w:r w:rsidRPr="00070F50">
        <w:t xml:space="preserve"> </w:t>
      </w:r>
      <w:proofErr w:type="spellStart"/>
      <w:r w:rsidRPr="00070F50">
        <w:t>SharpEye</w:t>
      </w:r>
      <w:proofErr w:type="spellEnd"/>
      <w:r w:rsidRPr="00070F50">
        <w:t xml:space="preserve">, Sperry VM.net, etc. </w:t>
      </w:r>
      <w:hyperlink r:id="rId32" w:tgtFrame="_blank" w:history="1">
        <w:proofErr w:type="spellStart"/>
        <w:r w:rsidRPr="00070F50">
          <w:rPr>
            <w:rStyle w:val="Hyperlink"/>
          </w:rPr>
          <w:t>dspnor</w:t>
        </w:r>
        <w:proofErr w:type="spellEnd"/>
      </w:hyperlink>
      <w:r w:rsidRPr="00070F50">
        <w:br/>
        <w:t>Those are exactly the kinds of “you can integrate… if you buy the adapter” ecosystems that create long-term switching pain.</w:t>
      </w:r>
    </w:p>
    <w:p w14:paraId="1B173179" w14:textId="77777777" w:rsidR="00070F50" w:rsidRDefault="00070F50"/>
    <w:p w14:paraId="1126442E" w14:textId="77777777" w:rsidR="00070F50" w:rsidRDefault="00070F50"/>
    <w:p w14:paraId="4B89B8FB" w14:textId="77777777" w:rsidR="00581DBC" w:rsidRPr="00581DBC" w:rsidRDefault="00581DBC" w:rsidP="00581DBC">
      <w:pPr>
        <w:pBdr>
          <w:bottom w:val="single" w:sz="6" w:space="1" w:color="auto"/>
        </w:pBdr>
        <w:rPr>
          <w:b/>
          <w:bCs/>
        </w:rPr>
      </w:pPr>
      <w:r w:rsidRPr="00581DBC">
        <w:rPr>
          <w:b/>
          <w:bCs/>
        </w:rPr>
        <w:t>Keywords to investigate (to avoid expensive “standards-shaped” traps)</w:t>
      </w:r>
    </w:p>
    <w:p w14:paraId="7D8A4DBF" w14:textId="77777777" w:rsidR="00581DBC" w:rsidRPr="00581DBC" w:rsidRDefault="00581DBC" w:rsidP="00581DBC">
      <w:pPr>
        <w:numPr>
          <w:ilvl w:val="0"/>
          <w:numId w:val="12"/>
        </w:numPr>
        <w:pBdr>
          <w:bottom w:val="single" w:sz="6" w:space="1" w:color="auto"/>
        </w:pBdr>
      </w:pPr>
      <w:r w:rsidRPr="00581DBC">
        <w:rPr>
          <w:b/>
          <w:bCs/>
        </w:rPr>
        <w:t>“</w:t>
      </w:r>
      <w:proofErr w:type="gramStart"/>
      <w:r w:rsidRPr="00581DBC">
        <w:rPr>
          <w:b/>
          <w:bCs/>
        </w:rPr>
        <w:t>interface</w:t>
      </w:r>
      <w:proofErr w:type="gramEnd"/>
      <w:r w:rsidRPr="00581DBC">
        <w:rPr>
          <w:b/>
          <w:bCs/>
        </w:rPr>
        <w:t xml:space="preserve"> control”, “ICD access”, “profile compliance”, “vendor dialect”</w:t>
      </w:r>
    </w:p>
    <w:p w14:paraId="3DD58D0D" w14:textId="77777777" w:rsidR="00581DBC" w:rsidRPr="00581DBC" w:rsidRDefault="00581DBC" w:rsidP="00581DBC">
      <w:pPr>
        <w:numPr>
          <w:ilvl w:val="0"/>
          <w:numId w:val="12"/>
        </w:numPr>
        <w:pBdr>
          <w:bottom w:val="single" w:sz="6" w:space="1" w:color="auto"/>
        </w:pBdr>
      </w:pPr>
      <w:r w:rsidRPr="00581DBC">
        <w:rPr>
          <w:b/>
          <w:bCs/>
        </w:rPr>
        <w:t>“</w:t>
      </w:r>
      <w:proofErr w:type="gramStart"/>
      <w:r w:rsidRPr="00581DBC">
        <w:rPr>
          <w:b/>
          <w:bCs/>
        </w:rPr>
        <w:t>key</w:t>
      </w:r>
      <w:proofErr w:type="gramEnd"/>
      <w:r w:rsidRPr="00581DBC">
        <w:rPr>
          <w:b/>
          <w:bCs/>
        </w:rPr>
        <w:t xml:space="preserve"> management”, “certificate / dongle”, “offline mode”, “server dependency”</w:t>
      </w:r>
    </w:p>
    <w:p w14:paraId="4490FE85" w14:textId="77777777" w:rsidR="00581DBC" w:rsidRPr="00581DBC" w:rsidRDefault="00581DBC" w:rsidP="00581DBC">
      <w:pPr>
        <w:numPr>
          <w:ilvl w:val="0"/>
          <w:numId w:val="12"/>
        </w:numPr>
        <w:pBdr>
          <w:bottom w:val="single" w:sz="6" w:space="1" w:color="auto"/>
        </w:pBdr>
      </w:pPr>
      <w:r w:rsidRPr="00581DBC">
        <w:rPr>
          <w:b/>
          <w:bCs/>
        </w:rPr>
        <w:t>“ASTERIX CAT-240 compression”, “CAT-240 interoperability”, “ZLIB / proprietary compression”</w:t>
      </w:r>
    </w:p>
    <w:p w14:paraId="09810325" w14:textId="77777777" w:rsidR="00581DBC" w:rsidRPr="00581DBC" w:rsidRDefault="00581DBC" w:rsidP="00581DBC">
      <w:pPr>
        <w:numPr>
          <w:ilvl w:val="0"/>
          <w:numId w:val="12"/>
        </w:numPr>
        <w:pBdr>
          <w:bottom w:val="single" w:sz="6" w:space="1" w:color="auto"/>
        </w:pBdr>
      </w:pPr>
      <w:r w:rsidRPr="00581DBC">
        <w:rPr>
          <w:b/>
          <w:bCs/>
        </w:rPr>
        <w:t>“</w:t>
      </w:r>
      <w:proofErr w:type="gramStart"/>
      <w:r w:rsidRPr="00581DBC">
        <w:rPr>
          <w:b/>
          <w:bCs/>
        </w:rPr>
        <w:t>gateway</w:t>
      </w:r>
      <w:proofErr w:type="gramEnd"/>
      <w:r w:rsidRPr="00581DBC">
        <w:rPr>
          <w:b/>
          <w:bCs/>
        </w:rPr>
        <w:t xml:space="preserve"> requirement”, “SDK licensing”, “API rate limits”, “feature-flag licensing”</w:t>
      </w:r>
    </w:p>
    <w:p w14:paraId="35625937" w14:textId="77777777" w:rsidR="00581DBC" w:rsidRPr="00581DBC" w:rsidRDefault="00581DBC" w:rsidP="00581DBC">
      <w:pPr>
        <w:numPr>
          <w:ilvl w:val="0"/>
          <w:numId w:val="12"/>
        </w:numPr>
        <w:pBdr>
          <w:bottom w:val="single" w:sz="6" w:space="1" w:color="auto"/>
        </w:pBdr>
      </w:pPr>
      <w:r w:rsidRPr="00581DBC">
        <w:rPr>
          <w:b/>
          <w:bCs/>
        </w:rPr>
        <w:t>“</w:t>
      </w:r>
      <w:proofErr w:type="gramStart"/>
      <w:r w:rsidRPr="00581DBC">
        <w:rPr>
          <w:b/>
          <w:bCs/>
        </w:rPr>
        <w:t>conformance</w:t>
      </w:r>
      <w:proofErr w:type="gramEnd"/>
      <w:r w:rsidRPr="00581DBC">
        <w:rPr>
          <w:b/>
          <w:bCs/>
        </w:rPr>
        <w:t xml:space="preserve"> test suite”, “reference implementation”, “interoperability test event”</w:t>
      </w:r>
    </w:p>
    <w:p w14:paraId="4D3B1C86" w14:textId="77777777" w:rsidR="00070F50" w:rsidRDefault="00070F50">
      <w:pPr>
        <w:pBdr>
          <w:bottom w:val="single" w:sz="6" w:space="1" w:color="auto"/>
        </w:pBdr>
      </w:pPr>
    </w:p>
    <w:p w14:paraId="2601FEBE" w14:textId="77777777" w:rsidR="00581DBC" w:rsidRDefault="00581DBC">
      <w:pPr>
        <w:pBdr>
          <w:bottom w:val="single" w:sz="6" w:space="1" w:color="auto"/>
        </w:pBdr>
      </w:pPr>
    </w:p>
    <w:p w14:paraId="6AC9E69B" w14:textId="77777777" w:rsidR="00581DBC" w:rsidRDefault="00581DBC">
      <w:pPr>
        <w:pBdr>
          <w:bottom w:val="single" w:sz="6" w:space="1" w:color="auto"/>
        </w:pBdr>
      </w:pPr>
    </w:p>
    <w:p w14:paraId="0E311EBE" w14:textId="77777777" w:rsidR="00F67E77" w:rsidRDefault="00F67E77">
      <w:pPr>
        <w:pBdr>
          <w:bottom w:val="single" w:sz="6" w:space="1" w:color="auto"/>
        </w:pBdr>
      </w:pPr>
    </w:p>
    <w:p w14:paraId="5FFA42AB" w14:textId="03B2B78E" w:rsidR="00F67E77" w:rsidRDefault="00F67E77">
      <w:pPr>
        <w:pBdr>
          <w:bottom w:val="single" w:sz="6" w:space="1" w:color="auto"/>
        </w:pBdr>
      </w:pPr>
      <w:proofErr w:type="spellStart"/>
      <w:r>
        <w:t>Pamsa</w:t>
      </w:r>
      <w:proofErr w:type="spellEnd"/>
      <w:r>
        <w:t xml:space="preserve"> warnings</w:t>
      </w:r>
    </w:p>
    <w:p w14:paraId="659FB841" w14:textId="77777777" w:rsidR="00F67E77" w:rsidRDefault="00F67E77">
      <w:pPr>
        <w:pBdr>
          <w:bottom w:val="single" w:sz="6" w:space="1" w:color="auto"/>
        </w:pBdr>
      </w:pPr>
    </w:p>
    <w:p w14:paraId="4E12D7BD" w14:textId="77777777" w:rsidR="00F67E77" w:rsidRDefault="00F67E77">
      <w:pPr>
        <w:pBdr>
          <w:bottom w:val="single" w:sz="6" w:space="1" w:color="auto"/>
        </w:pBdr>
      </w:pPr>
    </w:p>
    <w:p w14:paraId="75DA50D5" w14:textId="77777777" w:rsidR="00561618" w:rsidRPr="00561618" w:rsidRDefault="00561618" w:rsidP="00561618">
      <w:pPr>
        <w:rPr>
          <w:b/>
          <w:bCs/>
        </w:rPr>
      </w:pPr>
      <w:r w:rsidRPr="00561618">
        <w:rPr>
          <w:b/>
          <w:bCs/>
        </w:rPr>
        <w:t>What “open C2” means in C-UAS (in practice)</w:t>
      </w:r>
    </w:p>
    <w:p w14:paraId="535BF1EA" w14:textId="77777777" w:rsidR="00561618" w:rsidRPr="00561618" w:rsidRDefault="00561618" w:rsidP="00561618">
      <w:r w:rsidRPr="00561618">
        <w:t xml:space="preserve">In a C-UAS stack, </w:t>
      </w:r>
      <w:r w:rsidRPr="00561618">
        <w:rPr>
          <w:b/>
          <w:bCs/>
        </w:rPr>
        <w:t>C2 is not just a map UI</w:t>
      </w:r>
      <w:r w:rsidRPr="00561618">
        <w:t xml:space="preserve">; it’s the </w:t>
      </w:r>
      <w:r w:rsidRPr="00561618">
        <w:rPr>
          <w:b/>
          <w:bCs/>
        </w:rPr>
        <w:t>integration + correlation + workflow brain</w:t>
      </w:r>
      <w:r w:rsidRPr="00561618">
        <w:t>: fusing radar/RF/EO/IR/Remote ID/ADS-B, running tracking/behavior logic, pushing cues/tasking to effectors, logging incidents, and bridging into enterprise systems.</w:t>
      </w:r>
    </w:p>
    <w:p w14:paraId="095C85A3" w14:textId="77777777" w:rsidR="00561618" w:rsidRPr="00561618" w:rsidRDefault="00561618" w:rsidP="00561618">
      <w:r w:rsidRPr="00561618">
        <w:t xml:space="preserve">Vendors use </w:t>
      </w:r>
      <w:r w:rsidRPr="00561618">
        <w:rPr>
          <w:b/>
          <w:bCs/>
        </w:rPr>
        <w:t>“open C2 / open architecture”</w:t>
      </w:r>
      <w:r w:rsidRPr="00561618">
        <w:t xml:space="preserve"> to mean some mix of:</w:t>
      </w:r>
    </w:p>
    <w:p w14:paraId="3D7F79B5" w14:textId="77777777" w:rsidR="00561618" w:rsidRPr="00561618" w:rsidRDefault="00561618" w:rsidP="00561618">
      <w:pPr>
        <w:numPr>
          <w:ilvl w:val="0"/>
          <w:numId w:val="13"/>
        </w:numPr>
      </w:pPr>
      <w:r w:rsidRPr="00561618">
        <w:rPr>
          <w:b/>
          <w:bCs/>
        </w:rPr>
        <w:t>Documented APIs</w:t>
      </w:r>
      <w:r w:rsidRPr="00561618">
        <w:t xml:space="preserve"> for ingest/export (often REST/Webhooks, sometimes SAPIENT/ASTERIX adapters).</w:t>
      </w:r>
    </w:p>
    <w:p w14:paraId="5E6CF722" w14:textId="77777777" w:rsidR="00561618" w:rsidRPr="00561618" w:rsidRDefault="00561618" w:rsidP="00561618">
      <w:pPr>
        <w:numPr>
          <w:ilvl w:val="0"/>
          <w:numId w:val="13"/>
        </w:numPr>
      </w:pPr>
      <w:r w:rsidRPr="00561618">
        <w:t xml:space="preserve">Ability to integrate “best-of-breed technologies” without being restricted to one product line (their claim). </w:t>
      </w:r>
      <w:hyperlink r:id="rId33" w:tgtFrame="_blank" w:history="1">
        <w:proofErr w:type="spellStart"/>
        <w:r w:rsidRPr="00561618">
          <w:rPr>
            <w:rStyle w:val="Hyperlink"/>
          </w:rPr>
          <w:t>AirSight</w:t>
        </w:r>
        <w:proofErr w:type="spellEnd"/>
      </w:hyperlink>
    </w:p>
    <w:p w14:paraId="1551C026" w14:textId="77777777" w:rsidR="00561618" w:rsidRPr="00561618" w:rsidRDefault="00561618" w:rsidP="00561618">
      <w:pPr>
        <w:numPr>
          <w:ilvl w:val="0"/>
          <w:numId w:val="13"/>
        </w:numPr>
      </w:pPr>
      <w:r w:rsidRPr="00561618">
        <w:t xml:space="preserve">Modular components that can evolve over time (industry framing). </w:t>
      </w:r>
      <w:hyperlink r:id="rId34" w:tgtFrame="_blank" w:history="1">
        <w:r w:rsidRPr="00561618">
          <w:rPr>
            <w:rStyle w:val="Hyperlink"/>
          </w:rPr>
          <w:t>D-Fend Solutions</w:t>
        </w:r>
      </w:hyperlink>
    </w:p>
    <w:p w14:paraId="7C4541C0" w14:textId="77777777" w:rsidR="00561618" w:rsidRPr="00561618" w:rsidRDefault="00561618" w:rsidP="00561618">
      <w:r w:rsidRPr="00561618">
        <w:t xml:space="preserve">The catch: “open” often describes </w:t>
      </w:r>
      <w:r w:rsidRPr="00561618">
        <w:rPr>
          <w:b/>
          <w:bCs/>
        </w:rPr>
        <w:t>ingest/export</w:t>
      </w:r>
      <w:r w:rsidRPr="00561618">
        <w:t xml:space="preserve">, while the </w:t>
      </w:r>
      <w:r w:rsidRPr="00561618">
        <w:rPr>
          <w:b/>
          <w:bCs/>
        </w:rPr>
        <w:t>core fusion model + workflows remain proprietary</w:t>
      </w:r>
      <w:r w:rsidRPr="00561618">
        <w:t xml:space="preserve"> (where lock-in actually lives).</w:t>
      </w:r>
    </w:p>
    <w:p w14:paraId="07F85BB0" w14:textId="77777777" w:rsidR="00561618" w:rsidRPr="00561618" w:rsidRDefault="00561618" w:rsidP="00561618">
      <w:r w:rsidRPr="00561618">
        <w:pict w14:anchorId="4395F7C3">
          <v:rect id="_x0000_i1043" style="width:0;height:1.5pt" o:hralign="center" o:hrstd="t" o:hr="t" fillcolor="#a0a0a0" stroked="f"/>
        </w:pict>
      </w:r>
    </w:p>
    <w:p w14:paraId="5DE22901" w14:textId="77777777" w:rsidR="00561618" w:rsidRPr="00561618" w:rsidRDefault="00561618" w:rsidP="00561618">
      <w:pPr>
        <w:rPr>
          <w:b/>
          <w:bCs/>
        </w:rPr>
      </w:pPr>
      <w:r w:rsidRPr="00561618">
        <w:rPr>
          <w:b/>
          <w:bCs/>
        </w:rPr>
        <w:t>What “bundled C2” is (and why it’s sticky)</w:t>
      </w:r>
    </w:p>
    <w:p w14:paraId="484C02CC" w14:textId="77777777" w:rsidR="00561618" w:rsidRPr="00561618" w:rsidRDefault="00561618" w:rsidP="00561618">
      <w:r w:rsidRPr="00561618">
        <w:t xml:space="preserve">“Bundled C2” usually means a </w:t>
      </w:r>
      <w:r w:rsidRPr="00561618">
        <w:rPr>
          <w:b/>
          <w:bCs/>
        </w:rPr>
        <w:t>sensor vendor throws in a C2</w:t>
      </w:r>
      <w:r w:rsidRPr="00561618">
        <w:t xml:space="preserve"> (free/cheap) as a “viewer” for </w:t>
      </w:r>
      <w:r w:rsidRPr="00561618">
        <w:rPr>
          <w:i/>
          <w:iCs/>
        </w:rPr>
        <w:t>their</w:t>
      </w:r>
      <w:r w:rsidRPr="00561618">
        <w:t xml:space="preserve"> radar/RF/camera.</w:t>
      </w:r>
    </w:p>
    <w:p w14:paraId="27143A7B" w14:textId="77777777" w:rsidR="00561618" w:rsidRPr="00561618" w:rsidRDefault="00561618" w:rsidP="00561618">
      <w:r w:rsidRPr="00561618">
        <w:t xml:space="preserve">OSL describes this pattern explicitly: </w:t>
      </w:r>
      <w:r w:rsidRPr="00561618">
        <w:rPr>
          <w:i/>
          <w:iCs/>
        </w:rPr>
        <w:t>“Some sensor providers offer bundled C2 solutions as complimentary add-ons or at minimal cost,”</w:t>
      </w:r>
      <w:r w:rsidRPr="00561618">
        <w:t xml:space="preserve"> which can create the misconception that C2 is “merely a visual interface.” </w:t>
      </w:r>
      <w:hyperlink r:id="rId35" w:tgtFrame="_blank" w:history="1">
        <w:r w:rsidRPr="00561618">
          <w:rPr>
            <w:rStyle w:val="Hyperlink"/>
          </w:rPr>
          <w:t>OSL Technology</w:t>
        </w:r>
      </w:hyperlink>
    </w:p>
    <w:p w14:paraId="4E144983" w14:textId="77777777" w:rsidR="00561618" w:rsidRPr="00561618" w:rsidRDefault="00561618" w:rsidP="00561618">
      <w:r w:rsidRPr="00561618">
        <w:t>They then list “hidden risks” of bundled C2—including the one you care about most:</w:t>
      </w:r>
      <w:r w:rsidRPr="00561618">
        <w:br/>
      </w:r>
      <w:r w:rsidRPr="00561618">
        <w:rPr>
          <w:i/>
          <w:iCs/>
        </w:rPr>
        <w:t xml:space="preserve">“Most sensor manufacturers design their C2 systems to </w:t>
      </w:r>
      <w:proofErr w:type="spellStart"/>
      <w:r w:rsidRPr="00561618">
        <w:rPr>
          <w:i/>
          <w:iCs/>
        </w:rPr>
        <w:t>prioritise</w:t>
      </w:r>
      <w:proofErr w:type="spellEnd"/>
      <w:r w:rsidRPr="00561618">
        <w:rPr>
          <w:i/>
          <w:iCs/>
        </w:rPr>
        <w:t xml:space="preserve"> compatibility with their own hardware,”</w:t>
      </w:r>
      <w:r w:rsidRPr="00561618">
        <w:t xml:space="preserve"> leading to </w:t>
      </w:r>
      <w:r w:rsidRPr="00561618">
        <w:rPr>
          <w:b/>
          <w:bCs/>
        </w:rPr>
        <w:t>restricted cross-vendor sensor integration</w:t>
      </w:r>
      <w:r w:rsidRPr="00561618">
        <w:t xml:space="preserve"> and </w:t>
      </w:r>
      <w:r w:rsidRPr="00561618">
        <w:rPr>
          <w:b/>
          <w:bCs/>
        </w:rPr>
        <w:t>poor multi-sensor fusion</w:t>
      </w:r>
      <w:r w:rsidRPr="00561618">
        <w:t xml:space="preserve">, making upgrades “costly or impractical.” </w:t>
      </w:r>
      <w:hyperlink r:id="rId36" w:tgtFrame="_blank" w:history="1">
        <w:r w:rsidRPr="00561618">
          <w:rPr>
            <w:rStyle w:val="Hyperlink"/>
          </w:rPr>
          <w:t>OSL Technology</w:t>
        </w:r>
      </w:hyperlink>
    </w:p>
    <w:p w14:paraId="7B5515B5" w14:textId="77777777" w:rsidR="00561618" w:rsidRPr="00561618" w:rsidRDefault="00561618" w:rsidP="00561618">
      <w:proofErr w:type="spellStart"/>
      <w:r w:rsidRPr="00561618">
        <w:t>AirSentinel</w:t>
      </w:r>
      <w:proofErr w:type="spellEnd"/>
      <w:r w:rsidRPr="00561618">
        <w:t xml:space="preserve"> (airport-focused) calls this the “Flexibility Trap”: airports pick “complete solutions” and later discover </w:t>
      </w:r>
      <w:r w:rsidRPr="00561618">
        <w:rPr>
          <w:i/>
          <w:iCs/>
        </w:rPr>
        <w:t>“proprietary system couldn’t integrate newer sensor technologies,”</w:t>
      </w:r>
      <w:r w:rsidRPr="00561618">
        <w:t xml:space="preserve"> forcing platform replacement at a multiple of original cost. </w:t>
      </w:r>
      <w:hyperlink r:id="rId37" w:tgtFrame="_blank" w:history="1">
        <w:proofErr w:type="spellStart"/>
        <w:r w:rsidRPr="00561618">
          <w:rPr>
            <w:rStyle w:val="Hyperlink"/>
          </w:rPr>
          <w:t>AirSentinel</w:t>
        </w:r>
        <w:proofErr w:type="spellEnd"/>
      </w:hyperlink>
    </w:p>
    <w:p w14:paraId="0A2EA8E8" w14:textId="77777777" w:rsidR="00561618" w:rsidRPr="00561618" w:rsidRDefault="00561618" w:rsidP="00561618">
      <w:r w:rsidRPr="00561618">
        <w:pict w14:anchorId="6B4ED458">
          <v:rect id="_x0000_i1044" style="width:0;height:1.5pt" o:hralign="center" o:hrstd="t" o:hr="t" fillcolor="#a0a0a0" stroked="f"/>
        </w:pict>
      </w:r>
    </w:p>
    <w:p w14:paraId="3B129257" w14:textId="77777777" w:rsidR="00561618" w:rsidRPr="00561618" w:rsidRDefault="00561618" w:rsidP="00561618">
      <w:pPr>
        <w:rPr>
          <w:b/>
          <w:bCs/>
        </w:rPr>
      </w:pPr>
      <w:r w:rsidRPr="00561618">
        <w:rPr>
          <w:b/>
          <w:bCs/>
        </w:rPr>
        <w:t>The most common “slippery slopes” with open C2 + bundling</w:t>
      </w:r>
    </w:p>
    <w:p w14:paraId="5284E713" w14:textId="77777777" w:rsidR="00561618" w:rsidRPr="00561618" w:rsidRDefault="00561618" w:rsidP="00561618">
      <w:pPr>
        <w:rPr>
          <w:b/>
          <w:bCs/>
        </w:rPr>
      </w:pPr>
      <w:r w:rsidRPr="00561618">
        <w:rPr>
          <w:b/>
          <w:bCs/>
        </w:rPr>
        <w:t>1) “Open” only at the edges (export/ingest), proprietary in the middle</w:t>
      </w:r>
    </w:p>
    <w:p w14:paraId="4FA1AB14" w14:textId="77777777" w:rsidR="00561618" w:rsidRPr="00561618" w:rsidRDefault="00561618" w:rsidP="00561618">
      <w:pPr>
        <w:numPr>
          <w:ilvl w:val="0"/>
          <w:numId w:val="14"/>
        </w:numPr>
      </w:pPr>
      <w:r w:rsidRPr="00561618">
        <w:lastRenderedPageBreak/>
        <w:t xml:space="preserve">You get tracks/events via API, but </w:t>
      </w:r>
      <w:r w:rsidRPr="00561618">
        <w:rPr>
          <w:b/>
          <w:bCs/>
        </w:rPr>
        <w:t>the canonical truth</w:t>
      </w:r>
      <w:r w:rsidRPr="00561618">
        <w:t xml:space="preserve"> (track correlation, threat scoring, incident model, user workflows) lives in the vendor C2.</w:t>
      </w:r>
    </w:p>
    <w:p w14:paraId="082CFCAE" w14:textId="77777777" w:rsidR="00561618" w:rsidRPr="00561618" w:rsidRDefault="00561618" w:rsidP="00561618">
      <w:pPr>
        <w:numPr>
          <w:ilvl w:val="0"/>
          <w:numId w:val="14"/>
        </w:numPr>
      </w:pPr>
      <w:r w:rsidRPr="00561618">
        <w:t xml:space="preserve">Switching C2 later means </w:t>
      </w:r>
      <w:r w:rsidRPr="00561618">
        <w:rPr>
          <w:b/>
          <w:bCs/>
        </w:rPr>
        <w:t>retraining operators + rewriting integrations + rebuilding SOPs</w:t>
      </w:r>
      <w:r w:rsidRPr="00561618">
        <w:t>.</w:t>
      </w:r>
    </w:p>
    <w:p w14:paraId="40E64D98" w14:textId="77777777" w:rsidR="00561618" w:rsidRPr="00561618" w:rsidRDefault="00561618" w:rsidP="00561618">
      <w:pPr>
        <w:rPr>
          <w:b/>
          <w:bCs/>
        </w:rPr>
      </w:pPr>
      <w:r w:rsidRPr="00561618">
        <w:rPr>
          <w:b/>
          <w:bCs/>
        </w:rPr>
        <w:t>2) Third-party integration exists, but only via paid “professional services”</w:t>
      </w:r>
    </w:p>
    <w:p w14:paraId="5E3B8467" w14:textId="77777777" w:rsidR="00561618" w:rsidRPr="00561618" w:rsidRDefault="00561618" w:rsidP="00561618">
      <w:r w:rsidRPr="00561618">
        <w:t>Red flags:</w:t>
      </w:r>
    </w:p>
    <w:p w14:paraId="2C53487F" w14:textId="77777777" w:rsidR="00561618" w:rsidRPr="00561618" w:rsidRDefault="00561618" w:rsidP="00561618">
      <w:pPr>
        <w:numPr>
          <w:ilvl w:val="0"/>
          <w:numId w:val="15"/>
        </w:numPr>
      </w:pPr>
      <w:r w:rsidRPr="00561618">
        <w:t>“Integration available” but no public schema, no test harness, no reference payloads.</w:t>
      </w:r>
    </w:p>
    <w:p w14:paraId="12110B41" w14:textId="77777777" w:rsidR="00561618" w:rsidRPr="00561618" w:rsidRDefault="00561618" w:rsidP="00561618">
      <w:pPr>
        <w:numPr>
          <w:ilvl w:val="0"/>
          <w:numId w:val="15"/>
        </w:numPr>
      </w:pPr>
      <w:r w:rsidRPr="00561618">
        <w:t>Only “certified partners” can integrate.</w:t>
      </w:r>
      <w:r w:rsidRPr="00561618">
        <w:br/>
        <w:t xml:space="preserve">D-Fend frames the intended goal as interoperability across radar, jammers, kinetic options, and C2 platforms. </w:t>
      </w:r>
      <w:hyperlink r:id="rId38" w:tgtFrame="_blank" w:history="1">
        <w:r w:rsidRPr="00561618">
          <w:rPr>
            <w:rStyle w:val="Hyperlink"/>
          </w:rPr>
          <w:t>D-Fend Solutions</w:t>
        </w:r>
      </w:hyperlink>
      <w:r w:rsidRPr="00561618">
        <w:br/>
        <w:t xml:space="preserve">Bundled C2 often achieves the opposite: it integrates </w:t>
      </w:r>
      <w:r w:rsidRPr="00561618">
        <w:rPr>
          <w:i/>
          <w:iCs/>
        </w:rPr>
        <w:t>their</w:t>
      </w:r>
      <w:r w:rsidRPr="00561618">
        <w:t xml:space="preserve"> pieces first, and others “eventually.”</w:t>
      </w:r>
    </w:p>
    <w:p w14:paraId="32E96B4B" w14:textId="77777777" w:rsidR="00561618" w:rsidRPr="00561618" w:rsidRDefault="00561618" w:rsidP="00561618">
      <w:pPr>
        <w:rPr>
          <w:b/>
          <w:bCs/>
        </w:rPr>
      </w:pPr>
      <w:r w:rsidRPr="00561618">
        <w:rPr>
          <w:b/>
          <w:bCs/>
        </w:rPr>
        <w:t>3) The “free C2” becomes the operational dependency</w:t>
      </w:r>
    </w:p>
    <w:p w14:paraId="3FC5FC4E" w14:textId="77777777" w:rsidR="00561618" w:rsidRPr="00561618" w:rsidRDefault="00561618" w:rsidP="00561618">
      <w:r w:rsidRPr="00561618">
        <w:t xml:space="preserve">OSL’s warning is blunt: bundled C2 is often under-invested (“afterthought”), with minimal updates and performance gaps. </w:t>
      </w:r>
      <w:hyperlink r:id="rId39" w:tgtFrame="_blank" w:history="1">
        <w:r w:rsidRPr="00561618">
          <w:rPr>
            <w:rStyle w:val="Hyperlink"/>
          </w:rPr>
          <w:t>OSL Technology</w:t>
        </w:r>
      </w:hyperlink>
      <w:r w:rsidRPr="00561618">
        <w:br/>
        <w:t>Once your team depends on that UI + workflow, you’re anchored—even if the sensors speak standards.</w:t>
      </w:r>
    </w:p>
    <w:p w14:paraId="296D10EF" w14:textId="77777777" w:rsidR="00561618" w:rsidRPr="00561618" w:rsidRDefault="00561618" w:rsidP="00561618">
      <w:pPr>
        <w:rPr>
          <w:b/>
          <w:bCs/>
        </w:rPr>
      </w:pPr>
      <w:r w:rsidRPr="00561618">
        <w:rPr>
          <w:b/>
          <w:bCs/>
        </w:rPr>
        <w:t>4) Data captivity: incidents, replays, and audit trails are stuck inside the C2</w:t>
      </w:r>
    </w:p>
    <w:p w14:paraId="582F5712" w14:textId="77777777" w:rsidR="00561618" w:rsidRPr="00561618" w:rsidRDefault="00561618" w:rsidP="00561618">
      <w:r w:rsidRPr="00561618">
        <w:t xml:space="preserve">Even if raw detections can be exported, </w:t>
      </w:r>
      <w:r w:rsidRPr="00561618">
        <w:rPr>
          <w:b/>
          <w:bCs/>
        </w:rPr>
        <w:t>incident history</w:t>
      </w:r>
      <w:r w:rsidRPr="00561618">
        <w:t xml:space="preserve"> (annotations, operator actions, response timelines) may not be portable in a neutral format. That’s where procurement teams get surprised later.</w:t>
      </w:r>
    </w:p>
    <w:p w14:paraId="2B2C3ADC" w14:textId="77777777" w:rsidR="00561618" w:rsidRPr="00561618" w:rsidRDefault="00561618" w:rsidP="00561618">
      <w:pPr>
        <w:rPr>
          <w:b/>
          <w:bCs/>
        </w:rPr>
      </w:pPr>
      <w:r w:rsidRPr="00561618">
        <w:rPr>
          <w:b/>
          <w:bCs/>
        </w:rPr>
        <w:t>5) “Open architecture” marketing without measurable interoperability requirements</w:t>
      </w:r>
    </w:p>
    <w:p w14:paraId="5ADAE449" w14:textId="77777777" w:rsidR="00561618" w:rsidRPr="00561618" w:rsidRDefault="00561618" w:rsidP="00561618">
      <w:proofErr w:type="spellStart"/>
      <w:r w:rsidRPr="00561618">
        <w:t>Airsight</w:t>
      </w:r>
      <w:proofErr w:type="spellEnd"/>
      <w:r w:rsidRPr="00561618">
        <w:t xml:space="preserve"> explicitly contrasts “walled garden” systems with open-API integration, calling out </w:t>
      </w:r>
      <w:r w:rsidRPr="00561618">
        <w:rPr>
          <w:b/>
          <w:bCs/>
        </w:rPr>
        <w:t>vendor lock-in</w:t>
      </w:r>
      <w:r w:rsidRPr="00561618">
        <w:t xml:space="preserve"> and </w:t>
      </w:r>
      <w:r w:rsidRPr="00561618">
        <w:rPr>
          <w:b/>
          <w:bCs/>
        </w:rPr>
        <w:t>data silos</w:t>
      </w:r>
      <w:r w:rsidRPr="00561618">
        <w:t xml:space="preserve"> as consequences of closed systems. </w:t>
      </w:r>
      <w:hyperlink r:id="rId40" w:tgtFrame="_blank" w:history="1">
        <w:proofErr w:type="spellStart"/>
        <w:r w:rsidRPr="00561618">
          <w:rPr>
            <w:rStyle w:val="Hyperlink"/>
          </w:rPr>
          <w:t>AirSight</w:t>
        </w:r>
        <w:proofErr w:type="spellEnd"/>
      </w:hyperlink>
      <w:r w:rsidRPr="00561618">
        <w:br/>
        <w:t xml:space="preserve">That’s the right direction—but as a buyer you still need to force “open” to be </w:t>
      </w:r>
      <w:r w:rsidRPr="00561618">
        <w:rPr>
          <w:i/>
          <w:iCs/>
        </w:rPr>
        <w:t>provable</w:t>
      </w:r>
      <w:r w:rsidRPr="00561618">
        <w:t>, not aspirational.</w:t>
      </w:r>
    </w:p>
    <w:p w14:paraId="1A74A09C" w14:textId="77777777" w:rsidR="00561618" w:rsidRPr="00561618" w:rsidRDefault="00561618" w:rsidP="00561618">
      <w:r w:rsidRPr="00561618">
        <w:pict w14:anchorId="4A35325F">
          <v:rect id="_x0000_i1045" style="width:0;height:1.5pt" o:hralign="center" o:hrstd="t" o:hr="t" fillcolor="#a0a0a0" stroked="f"/>
        </w:pict>
      </w:r>
    </w:p>
    <w:p w14:paraId="07423D38" w14:textId="77777777" w:rsidR="00561618" w:rsidRPr="00561618" w:rsidRDefault="00561618" w:rsidP="00561618">
      <w:pPr>
        <w:rPr>
          <w:b/>
          <w:bCs/>
        </w:rPr>
      </w:pPr>
      <w:r w:rsidRPr="00561618">
        <w:rPr>
          <w:b/>
          <w:bCs/>
        </w:rPr>
        <w:t>How to turn “open C2” into something you can actually trust</w:t>
      </w:r>
    </w:p>
    <w:p w14:paraId="133337D5" w14:textId="77777777" w:rsidR="00561618" w:rsidRPr="00561618" w:rsidRDefault="00561618" w:rsidP="00561618">
      <w:pPr>
        <w:rPr>
          <w:b/>
          <w:bCs/>
        </w:rPr>
      </w:pPr>
      <w:r w:rsidRPr="00561618">
        <w:rPr>
          <w:b/>
          <w:bCs/>
        </w:rPr>
        <w:t>Requirements that prevent the classic bundling trap</w:t>
      </w:r>
    </w:p>
    <w:p w14:paraId="2EF1997B" w14:textId="77777777" w:rsidR="00561618" w:rsidRPr="00561618" w:rsidRDefault="00561618" w:rsidP="00561618">
      <w:pPr>
        <w:numPr>
          <w:ilvl w:val="0"/>
          <w:numId w:val="16"/>
        </w:numPr>
      </w:pPr>
      <w:r w:rsidRPr="00561618">
        <w:rPr>
          <w:b/>
          <w:bCs/>
        </w:rPr>
        <w:t>Interoperability proof, not promises</w:t>
      </w:r>
    </w:p>
    <w:p w14:paraId="0599D8E2" w14:textId="77777777" w:rsidR="00561618" w:rsidRPr="00561618" w:rsidRDefault="00561618" w:rsidP="00561618">
      <w:pPr>
        <w:numPr>
          <w:ilvl w:val="0"/>
          <w:numId w:val="17"/>
        </w:numPr>
      </w:pPr>
      <w:r w:rsidRPr="00561618">
        <w:lastRenderedPageBreak/>
        <w:t xml:space="preserve">Require a demo integrating </w:t>
      </w:r>
      <w:r w:rsidRPr="00561618">
        <w:rPr>
          <w:b/>
          <w:bCs/>
        </w:rPr>
        <w:t>at least 2 third-party sensors</w:t>
      </w:r>
      <w:r w:rsidRPr="00561618">
        <w:t xml:space="preserve"> + </w:t>
      </w:r>
      <w:r w:rsidRPr="00561618">
        <w:rPr>
          <w:b/>
          <w:bCs/>
        </w:rPr>
        <w:t>1 third-party effector</w:t>
      </w:r>
      <w:r w:rsidRPr="00561618">
        <w:t xml:space="preserve"> + your downstream system (SOC/VMS/PSIM).</w:t>
      </w:r>
    </w:p>
    <w:p w14:paraId="7A21F75E" w14:textId="77777777" w:rsidR="00561618" w:rsidRPr="00561618" w:rsidRDefault="00561618" w:rsidP="00561618">
      <w:pPr>
        <w:numPr>
          <w:ilvl w:val="0"/>
          <w:numId w:val="17"/>
        </w:numPr>
      </w:pPr>
      <w:r w:rsidRPr="00561618">
        <w:t>Make it a pass/fail acceptance milestone (not “roadmap”).</w:t>
      </w:r>
    </w:p>
    <w:p w14:paraId="041BC3DE" w14:textId="77777777" w:rsidR="00561618" w:rsidRPr="00561618" w:rsidRDefault="00561618" w:rsidP="00561618">
      <w:pPr>
        <w:numPr>
          <w:ilvl w:val="0"/>
          <w:numId w:val="18"/>
        </w:numPr>
      </w:pPr>
      <w:r w:rsidRPr="00561618">
        <w:rPr>
          <w:b/>
          <w:bCs/>
        </w:rPr>
        <w:t>No paid gatekeeping for “open”</w:t>
      </w:r>
    </w:p>
    <w:p w14:paraId="3835D2B9" w14:textId="77777777" w:rsidR="00561618" w:rsidRPr="00561618" w:rsidRDefault="00561618" w:rsidP="00561618">
      <w:pPr>
        <w:numPr>
          <w:ilvl w:val="0"/>
          <w:numId w:val="19"/>
        </w:numPr>
      </w:pPr>
      <w:r w:rsidRPr="00561618">
        <w:t xml:space="preserve">If integration requires vendor PS hours, require capped rates + delivery of </w:t>
      </w:r>
      <w:r w:rsidRPr="00561618">
        <w:rPr>
          <w:b/>
          <w:bCs/>
        </w:rPr>
        <w:t>schemas/ICDs</w:t>
      </w:r>
      <w:r w:rsidRPr="00561618">
        <w:t>, test vectors, and rights to implement adapters independently.</w:t>
      </w:r>
    </w:p>
    <w:p w14:paraId="03E1CA18" w14:textId="77777777" w:rsidR="00561618" w:rsidRPr="00561618" w:rsidRDefault="00561618" w:rsidP="00561618">
      <w:pPr>
        <w:numPr>
          <w:ilvl w:val="0"/>
          <w:numId w:val="20"/>
        </w:numPr>
      </w:pPr>
      <w:r w:rsidRPr="00561618">
        <w:rPr>
          <w:b/>
          <w:bCs/>
        </w:rPr>
        <w:t>Data portability</w:t>
      </w:r>
    </w:p>
    <w:p w14:paraId="0812A7C1" w14:textId="77777777" w:rsidR="00561618" w:rsidRPr="00561618" w:rsidRDefault="00561618" w:rsidP="00561618">
      <w:pPr>
        <w:numPr>
          <w:ilvl w:val="0"/>
          <w:numId w:val="21"/>
        </w:numPr>
      </w:pPr>
      <w:r w:rsidRPr="00561618">
        <w:t xml:space="preserve">Export </w:t>
      </w:r>
      <w:r w:rsidRPr="00561618">
        <w:rPr>
          <w:i/>
          <w:iCs/>
        </w:rPr>
        <w:t>everything</w:t>
      </w:r>
      <w:r w:rsidRPr="00561618">
        <w:t xml:space="preserve"> needed to rebuild history elsewhere: detections, tracks, incidents, annotations, operator actions, configurations, and rule sets (in documented formats).</w:t>
      </w:r>
    </w:p>
    <w:p w14:paraId="4EBA50F5" w14:textId="77777777" w:rsidR="00561618" w:rsidRPr="00561618" w:rsidRDefault="00561618" w:rsidP="00561618">
      <w:pPr>
        <w:numPr>
          <w:ilvl w:val="0"/>
          <w:numId w:val="22"/>
        </w:numPr>
      </w:pPr>
      <w:r w:rsidRPr="00561618">
        <w:rPr>
          <w:b/>
          <w:bCs/>
        </w:rPr>
        <w:t>Decouple fusion from UI</w:t>
      </w:r>
    </w:p>
    <w:p w14:paraId="5CC0A988" w14:textId="77777777" w:rsidR="00561618" w:rsidRPr="00561618" w:rsidRDefault="00561618" w:rsidP="00561618">
      <w:pPr>
        <w:numPr>
          <w:ilvl w:val="0"/>
          <w:numId w:val="23"/>
        </w:numPr>
      </w:pPr>
      <w:r w:rsidRPr="00561618">
        <w:t>Architecturally (and contractually), avoid a design where the only place fusion exists is inside the vendor UI. (</w:t>
      </w:r>
      <w:proofErr w:type="gramStart"/>
      <w:r w:rsidRPr="00561618">
        <w:t>Otherwise</w:t>
      </w:r>
      <w:proofErr w:type="gramEnd"/>
      <w:r w:rsidRPr="00561618">
        <w:t xml:space="preserve"> you replace the UI and lose the brain.)</w:t>
      </w:r>
    </w:p>
    <w:p w14:paraId="6634C123" w14:textId="77777777" w:rsidR="00561618" w:rsidRPr="00561618" w:rsidRDefault="00561618" w:rsidP="00561618">
      <w:pPr>
        <w:rPr>
          <w:b/>
          <w:bCs/>
        </w:rPr>
      </w:pPr>
      <w:r w:rsidRPr="00561618">
        <w:rPr>
          <w:b/>
          <w:bCs/>
        </w:rPr>
        <w:t>Quick “buyer’s checklist” (fast triage)</w:t>
      </w:r>
    </w:p>
    <w:p w14:paraId="10E249CA" w14:textId="77777777" w:rsidR="00561618" w:rsidRPr="00561618" w:rsidRDefault="00561618" w:rsidP="00561618">
      <w:proofErr w:type="spellStart"/>
      <w:r w:rsidRPr="00561618">
        <w:t>AirSentinel’s</w:t>
      </w:r>
      <w:proofErr w:type="spellEnd"/>
      <w:r w:rsidRPr="00561618">
        <w:t xml:space="preserve"> warning signs are a solid heuristic:</w:t>
      </w:r>
    </w:p>
    <w:p w14:paraId="54357757" w14:textId="77777777" w:rsidR="00561618" w:rsidRPr="00561618" w:rsidRDefault="00561618" w:rsidP="00561618">
      <w:pPr>
        <w:numPr>
          <w:ilvl w:val="0"/>
          <w:numId w:val="24"/>
        </w:numPr>
      </w:pPr>
      <w:r w:rsidRPr="00561618">
        <w:t>proprietary data formats/protocols</w:t>
      </w:r>
    </w:p>
    <w:p w14:paraId="22301DD9" w14:textId="77777777" w:rsidR="00561618" w:rsidRPr="00561618" w:rsidRDefault="00561618" w:rsidP="00561618">
      <w:pPr>
        <w:numPr>
          <w:ilvl w:val="0"/>
          <w:numId w:val="24"/>
        </w:numPr>
      </w:pPr>
      <w:r w:rsidRPr="00561618">
        <w:t>inability to integrate third-party sensors</w:t>
      </w:r>
    </w:p>
    <w:p w14:paraId="2AF5CE1F" w14:textId="77777777" w:rsidR="00561618" w:rsidRPr="00561618" w:rsidRDefault="00561618" w:rsidP="00561618">
      <w:pPr>
        <w:numPr>
          <w:ilvl w:val="0"/>
          <w:numId w:val="24"/>
        </w:numPr>
      </w:pPr>
      <w:r w:rsidRPr="00561618">
        <w:t>exclusive licensing with no export options</w:t>
      </w:r>
    </w:p>
    <w:p w14:paraId="32F14F42" w14:textId="77777777" w:rsidR="00561618" w:rsidRPr="00561618" w:rsidRDefault="00561618" w:rsidP="00561618">
      <w:pPr>
        <w:numPr>
          <w:ilvl w:val="0"/>
          <w:numId w:val="24"/>
        </w:numPr>
      </w:pPr>
      <w:r w:rsidRPr="00561618">
        <w:t xml:space="preserve">hardware tied to one vendor </w:t>
      </w:r>
      <w:hyperlink r:id="rId41" w:tgtFrame="_blank" w:history="1">
        <w:proofErr w:type="spellStart"/>
        <w:r w:rsidRPr="00561618">
          <w:rPr>
            <w:rStyle w:val="Hyperlink"/>
          </w:rPr>
          <w:t>AirSentinel</w:t>
        </w:r>
        <w:proofErr w:type="spellEnd"/>
      </w:hyperlink>
    </w:p>
    <w:p w14:paraId="6E7A6234" w14:textId="77777777" w:rsidR="00561618" w:rsidRPr="00561618" w:rsidRDefault="00561618" w:rsidP="00561618">
      <w:r w:rsidRPr="00561618">
        <w:t xml:space="preserve">OSL’s “restricted cross-vendor integration” + “poor multi-sensor fusion” is the most common real-world failure mode. </w:t>
      </w:r>
      <w:hyperlink r:id="rId42" w:tgtFrame="_blank" w:history="1">
        <w:r w:rsidRPr="00561618">
          <w:rPr>
            <w:rStyle w:val="Hyperlink"/>
          </w:rPr>
          <w:t>OSL Technology</w:t>
        </w:r>
      </w:hyperlink>
    </w:p>
    <w:p w14:paraId="7E53F659" w14:textId="77777777" w:rsidR="00070F50" w:rsidRDefault="00070F50"/>
    <w:p w14:paraId="6A2A696F" w14:textId="77777777" w:rsidR="00561618" w:rsidRDefault="00561618"/>
    <w:p w14:paraId="5BBCC37B" w14:textId="77777777" w:rsidR="00561618" w:rsidRDefault="00561618">
      <w:pPr>
        <w:pBdr>
          <w:bottom w:val="single" w:sz="6" w:space="1" w:color="auto"/>
        </w:pBdr>
      </w:pPr>
    </w:p>
    <w:p w14:paraId="2BA6E975" w14:textId="77777777" w:rsidR="00561618" w:rsidRPr="00561618" w:rsidRDefault="00561618" w:rsidP="00561618">
      <w:r w:rsidRPr="00561618">
        <w:t>The "Denmark Project" you referenced is the DALO (Danish Acquisition and Logistics Organization) C-UAS program, which selected Terma as the integrator. This project is famous in the industry precisely because DALO issued a specific warning against "Black Box" systems.</w:t>
      </w:r>
    </w:p>
    <w:p w14:paraId="3D56F36A" w14:textId="77777777" w:rsidR="00561618" w:rsidRPr="00561618" w:rsidRDefault="00561618" w:rsidP="00561618">
      <w:r w:rsidRPr="00561618">
        <w:t>The specific standard that historically caused the "warning" about lock-in is ASTERIX Category 048, and more recently, the "fake" adoption of MOSA.</w:t>
      </w:r>
    </w:p>
    <w:p w14:paraId="4BC4EF0A" w14:textId="77777777" w:rsidR="00561618" w:rsidRPr="00561618" w:rsidRDefault="00561618" w:rsidP="00561618">
      <w:pPr>
        <w:rPr>
          <w:b/>
          <w:bCs/>
        </w:rPr>
      </w:pPr>
      <w:r w:rsidRPr="00561618">
        <w:rPr>
          <w:b/>
          <w:bCs/>
        </w:rPr>
        <w:lastRenderedPageBreak/>
        <w:t>1. The "Clever Lock-In" Mechanism: How Standards Are Weaponized</w:t>
      </w:r>
    </w:p>
    <w:p w14:paraId="5D13420D" w14:textId="77777777" w:rsidR="00561618" w:rsidRPr="00561618" w:rsidRDefault="00561618" w:rsidP="00561618">
      <w:r w:rsidRPr="00561618">
        <w:t>Vendors often claim to be "Open Standard Compliant" while technically trapping you. Here is the specific mechanism they use for each standard:</w:t>
      </w:r>
    </w:p>
    <w:p w14:paraId="46D9CA62" w14:textId="77777777" w:rsidR="00561618" w:rsidRPr="00561618" w:rsidRDefault="00561618" w:rsidP="00561618">
      <w:pPr>
        <w:rPr>
          <w:b/>
          <w:bCs/>
        </w:rPr>
      </w:pPr>
      <w:r w:rsidRPr="00561618">
        <w:t>A. The ASTERIX Trap (The "User Defined" Loophole)</w:t>
      </w:r>
    </w:p>
    <w:p w14:paraId="2C35ED64" w14:textId="77777777" w:rsidR="00561618" w:rsidRPr="00561618" w:rsidRDefault="00561618" w:rsidP="00561618">
      <w:pPr>
        <w:numPr>
          <w:ilvl w:val="0"/>
          <w:numId w:val="25"/>
        </w:numPr>
      </w:pPr>
      <w:r w:rsidRPr="00561618">
        <w:t>The Standard: ASTERIX (Cat 048) is the standard for radar data.</w:t>
      </w:r>
    </w:p>
    <w:p w14:paraId="2BE0DC5D" w14:textId="77777777" w:rsidR="00561618" w:rsidRPr="00561618" w:rsidRDefault="00561618" w:rsidP="00561618">
      <w:pPr>
        <w:numPr>
          <w:ilvl w:val="0"/>
          <w:numId w:val="25"/>
        </w:numPr>
      </w:pPr>
      <w:r w:rsidRPr="00561618">
        <w:t>The Lock-In: ASTERIX Cat 048 was designed for </w:t>
      </w:r>
      <w:r w:rsidRPr="00561618">
        <w:rPr>
          <w:i/>
          <w:iCs/>
        </w:rPr>
        <w:t>airplanes</w:t>
      </w:r>
      <w:r w:rsidRPr="00561618">
        <w:t>, not drones. It lacks standard fields for "Drone ID," "RF Signature," or "Hover Status."</w:t>
      </w:r>
    </w:p>
    <w:p w14:paraId="6C7296C0" w14:textId="77777777" w:rsidR="00561618" w:rsidRPr="00561618" w:rsidRDefault="00561618" w:rsidP="00561618">
      <w:pPr>
        <w:numPr>
          <w:ilvl w:val="0"/>
          <w:numId w:val="25"/>
        </w:numPr>
      </w:pPr>
      <w:r w:rsidRPr="00561618">
        <w:t>The Trick: Vendors put this critical drone data into "Reserved" or "User Defined Fields" (UAP) within the ASTERIX message.</w:t>
      </w:r>
    </w:p>
    <w:p w14:paraId="030E4215" w14:textId="77777777" w:rsidR="00561618" w:rsidRPr="00561618" w:rsidRDefault="00561618" w:rsidP="00561618">
      <w:pPr>
        <w:numPr>
          <w:ilvl w:val="0"/>
          <w:numId w:val="25"/>
        </w:numPr>
      </w:pPr>
      <w:r w:rsidRPr="00561618">
        <w:t>The Result: The radar </w:t>
      </w:r>
      <w:r w:rsidRPr="00561618">
        <w:rPr>
          <w:i/>
          <w:iCs/>
        </w:rPr>
        <w:t>technically</w:t>
      </w:r>
      <w:r w:rsidRPr="00561618">
        <w:t> outputs ASTERIX, but the critical data is encrypted in a "User Defined" field that only </w:t>
      </w:r>
      <w:r w:rsidRPr="00561618">
        <w:rPr>
          <w:i/>
          <w:iCs/>
        </w:rPr>
        <w:t>that vendor's</w:t>
      </w:r>
      <w:r w:rsidRPr="00561618">
        <w:t> C2 software can read. If you try to swap the software, the radar data becomes useless.</w:t>
      </w:r>
    </w:p>
    <w:p w14:paraId="5509DCB2" w14:textId="77777777" w:rsidR="00561618" w:rsidRPr="00561618" w:rsidRDefault="00561618" w:rsidP="00561618">
      <w:pPr>
        <w:rPr>
          <w:i/>
          <w:iCs/>
        </w:rPr>
      </w:pPr>
      <w:r w:rsidRPr="00561618">
        <w:rPr>
          <w:i/>
          <w:iCs/>
        </w:rPr>
        <w:t>"ASTERIX implementers are asked to consider new encoding rules... In cases where non-</w:t>
      </w:r>
      <w:proofErr w:type="spellStart"/>
      <w:r w:rsidRPr="00561618">
        <w:rPr>
          <w:i/>
          <w:iCs/>
        </w:rPr>
        <w:t>standardised</w:t>
      </w:r>
      <w:proofErr w:type="spellEnd"/>
      <w:r w:rsidRPr="00561618">
        <w:rPr>
          <w:i/>
          <w:iCs/>
        </w:rPr>
        <w:t xml:space="preserve"> information needs to be exchanged, ASTERIX provides the mechanism of the 'Special' [User Defined] fields." — Eurocontrol Specification. Vendors abuse this "Special" mechanism to hide proprietary data.​</w:t>
      </w:r>
    </w:p>
    <w:p w14:paraId="766473ED" w14:textId="77777777" w:rsidR="00561618" w:rsidRPr="00561618" w:rsidRDefault="00561618" w:rsidP="00561618">
      <w:pPr>
        <w:rPr>
          <w:b/>
          <w:bCs/>
        </w:rPr>
      </w:pPr>
      <w:r w:rsidRPr="00561618">
        <w:t>B. The "Fake MOSA" Trap (Compliance vs. Reality)</w:t>
      </w:r>
    </w:p>
    <w:p w14:paraId="06C04516" w14:textId="77777777" w:rsidR="00561618" w:rsidRPr="00561618" w:rsidRDefault="00561618" w:rsidP="00561618">
      <w:pPr>
        <w:numPr>
          <w:ilvl w:val="0"/>
          <w:numId w:val="26"/>
        </w:numPr>
      </w:pPr>
      <w:r w:rsidRPr="00561618">
        <w:t>The Standard: MOSA (Modular Open Systems Approach) requires systems to be modular.</w:t>
      </w:r>
    </w:p>
    <w:p w14:paraId="19270562" w14:textId="77777777" w:rsidR="00561618" w:rsidRPr="00561618" w:rsidRDefault="00561618" w:rsidP="00561618">
      <w:pPr>
        <w:numPr>
          <w:ilvl w:val="0"/>
          <w:numId w:val="26"/>
        </w:numPr>
      </w:pPr>
      <w:r w:rsidRPr="00561618">
        <w:t>The Lock-In: Defense Primes (like Raytheon, L3Harris, Lockheed) are often accused of "Malicious Compliance." They will build a system with "modules," but they own the middleware (the "backplane" or data bus) that connects them.</w:t>
      </w:r>
    </w:p>
    <w:p w14:paraId="09063069" w14:textId="77777777" w:rsidR="00561618" w:rsidRPr="00561618" w:rsidRDefault="00561618" w:rsidP="00561618">
      <w:pPr>
        <w:numPr>
          <w:ilvl w:val="0"/>
          <w:numId w:val="26"/>
        </w:numPr>
      </w:pPr>
      <w:r w:rsidRPr="00561618">
        <w:t>The Trick: They release an "Interface Control Document" (ICD) that is so complex or expensive to license that no third-party small business can actually build a module for it. You have a "modular" system where all modules must still be bought from the same vendor.</w:t>
      </w:r>
    </w:p>
    <w:p w14:paraId="4D7BDB46" w14:textId="77777777" w:rsidR="00561618" w:rsidRPr="00561618" w:rsidRDefault="00561618" w:rsidP="00561618">
      <w:pPr>
        <w:rPr>
          <w:i/>
          <w:iCs/>
        </w:rPr>
      </w:pPr>
      <w:r w:rsidRPr="00561618">
        <w:rPr>
          <w:i/>
          <w:iCs/>
        </w:rPr>
        <w:t>"Primes view MOSA as a threat to their traditional business models... [and employ] compliance-focused approaches that justify lengthy, expensive development cycles [to maintain] long-term revenue streams." — Andrew Park, Defense Acquisition Expert (2025).​</w:t>
      </w:r>
    </w:p>
    <w:p w14:paraId="2397EFF0" w14:textId="77777777" w:rsidR="00561618" w:rsidRPr="00561618" w:rsidRDefault="00561618" w:rsidP="00561618">
      <w:r w:rsidRPr="00561618">
        <w:pict w14:anchorId="24BEC829">
          <v:rect id="_x0000_i1061" style="width:0;height:.75pt" o:hralign="center" o:hrstd="t" o:hr="t" fillcolor="#a0a0a0" stroked="f"/>
        </w:pict>
      </w:r>
    </w:p>
    <w:p w14:paraId="16DC860F" w14:textId="77777777" w:rsidR="00561618" w:rsidRPr="00561618" w:rsidRDefault="00561618" w:rsidP="00561618">
      <w:pPr>
        <w:rPr>
          <w:b/>
          <w:bCs/>
        </w:rPr>
      </w:pPr>
      <w:r w:rsidRPr="00561618">
        <w:rPr>
          <w:b/>
          <w:bCs/>
        </w:rPr>
        <w:t>2. Recent Examples of Lock-In (Aviation &amp; Law Enforcement)</w:t>
      </w:r>
    </w:p>
    <w:p w14:paraId="250FA5F2" w14:textId="77777777" w:rsidR="00561618" w:rsidRPr="00561618" w:rsidRDefault="00561618" w:rsidP="00561618">
      <w:pPr>
        <w:rPr>
          <w:b/>
          <w:bCs/>
        </w:rPr>
      </w:pPr>
      <w:r w:rsidRPr="00561618">
        <w:t>Example A: The Reagan National Airport Incident (2025)</w:t>
      </w:r>
    </w:p>
    <w:p w14:paraId="645E0D1A" w14:textId="77777777" w:rsidR="00561618" w:rsidRPr="00561618" w:rsidRDefault="00561618" w:rsidP="00561618">
      <w:pPr>
        <w:numPr>
          <w:ilvl w:val="0"/>
          <w:numId w:val="27"/>
        </w:numPr>
      </w:pPr>
      <w:r w:rsidRPr="00561618">
        <w:lastRenderedPageBreak/>
        <w:t>Context: The U.S. Secret Service deployed a C-UAS system at DCA airport.</w:t>
      </w:r>
    </w:p>
    <w:p w14:paraId="072996A2" w14:textId="77777777" w:rsidR="00561618" w:rsidRPr="00561618" w:rsidRDefault="00561618" w:rsidP="00561618">
      <w:pPr>
        <w:numPr>
          <w:ilvl w:val="0"/>
          <w:numId w:val="27"/>
        </w:numPr>
      </w:pPr>
      <w:r w:rsidRPr="00561618">
        <w:t>The Lock-In: The system was a "siloed" proprietary solution that did not integrate with the FAA’s air traffic systems.</w:t>
      </w:r>
    </w:p>
    <w:p w14:paraId="618485D0" w14:textId="77777777" w:rsidR="00561618" w:rsidRPr="00561618" w:rsidRDefault="00561618" w:rsidP="00561618">
      <w:pPr>
        <w:numPr>
          <w:ilvl w:val="0"/>
          <w:numId w:val="27"/>
        </w:numPr>
      </w:pPr>
      <w:r w:rsidRPr="00561618">
        <w:t>The Failure: Because the system was a "walled garden" (not sending data via a standard like SAPIENT to the FAA), it triggered false TCAS (Traffic Collision Avoidance System) alerts for commercial airliners. The lack of open interoperability meant the FAA couldn't "see" what the Secret Service system was doing.</w:t>
      </w:r>
    </w:p>
    <w:p w14:paraId="340E68E9" w14:textId="77777777" w:rsidR="00561618" w:rsidRPr="00561618" w:rsidRDefault="00561618" w:rsidP="00561618">
      <w:pPr>
        <w:rPr>
          <w:i/>
          <w:iCs/>
        </w:rPr>
      </w:pPr>
      <w:r w:rsidRPr="00561618">
        <w:rPr>
          <w:i/>
          <w:iCs/>
        </w:rPr>
        <w:t>"The Secret Service’s failure to notify the FAA reflects a broader challenge: federal agencies must align security imperatives... [System] operated outside established protocols... creating confusion in DCA’s complex airspace." — </w:t>
      </w:r>
      <w:proofErr w:type="spellStart"/>
      <w:r w:rsidRPr="00561618">
        <w:rPr>
          <w:i/>
          <w:iCs/>
        </w:rPr>
        <w:t>DroneXL</w:t>
      </w:r>
      <w:proofErr w:type="spellEnd"/>
      <w:r w:rsidRPr="00561618">
        <w:rPr>
          <w:i/>
          <w:iCs/>
        </w:rPr>
        <w:t xml:space="preserve"> Report on DCA Incident (April 2025).​</w:t>
      </w:r>
    </w:p>
    <w:p w14:paraId="27DB7F26" w14:textId="77777777" w:rsidR="00561618" w:rsidRPr="00561618" w:rsidRDefault="00561618" w:rsidP="00561618">
      <w:pPr>
        <w:rPr>
          <w:b/>
          <w:bCs/>
        </w:rPr>
      </w:pPr>
      <w:r w:rsidRPr="00561618">
        <w:t>Example B: The "17 Screens" Problem (Law Enforcement)</w:t>
      </w:r>
    </w:p>
    <w:p w14:paraId="2AA999BE" w14:textId="77777777" w:rsidR="00561618" w:rsidRPr="00561618" w:rsidRDefault="00561618" w:rsidP="00561618">
      <w:pPr>
        <w:numPr>
          <w:ilvl w:val="0"/>
          <w:numId w:val="28"/>
        </w:numPr>
      </w:pPr>
      <w:r w:rsidRPr="00561618">
        <w:t>Context: European Police forces (referenced in ENLETS reports) often bought separate detection systems.</w:t>
      </w:r>
    </w:p>
    <w:p w14:paraId="477BC5B2" w14:textId="77777777" w:rsidR="00561618" w:rsidRPr="00561618" w:rsidRDefault="00561618" w:rsidP="00561618">
      <w:pPr>
        <w:numPr>
          <w:ilvl w:val="0"/>
          <w:numId w:val="28"/>
        </w:numPr>
      </w:pPr>
      <w:r w:rsidRPr="00561618">
        <w:t xml:space="preserve">The Lock-In: Purchasing a DJI </w:t>
      </w:r>
      <w:proofErr w:type="spellStart"/>
      <w:r w:rsidRPr="00561618">
        <w:t>AeroScope</w:t>
      </w:r>
      <w:proofErr w:type="spellEnd"/>
      <w:r w:rsidRPr="00561618">
        <w:t> (for tracking DJI drones) and a </w:t>
      </w:r>
      <w:proofErr w:type="spellStart"/>
      <w:r w:rsidRPr="00561618">
        <w:t>Dedrone</w:t>
      </w:r>
      <w:proofErr w:type="spellEnd"/>
      <w:r w:rsidRPr="00561618">
        <w:t> sensor (for others) often resulted in two separate screens because neither vendor wanted to ingest the other's data without high API fees.</w:t>
      </w:r>
    </w:p>
    <w:p w14:paraId="725C15ED" w14:textId="77777777" w:rsidR="00561618" w:rsidRPr="00561618" w:rsidRDefault="00561618" w:rsidP="00561618">
      <w:pPr>
        <w:numPr>
          <w:ilvl w:val="0"/>
          <w:numId w:val="28"/>
        </w:numPr>
      </w:pPr>
      <w:r w:rsidRPr="00561618">
        <w:t>The Quote:</w:t>
      </w:r>
    </w:p>
    <w:p w14:paraId="51C22440" w14:textId="77777777" w:rsidR="00561618" w:rsidRPr="00561618" w:rsidRDefault="00561618" w:rsidP="00561618">
      <w:pPr>
        <w:rPr>
          <w:i/>
          <w:iCs/>
        </w:rPr>
      </w:pPr>
      <w:r w:rsidRPr="00561618">
        <w:rPr>
          <w:i/>
          <w:iCs/>
        </w:rPr>
        <w:t>"The major challenge is to have the proper technology to protect urban environments... [Currently] agencies struggle to coordinate their activities... leading to the '17 screens' problem." — ENLETS C-UAS Interest Group Report.​</w:t>
      </w:r>
    </w:p>
    <w:p w14:paraId="1FF58E88" w14:textId="77777777" w:rsidR="00561618" w:rsidRPr="00561618" w:rsidRDefault="00561618" w:rsidP="00561618">
      <w:r w:rsidRPr="00561618">
        <w:pict w14:anchorId="461195A6">
          <v:rect id="_x0000_i1062" style="width:0;height:.75pt" o:hralign="center" o:hrstd="t" o:hr="t" fillcolor="#a0a0a0" stroked="f"/>
        </w:pict>
      </w:r>
    </w:p>
    <w:p w14:paraId="2A69C4BC" w14:textId="77777777" w:rsidR="00561618" w:rsidRPr="00561618" w:rsidRDefault="00561618" w:rsidP="00561618">
      <w:pPr>
        <w:rPr>
          <w:b/>
          <w:bCs/>
        </w:rPr>
      </w:pPr>
      <w:r w:rsidRPr="00561618">
        <w:rPr>
          <w:b/>
          <w:bCs/>
        </w:rPr>
        <w:t>3. The "Cure": Standards to Mandate in Your Project</w:t>
      </w:r>
    </w:p>
    <w:p w14:paraId="36AD2528" w14:textId="77777777" w:rsidR="00561618" w:rsidRPr="00561618" w:rsidRDefault="00561618" w:rsidP="00561618">
      <w:r w:rsidRPr="00561618">
        <w:t>To replicate the success of the Denmark (DALO) project, your requirements must explicitly forbid the "clever" tricks mentioned above.</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79"/>
        <w:gridCol w:w="1632"/>
        <w:gridCol w:w="7489"/>
      </w:tblGrid>
      <w:tr w:rsidR="00561618" w:rsidRPr="00561618" w14:paraId="54194AF4"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B774699" w14:textId="77777777" w:rsidR="00561618" w:rsidRPr="00561618" w:rsidRDefault="00561618" w:rsidP="00561618">
            <w:pPr>
              <w:rPr>
                <w:b/>
                <w:bCs/>
              </w:rPr>
            </w:pPr>
            <w:r w:rsidRPr="00561618">
              <w:rPr>
                <w:b/>
                <w:bCs/>
              </w:rPr>
              <w:t>Standard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9DC37F9" w14:textId="77777777" w:rsidR="00561618" w:rsidRPr="00561618" w:rsidRDefault="00561618" w:rsidP="00561618">
            <w:pPr>
              <w:rPr>
                <w:b/>
                <w:bCs/>
              </w:rPr>
            </w:pPr>
            <w:r w:rsidRPr="00561618">
              <w:rPr>
                <w:b/>
                <w:bCs/>
              </w:rPr>
              <w:t>Status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05BFD83" w14:textId="77777777" w:rsidR="00561618" w:rsidRPr="00561618" w:rsidRDefault="00561618" w:rsidP="00561618">
            <w:pPr>
              <w:rPr>
                <w:b/>
                <w:bCs/>
              </w:rPr>
            </w:pPr>
            <w:r w:rsidRPr="00561618">
              <w:t>How to Reference It (To Avoid Lock-In)</w:t>
            </w:r>
          </w:p>
        </w:tc>
      </w:tr>
      <w:tr w:rsidR="00561618" w:rsidRPr="00561618" w14:paraId="4799850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5D4D9A" w14:textId="77777777" w:rsidR="00561618" w:rsidRPr="00561618" w:rsidRDefault="00561618" w:rsidP="00561618">
            <w:r w:rsidRPr="00561618">
              <w:t>SAPIENT (BSI Flex 335)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76FA6B" w14:textId="77777777" w:rsidR="00561618" w:rsidRPr="00561618" w:rsidRDefault="00561618" w:rsidP="00561618">
            <w:r w:rsidRPr="00561618">
              <w:t>The Gold Standard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719CCE" w14:textId="77777777" w:rsidR="00561618" w:rsidRPr="00561618" w:rsidRDefault="00561618" w:rsidP="00561618">
            <w:r w:rsidRPr="00561618">
              <w:rPr>
                <w:i/>
                <w:iCs/>
              </w:rPr>
              <w:t>"The C2 system must ingest sensor data natively via SAPIENT (BSI Flex 335). Proprietary middleware translators are not acceptable."</w:t>
            </w:r>
            <w:r w:rsidRPr="00561618">
              <w:br/>
            </w:r>
            <w:r w:rsidRPr="00561618">
              <w:rPr>
                <w:i/>
                <w:iCs/>
              </w:rPr>
              <w:t>Used by: UK MoD, NATO.</w:t>
            </w:r>
          </w:p>
        </w:tc>
      </w:tr>
      <w:tr w:rsidR="00561618" w:rsidRPr="00561618" w14:paraId="1F9C8A5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91DAA6" w14:textId="77777777" w:rsidR="00561618" w:rsidRPr="00561618" w:rsidRDefault="00561618" w:rsidP="00561618">
            <w:r w:rsidRPr="00561618">
              <w:lastRenderedPageBreak/>
              <w:t>ASTERIX Cat 062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7E0278" w14:textId="77777777" w:rsidR="00561618" w:rsidRPr="00561618" w:rsidRDefault="00561618" w:rsidP="00561618">
            <w:r w:rsidRPr="00561618">
              <w:t>The Radar Fix</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31B293" w14:textId="77777777" w:rsidR="00561618" w:rsidRPr="00561618" w:rsidRDefault="00561618" w:rsidP="00561618">
            <w:r w:rsidRPr="00561618">
              <w:rPr>
                <w:i/>
                <w:iCs/>
              </w:rPr>
              <w:t>"Radars must use ASTERIX Cat 062 (System Track Data) for drone classification, NOT proprietary extensions of Cat 048."</w:t>
            </w:r>
          </w:p>
        </w:tc>
      </w:tr>
      <w:tr w:rsidR="00561618" w:rsidRPr="00561618" w14:paraId="725DD5E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741CBF" w14:textId="77777777" w:rsidR="00561618" w:rsidRPr="00561618" w:rsidRDefault="00561618" w:rsidP="00561618">
            <w:r w:rsidRPr="00561618">
              <w:t>SOSA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7FAFDE" w14:textId="77777777" w:rsidR="00561618" w:rsidRPr="00561618" w:rsidRDefault="00561618" w:rsidP="00561618">
            <w:r w:rsidRPr="00561618">
              <w:t>The Hardware Fix</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8AA161" w14:textId="77777777" w:rsidR="00561618" w:rsidRPr="00561618" w:rsidRDefault="00561618" w:rsidP="00561618">
            <w:r w:rsidRPr="00561618">
              <w:rPr>
                <w:i/>
                <w:iCs/>
              </w:rPr>
              <w:t>"Hardware components must align with SOSA (Sensor Open Systems Architecture) Technical Standard, ensuring card-level swap-ability."</w:t>
            </w:r>
          </w:p>
        </w:tc>
      </w:tr>
    </w:tbl>
    <w:p w14:paraId="14E34287" w14:textId="77777777" w:rsidR="00561618" w:rsidRPr="00561618" w:rsidRDefault="00561618" w:rsidP="00561618">
      <w:r w:rsidRPr="00561618">
        <w:t>Reference Quote for Your Report:</w:t>
      </w:r>
    </w:p>
    <w:p w14:paraId="6D7BFF98" w14:textId="77777777" w:rsidR="00561618" w:rsidRPr="00561618" w:rsidRDefault="00561618" w:rsidP="00561618">
      <w:pPr>
        <w:rPr>
          <w:i/>
          <w:iCs/>
        </w:rPr>
      </w:pPr>
      <w:r w:rsidRPr="00561618">
        <w:rPr>
          <w:i/>
          <w:iCs/>
        </w:rPr>
        <w:t>"It is not enough to just detect anymore... That’s where sensor fusion and disciplined workflows make a difference. This is not about deploying one sensor or one radar. It’s about a next generation integrated approach."</w:t>
      </w:r>
      <w:r w:rsidRPr="00561618">
        <w:rPr>
          <w:i/>
          <w:iCs/>
        </w:rPr>
        <w:br/>
        <w:t>— Henriette H. Thygesen, EVP at Terma (The Denmark Project Integrator).​</w:t>
      </w:r>
    </w:p>
    <w:p w14:paraId="52BA1C90" w14:textId="77777777" w:rsidR="00561618" w:rsidRDefault="00561618"/>
    <w:p w14:paraId="7B258E53" w14:textId="77777777" w:rsidR="009727E0" w:rsidRDefault="009727E0">
      <w:pPr>
        <w:pBdr>
          <w:bottom w:val="single" w:sz="6" w:space="1" w:color="auto"/>
        </w:pBdr>
      </w:pPr>
    </w:p>
    <w:p w14:paraId="59EFC5A2" w14:textId="77777777" w:rsidR="009727E0" w:rsidRDefault="009727E0"/>
    <w:p w14:paraId="1C601E21" w14:textId="77777777" w:rsidR="009727E0" w:rsidRPr="009727E0" w:rsidRDefault="009727E0" w:rsidP="009727E0">
      <w:r w:rsidRPr="009727E0">
        <w:t xml:space="preserve">Here are </w:t>
      </w:r>
      <w:r w:rsidRPr="009727E0">
        <w:rPr>
          <w:b/>
          <w:bCs/>
        </w:rPr>
        <w:t>real, quotable</w:t>
      </w:r>
      <w:r w:rsidRPr="009727E0">
        <w:t xml:space="preserve"> examples showing how “open standards” in </w:t>
      </w:r>
      <w:r w:rsidRPr="009727E0">
        <w:rPr>
          <w:b/>
          <w:bCs/>
        </w:rPr>
        <w:t>C-UAS</w:t>
      </w:r>
      <w:r w:rsidRPr="009727E0">
        <w:t xml:space="preserve"> can still create </w:t>
      </w:r>
      <w:r w:rsidRPr="009727E0">
        <w:rPr>
          <w:b/>
          <w:bCs/>
        </w:rPr>
        <w:t>vendor lock-in</w:t>
      </w:r>
      <w:r w:rsidRPr="009727E0">
        <w:t xml:space="preserve">—especially around </w:t>
      </w:r>
      <w:r w:rsidRPr="009727E0">
        <w:rPr>
          <w:b/>
          <w:bCs/>
        </w:rPr>
        <w:t>ASTERIX, SAPIENT, MOSA/SOSA-style “open architecture” claims</w:t>
      </w:r>
      <w:r w:rsidRPr="009727E0">
        <w:t>.</w:t>
      </w:r>
    </w:p>
    <w:p w14:paraId="2E7096B4" w14:textId="77777777" w:rsidR="009727E0" w:rsidRPr="009727E0" w:rsidRDefault="009727E0" w:rsidP="009727E0">
      <w:pPr>
        <w:rPr>
          <w:b/>
          <w:bCs/>
        </w:rPr>
      </w:pPr>
      <w:r w:rsidRPr="009727E0">
        <w:rPr>
          <w:b/>
          <w:bCs/>
        </w:rPr>
        <w:t>1) Operator / procurement warnings that explicitly flag lock-in</w:t>
      </w:r>
    </w:p>
    <w:p w14:paraId="30525281" w14:textId="77777777" w:rsidR="009727E0" w:rsidRPr="009727E0" w:rsidRDefault="009727E0" w:rsidP="009727E0">
      <w:pPr>
        <w:rPr>
          <w:b/>
          <w:bCs/>
        </w:rPr>
      </w:pPr>
      <w:r w:rsidRPr="009727E0">
        <w:rPr>
          <w:b/>
          <w:bCs/>
        </w:rPr>
        <w:t>Denmark (Copenhagen Airport A-SMGCS) — vendor lock-in called out</w:t>
      </w:r>
    </w:p>
    <w:p w14:paraId="6133F3E8" w14:textId="77777777" w:rsidR="009727E0" w:rsidRPr="009727E0" w:rsidRDefault="009727E0" w:rsidP="009727E0">
      <w:r w:rsidRPr="009727E0">
        <w:t xml:space="preserve">EUROCONTROL’s LSSIP entry for Copenhagen Airport describes </w:t>
      </w:r>
      <w:r w:rsidRPr="009727E0">
        <w:rPr>
          <w:b/>
          <w:bCs/>
        </w:rPr>
        <w:t>“high risk of vendor lock-in”</w:t>
      </w:r>
      <w:r w:rsidRPr="009727E0">
        <w:t xml:space="preserve"> and ties it to </w:t>
      </w:r>
      <w:r w:rsidRPr="009727E0">
        <w:rPr>
          <w:b/>
          <w:bCs/>
        </w:rPr>
        <w:t>technical constraints</w:t>
      </w:r>
      <w:r w:rsidRPr="009727E0">
        <w:t xml:space="preserve"> and supplier/platform realities (supplier named as Saab). </w:t>
      </w:r>
      <w:hyperlink r:id="rId43" w:tgtFrame="_blank" w:history="1">
        <w:r w:rsidRPr="009727E0">
          <w:rPr>
            <w:rStyle w:val="Hyperlink"/>
          </w:rPr>
          <w:t>Eurocontrol</w:t>
        </w:r>
      </w:hyperlink>
      <w:r w:rsidRPr="009727E0">
        <w:br/>
        <w:t xml:space="preserve">A later LSSIP update notes the platform “had to be upgraded to meet requirements of the </w:t>
      </w:r>
      <w:r w:rsidRPr="009727E0">
        <w:rPr>
          <w:b/>
          <w:bCs/>
        </w:rPr>
        <w:t>vendor strategic platform</w:t>
      </w:r>
      <w:r w:rsidRPr="009727E0">
        <w:t>.”</w:t>
      </w:r>
      <w:r w:rsidRPr="009727E0">
        <w:br/>
      </w:r>
      <w:r w:rsidRPr="009727E0">
        <w:rPr>
          <w:b/>
          <w:bCs/>
        </w:rPr>
        <w:t xml:space="preserve">Why </w:t>
      </w:r>
      <w:proofErr w:type="gramStart"/>
      <w:r w:rsidRPr="009727E0">
        <w:rPr>
          <w:b/>
          <w:bCs/>
        </w:rPr>
        <w:t>this matters</w:t>
      </w:r>
      <w:proofErr w:type="gramEnd"/>
      <w:r w:rsidRPr="009727E0">
        <w:rPr>
          <w:b/>
          <w:bCs/>
        </w:rPr>
        <w:t xml:space="preserve"> for C-UAS:</w:t>
      </w:r>
      <w:r w:rsidRPr="009727E0">
        <w:t xml:space="preserve"> it’s the same failure mode: “standard-compliant” interfaces + real integration locked to one vendor’s platform roadmap.</w:t>
      </w:r>
    </w:p>
    <w:p w14:paraId="2120EB57" w14:textId="77777777" w:rsidR="009727E0" w:rsidRPr="009727E0" w:rsidRDefault="009727E0" w:rsidP="009727E0">
      <w:pPr>
        <w:rPr>
          <w:b/>
          <w:bCs/>
        </w:rPr>
      </w:pPr>
      <w:r w:rsidRPr="009727E0">
        <w:rPr>
          <w:b/>
          <w:bCs/>
        </w:rPr>
        <w:t>PANSA (Poland) — “standards” don’t prevent lock-in</w:t>
      </w:r>
    </w:p>
    <w:p w14:paraId="06F13D34" w14:textId="77777777" w:rsidR="009727E0" w:rsidRPr="009727E0" w:rsidRDefault="009727E0" w:rsidP="009727E0">
      <w:r w:rsidRPr="009727E0">
        <w:t xml:space="preserve">An ICAO-hosted PANSA deck lists as a top challenge: </w:t>
      </w:r>
      <w:r w:rsidRPr="009727E0">
        <w:rPr>
          <w:b/>
          <w:bCs/>
        </w:rPr>
        <w:t>“Interoperability &amp; standards — vendor lock-in risk.”</w:t>
      </w:r>
      <w:r w:rsidRPr="009727E0">
        <w:t xml:space="preserve"> </w:t>
      </w:r>
      <w:hyperlink r:id="rId44" w:tgtFrame="_blank" w:history="1">
        <w:r w:rsidRPr="009727E0">
          <w:rPr>
            <w:rStyle w:val="Hyperlink"/>
          </w:rPr>
          <w:t>icao.int</w:t>
        </w:r>
      </w:hyperlink>
      <w:r w:rsidRPr="009727E0">
        <w:br/>
      </w:r>
      <w:r w:rsidRPr="009727E0">
        <w:lastRenderedPageBreak/>
        <w:t xml:space="preserve">That’s a practitioner warning: the </w:t>
      </w:r>
      <w:r w:rsidRPr="009727E0">
        <w:rPr>
          <w:i/>
          <w:iCs/>
        </w:rPr>
        <w:t>presence</w:t>
      </w:r>
      <w:r w:rsidRPr="009727E0">
        <w:t xml:space="preserve"> of standards can still produce lock-in when vendors control the working profile, middleware, certification, and lifecycle updates.</w:t>
      </w:r>
    </w:p>
    <w:p w14:paraId="6FC5AA23" w14:textId="77777777" w:rsidR="009727E0" w:rsidRPr="009727E0" w:rsidRDefault="009727E0" w:rsidP="009727E0">
      <w:pPr>
        <w:rPr>
          <w:b/>
          <w:bCs/>
        </w:rPr>
      </w:pPr>
      <w:r w:rsidRPr="009727E0">
        <w:rPr>
          <w:b/>
          <w:bCs/>
        </w:rPr>
        <w:t>Greece MoD market survey — SAPIENT version drift = future lock-in cost</w:t>
      </w:r>
    </w:p>
    <w:p w14:paraId="0D1CEE0A" w14:textId="77777777" w:rsidR="009727E0" w:rsidRPr="009727E0" w:rsidRDefault="009727E0" w:rsidP="009727E0">
      <w:r w:rsidRPr="009727E0">
        <w:t xml:space="preserve">A Greek MoD C-UAS document asks vendors whether they can </w:t>
      </w:r>
      <w:r w:rsidRPr="009727E0">
        <w:rPr>
          <w:b/>
          <w:bCs/>
        </w:rPr>
        <w:t>update SAPIENT</w:t>
      </w:r>
      <w:r w:rsidRPr="009727E0">
        <w:t xml:space="preserve"> to NATO STANREC 4869, and explicitly asks: </w:t>
      </w:r>
      <w:r w:rsidRPr="009727E0">
        <w:rPr>
          <w:b/>
          <w:bCs/>
        </w:rPr>
        <w:t>“What are the estimated cost and implementation timelines?”</w:t>
      </w:r>
      <w:r w:rsidRPr="009727E0">
        <w:t xml:space="preserve"> </w:t>
      </w:r>
      <w:hyperlink r:id="rId45" w:tgtFrame="_blank" w:history="1">
        <w:r w:rsidRPr="009727E0">
          <w:rPr>
            <w:rStyle w:val="Hyperlink"/>
          </w:rPr>
          <w:t>mindev.gov.gr</w:t>
        </w:r>
      </w:hyperlink>
      <w:r w:rsidRPr="009727E0">
        <w:br/>
        <w:t>That’s procurement openly anticipating the “standard changed → vendor charges you to stay interoperable” trap.</w:t>
      </w:r>
    </w:p>
    <w:p w14:paraId="29E4A9B6" w14:textId="77777777" w:rsidR="009727E0" w:rsidRPr="009727E0" w:rsidRDefault="009727E0" w:rsidP="009727E0">
      <w:pPr>
        <w:rPr>
          <w:b/>
          <w:bCs/>
        </w:rPr>
      </w:pPr>
      <w:r w:rsidRPr="009727E0">
        <w:rPr>
          <w:b/>
          <w:bCs/>
        </w:rPr>
        <w:t>NATO/NCIA procurement language — SAPIENT becomes the gate</w:t>
      </w:r>
    </w:p>
    <w:p w14:paraId="444F67CF" w14:textId="77777777" w:rsidR="009727E0" w:rsidRPr="009727E0" w:rsidRDefault="009727E0" w:rsidP="009727E0">
      <w:r w:rsidRPr="009727E0">
        <w:t xml:space="preserve">NCIA framework requirements include </w:t>
      </w:r>
      <w:r w:rsidRPr="009727E0">
        <w:rPr>
          <w:b/>
          <w:bCs/>
        </w:rPr>
        <w:t>“NATO interoperability (e.g. STANREC 4869 SAPIENT …)”</w:t>
      </w:r>
      <w:r w:rsidRPr="009727E0">
        <w:t xml:space="preserve"> </w:t>
      </w:r>
      <w:hyperlink r:id="rId46" w:tgtFrame="_blank" w:history="1">
        <w:r w:rsidRPr="009727E0">
          <w:rPr>
            <w:rStyle w:val="Hyperlink"/>
          </w:rPr>
          <w:t>ncia.nato.int</w:t>
        </w:r>
      </w:hyperlink>
      <w:r w:rsidRPr="009727E0">
        <w:br/>
        <w:t xml:space="preserve">And NATO ACT Q&amp;A states: </w:t>
      </w:r>
      <w:r w:rsidRPr="009727E0">
        <w:rPr>
          <w:b/>
          <w:bCs/>
        </w:rPr>
        <w:t>“We expect industry to be compliant with SAPIENT.”</w:t>
      </w:r>
      <w:r w:rsidRPr="009727E0">
        <w:t xml:space="preserve"> </w:t>
      </w:r>
      <w:hyperlink r:id="rId47" w:tgtFrame="_blank" w:history="1">
        <w:r w:rsidRPr="009727E0">
          <w:rPr>
            <w:rStyle w:val="Hyperlink"/>
          </w:rPr>
          <w:t>act.nato.int</w:t>
        </w:r>
      </w:hyperlink>
      <w:r w:rsidRPr="009727E0">
        <w:br/>
        <w:t xml:space="preserve">Once compliance is mandatory, vendors can lock customers through </w:t>
      </w:r>
      <w:r w:rsidRPr="009727E0">
        <w:rPr>
          <w:b/>
          <w:bCs/>
        </w:rPr>
        <w:t>their</w:t>
      </w:r>
      <w:r w:rsidRPr="009727E0">
        <w:t xml:space="preserve"> conformance story (test artifacts, version interpretation, profile choices).</w:t>
      </w:r>
    </w:p>
    <w:p w14:paraId="354E4EFC" w14:textId="77777777" w:rsidR="009727E0" w:rsidRPr="009727E0" w:rsidRDefault="009727E0" w:rsidP="009727E0">
      <w:r w:rsidRPr="009727E0">
        <w:pict w14:anchorId="503D14D4">
          <v:rect id="_x0000_i1095" style="width:0;height:1.5pt" o:hralign="center" o:hrstd="t" o:hr="t" fillcolor="#a0a0a0" stroked="f"/>
        </w:pict>
      </w:r>
    </w:p>
    <w:p w14:paraId="1838EAC6" w14:textId="77777777" w:rsidR="009727E0" w:rsidRPr="009727E0" w:rsidRDefault="009727E0" w:rsidP="009727E0">
      <w:pPr>
        <w:rPr>
          <w:b/>
          <w:bCs/>
        </w:rPr>
      </w:pPr>
      <w:r w:rsidRPr="009727E0">
        <w:rPr>
          <w:b/>
          <w:bCs/>
        </w:rPr>
        <w:t>2) Vendor documents showing “open standards” + built-in lock-in levers</w:t>
      </w:r>
    </w:p>
    <w:p w14:paraId="5A935D82" w14:textId="77777777" w:rsidR="009727E0" w:rsidRPr="009727E0" w:rsidRDefault="009727E0" w:rsidP="009727E0">
      <w:r w:rsidRPr="009727E0">
        <w:t xml:space="preserve">These are not accusations; they’re </w:t>
      </w:r>
      <w:r w:rsidRPr="009727E0">
        <w:rPr>
          <w:b/>
          <w:bCs/>
        </w:rPr>
        <w:t>vendor-published integration facts</w:t>
      </w:r>
      <w:r w:rsidRPr="009727E0">
        <w:t xml:space="preserve"> that create lock-in pathways.</w:t>
      </w:r>
    </w:p>
    <w:p w14:paraId="62772B2D" w14:textId="77777777" w:rsidR="009727E0" w:rsidRPr="009727E0" w:rsidRDefault="009727E0" w:rsidP="009727E0">
      <w:pPr>
        <w:rPr>
          <w:b/>
          <w:bCs/>
        </w:rPr>
      </w:pPr>
      <w:r w:rsidRPr="009727E0">
        <w:rPr>
          <w:b/>
          <w:bCs/>
        </w:rPr>
        <w:t>Kongsberg DR 100 (C-UAS radar): proprietary-first, standards optional / partial</w:t>
      </w:r>
    </w:p>
    <w:p w14:paraId="10C04D38" w14:textId="77777777" w:rsidR="009727E0" w:rsidRPr="009727E0" w:rsidRDefault="009727E0" w:rsidP="009727E0">
      <w:r w:rsidRPr="009727E0">
        <w:t xml:space="preserve">Datasheet lists: </w:t>
      </w:r>
      <w:r w:rsidRPr="009727E0">
        <w:rPr>
          <w:b/>
          <w:bCs/>
        </w:rPr>
        <w:t>“Data protocol Native (proprietary), Asterix, Sapient (under implementation)”</w:t>
      </w:r>
      <w:r w:rsidRPr="009727E0">
        <w:t xml:space="preserve">. </w:t>
      </w:r>
      <w:hyperlink r:id="rId48" w:tgtFrame="_blank" w:history="1">
        <w:r w:rsidRPr="009727E0">
          <w:rPr>
            <w:rStyle w:val="Hyperlink"/>
          </w:rPr>
          <w:t>kongsberg.com</w:t>
        </w:r>
      </w:hyperlink>
      <w:r w:rsidRPr="009727E0">
        <w:br/>
        <w:t xml:space="preserve">That’s a classic slope: integrators start on the </w:t>
      </w:r>
      <w:r w:rsidRPr="009727E0">
        <w:rPr>
          <w:b/>
          <w:bCs/>
        </w:rPr>
        <w:t>native</w:t>
      </w:r>
      <w:r w:rsidRPr="009727E0">
        <w:t xml:space="preserve"> feed (fastest, fullest fidelity), and “standards later” never fully catches up.</w:t>
      </w:r>
    </w:p>
    <w:p w14:paraId="3C5F1817" w14:textId="77777777" w:rsidR="009727E0" w:rsidRPr="009727E0" w:rsidRDefault="009727E0" w:rsidP="009727E0">
      <w:pPr>
        <w:rPr>
          <w:b/>
          <w:bCs/>
        </w:rPr>
      </w:pPr>
      <w:r w:rsidRPr="009727E0">
        <w:rPr>
          <w:b/>
          <w:bCs/>
        </w:rPr>
        <w:t>Robin Radar “ELVIRA”: the standard is “on request”</w:t>
      </w:r>
    </w:p>
    <w:p w14:paraId="272BED6B" w14:textId="77777777" w:rsidR="009727E0" w:rsidRPr="009727E0" w:rsidRDefault="009727E0" w:rsidP="009727E0">
      <w:r w:rsidRPr="009727E0">
        <w:t xml:space="preserve">Directory entry: </w:t>
      </w:r>
      <w:r w:rsidRPr="009727E0">
        <w:rPr>
          <w:b/>
          <w:bCs/>
        </w:rPr>
        <w:t>“A simple XML broadcast-based interface included as standard. Other protocols, e.g. ASTERIX, are available on request.”</w:t>
      </w:r>
      <w:r w:rsidRPr="009727E0">
        <w:t xml:space="preserve"> </w:t>
      </w:r>
      <w:hyperlink r:id="rId49" w:tgtFrame="_blank" w:history="1">
        <w:r w:rsidRPr="009727E0">
          <w:rPr>
            <w:rStyle w:val="Hyperlink"/>
          </w:rPr>
          <w:t>unmannedairspace.info</w:t>
        </w:r>
      </w:hyperlink>
      <w:r w:rsidRPr="009727E0">
        <w:br/>
        <w:t xml:space="preserve">This is lock-in by </w:t>
      </w:r>
      <w:r w:rsidRPr="009727E0">
        <w:rPr>
          <w:b/>
          <w:bCs/>
        </w:rPr>
        <w:t>commercial gating</w:t>
      </w:r>
      <w:r w:rsidRPr="009727E0">
        <w:t>: the “open” interface becomes a paid option and/or controlled deliverable.</w:t>
      </w:r>
    </w:p>
    <w:p w14:paraId="5B3FEB26" w14:textId="77777777" w:rsidR="009727E0" w:rsidRPr="009727E0" w:rsidRDefault="009727E0" w:rsidP="009727E0">
      <w:pPr>
        <w:rPr>
          <w:b/>
          <w:bCs/>
        </w:rPr>
      </w:pPr>
      <w:r w:rsidRPr="009727E0">
        <w:rPr>
          <w:b/>
          <w:bCs/>
        </w:rPr>
        <w:t xml:space="preserve">Vorpal </w:t>
      </w:r>
      <w:proofErr w:type="spellStart"/>
      <w:r w:rsidRPr="009727E0">
        <w:rPr>
          <w:b/>
          <w:bCs/>
        </w:rPr>
        <w:t>VigilAir</w:t>
      </w:r>
      <w:proofErr w:type="spellEnd"/>
      <w:r w:rsidRPr="009727E0">
        <w:rPr>
          <w:b/>
          <w:bCs/>
        </w:rPr>
        <w:t xml:space="preserve"> (airport counter-drone): bespoke “customer defined interface”</w:t>
      </w:r>
    </w:p>
    <w:p w14:paraId="3E2D035F" w14:textId="77777777" w:rsidR="009727E0" w:rsidRPr="009727E0" w:rsidRDefault="009727E0" w:rsidP="009727E0">
      <w:r w:rsidRPr="009727E0">
        <w:t xml:space="preserve">White paper: tracking can be </w:t>
      </w:r>
      <w:r w:rsidRPr="009727E0">
        <w:rPr>
          <w:b/>
          <w:bCs/>
        </w:rPr>
        <w:t xml:space="preserve">“ASTERIX compliant </w:t>
      </w:r>
      <w:proofErr w:type="spellStart"/>
      <w:r w:rsidRPr="009727E0">
        <w:rPr>
          <w:b/>
          <w:bCs/>
        </w:rPr>
        <w:t>datastream</w:t>
      </w:r>
      <w:proofErr w:type="spellEnd"/>
      <w:r w:rsidRPr="009727E0">
        <w:rPr>
          <w:b/>
          <w:bCs/>
        </w:rPr>
        <w:t>, or via a customer defined interface.”</w:t>
      </w:r>
      <w:r w:rsidRPr="009727E0">
        <w:t xml:space="preserve"> </w:t>
      </w:r>
      <w:hyperlink r:id="rId50" w:tgtFrame="_blank" w:history="1">
        <w:r w:rsidRPr="009727E0">
          <w:rPr>
            <w:rStyle w:val="Hyperlink"/>
          </w:rPr>
          <w:t>Vorpal</w:t>
        </w:r>
      </w:hyperlink>
      <w:r w:rsidRPr="009727E0">
        <w:br/>
      </w:r>
      <w:r w:rsidRPr="009727E0">
        <w:lastRenderedPageBreak/>
        <w:t xml:space="preserve">Once a program accepts a customer-defined interface, you’ve created a </w:t>
      </w:r>
      <w:r w:rsidRPr="009727E0">
        <w:rPr>
          <w:b/>
          <w:bCs/>
        </w:rPr>
        <w:t>one-off contract API</w:t>
      </w:r>
      <w:r w:rsidRPr="009727E0">
        <w:t xml:space="preserve"> that only the incumbent fully owns (docs, quirks, test tools).</w:t>
      </w:r>
    </w:p>
    <w:p w14:paraId="5FE722EF" w14:textId="77777777" w:rsidR="009727E0" w:rsidRPr="009727E0" w:rsidRDefault="009727E0" w:rsidP="009727E0">
      <w:pPr>
        <w:rPr>
          <w:b/>
          <w:bCs/>
        </w:rPr>
      </w:pPr>
      <w:r w:rsidRPr="009727E0">
        <w:rPr>
          <w:b/>
          <w:bCs/>
        </w:rPr>
        <w:t xml:space="preserve">Cambridge Pixel </w:t>
      </w:r>
      <w:proofErr w:type="spellStart"/>
      <w:r w:rsidRPr="009727E0">
        <w:rPr>
          <w:b/>
          <w:bCs/>
        </w:rPr>
        <w:t>SPx</w:t>
      </w:r>
      <w:proofErr w:type="spellEnd"/>
      <w:r w:rsidRPr="009727E0">
        <w:rPr>
          <w:b/>
          <w:bCs/>
        </w:rPr>
        <w:t xml:space="preserve"> toolchain: proprietary format coexists with ASTERIX</w:t>
      </w:r>
    </w:p>
    <w:p w14:paraId="41341958" w14:textId="77777777" w:rsidR="009727E0" w:rsidRPr="009727E0" w:rsidRDefault="009727E0" w:rsidP="009727E0">
      <w:r w:rsidRPr="009727E0">
        <w:t xml:space="preserve">Product brochure lists: </w:t>
      </w:r>
      <w:r w:rsidRPr="009727E0">
        <w:rPr>
          <w:b/>
          <w:bCs/>
        </w:rPr>
        <w:t xml:space="preserve">“Plot input in ASTERIX, </w:t>
      </w:r>
      <w:proofErr w:type="spellStart"/>
      <w:r w:rsidRPr="009727E0">
        <w:rPr>
          <w:b/>
          <w:bCs/>
        </w:rPr>
        <w:t>SPx</w:t>
      </w:r>
      <w:proofErr w:type="spellEnd"/>
      <w:r w:rsidRPr="009727E0">
        <w:rPr>
          <w:b/>
          <w:bCs/>
        </w:rPr>
        <w:t xml:space="preserve"> or proprietary radar formats”</w:t>
      </w:r>
      <w:r w:rsidRPr="009727E0">
        <w:t xml:space="preserve"> and </w:t>
      </w:r>
      <w:r w:rsidRPr="009727E0">
        <w:rPr>
          <w:b/>
          <w:bCs/>
        </w:rPr>
        <w:t xml:space="preserve">“Track output in </w:t>
      </w:r>
      <w:proofErr w:type="spellStart"/>
      <w:r w:rsidRPr="009727E0">
        <w:rPr>
          <w:b/>
          <w:bCs/>
        </w:rPr>
        <w:t>SPx</w:t>
      </w:r>
      <w:proofErr w:type="spellEnd"/>
      <w:r w:rsidRPr="009727E0">
        <w:rPr>
          <w:b/>
          <w:bCs/>
        </w:rPr>
        <w:t>, ASTERIX …”</w:t>
      </w:r>
      <w:r w:rsidRPr="009727E0">
        <w:t xml:space="preserve"> </w:t>
      </w:r>
      <w:hyperlink r:id="rId51" w:tgtFrame="_blank" w:history="1">
        <w:r w:rsidRPr="009727E0">
          <w:rPr>
            <w:rStyle w:val="Hyperlink"/>
          </w:rPr>
          <w:t>Cambridge Pixel</w:t>
        </w:r>
      </w:hyperlink>
      <w:r w:rsidRPr="009727E0">
        <w:br/>
        <w:t xml:space="preserve">Their tracker datasheet similarly says tracks go out in </w:t>
      </w:r>
      <w:r w:rsidRPr="009727E0">
        <w:rPr>
          <w:b/>
          <w:bCs/>
        </w:rPr>
        <w:t xml:space="preserve">“ASTERIX CAT-48 or </w:t>
      </w:r>
      <w:proofErr w:type="spellStart"/>
      <w:r w:rsidRPr="009727E0">
        <w:rPr>
          <w:b/>
          <w:bCs/>
        </w:rPr>
        <w:t>SPx</w:t>
      </w:r>
      <w:proofErr w:type="spellEnd"/>
      <w:r w:rsidRPr="009727E0">
        <w:rPr>
          <w:b/>
          <w:bCs/>
        </w:rPr>
        <w:t xml:space="preserve"> formats.”</w:t>
      </w:r>
      <w:r w:rsidRPr="009727E0">
        <w:t xml:space="preserve"> </w:t>
      </w:r>
      <w:hyperlink r:id="rId52" w:tgtFrame="_blank" w:history="1">
        <w:r w:rsidRPr="009727E0">
          <w:rPr>
            <w:rStyle w:val="Hyperlink"/>
          </w:rPr>
          <w:t>Cambridge Pixel</w:t>
        </w:r>
      </w:hyperlink>
      <w:r w:rsidRPr="009727E0">
        <w:br/>
        <w:t xml:space="preserve">This is lock-in by </w:t>
      </w:r>
      <w:r w:rsidRPr="009727E0">
        <w:rPr>
          <w:b/>
          <w:bCs/>
        </w:rPr>
        <w:t>gravity</w:t>
      </w:r>
      <w:r w:rsidRPr="009727E0">
        <w:t xml:space="preserve">: once your fusion/record/replay/debug pipeline standardizes on </w:t>
      </w:r>
      <w:proofErr w:type="spellStart"/>
      <w:r w:rsidRPr="009727E0">
        <w:t>SPx</w:t>
      </w:r>
      <w:proofErr w:type="spellEnd"/>
      <w:r w:rsidRPr="009727E0">
        <w:t>, replacing the vendor means replacing the plumbing.</w:t>
      </w:r>
    </w:p>
    <w:p w14:paraId="06BD1BBD" w14:textId="77777777" w:rsidR="009727E0" w:rsidRPr="009727E0" w:rsidRDefault="009727E0" w:rsidP="009727E0">
      <w:pPr>
        <w:rPr>
          <w:b/>
          <w:bCs/>
        </w:rPr>
      </w:pPr>
      <w:r w:rsidRPr="009727E0">
        <w:rPr>
          <w:b/>
          <w:bCs/>
        </w:rPr>
        <w:t>Rheinmetall SKYSPOTTER: “SAPIENT” but anchored to vendor network/C2</w:t>
      </w:r>
    </w:p>
    <w:p w14:paraId="1FDDE22D" w14:textId="77777777" w:rsidR="009727E0" w:rsidRPr="009727E0" w:rsidRDefault="009727E0" w:rsidP="009727E0">
      <w:r w:rsidRPr="009727E0">
        <w:t xml:space="preserve">Brochure lists </w:t>
      </w:r>
      <w:r w:rsidRPr="009727E0">
        <w:rPr>
          <w:b/>
          <w:bCs/>
        </w:rPr>
        <w:t>“SAPIENT standard protocol”</w:t>
      </w:r>
      <w:r w:rsidRPr="009727E0">
        <w:t xml:space="preserve"> and also: </w:t>
      </w:r>
      <w:r w:rsidRPr="009727E0">
        <w:rPr>
          <w:b/>
          <w:bCs/>
        </w:rPr>
        <w:t xml:space="preserve">“can be seamlessly integrated into the </w:t>
      </w:r>
      <w:proofErr w:type="spellStart"/>
      <w:r w:rsidRPr="009727E0">
        <w:rPr>
          <w:b/>
          <w:bCs/>
        </w:rPr>
        <w:t>Skynex</w:t>
      </w:r>
      <w:proofErr w:type="spellEnd"/>
      <w:r w:rsidRPr="009727E0">
        <w:rPr>
          <w:b/>
          <w:bCs/>
        </w:rPr>
        <w:t xml:space="preserve"> system/network via the modular Skymaster solution.”</w:t>
      </w:r>
      <w:r w:rsidRPr="009727E0">
        <w:t xml:space="preserve"> </w:t>
      </w:r>
      <w:hyperlink r:id="rId53" w:tgtFrame="_blank" w:history="1">
        <w:r w:rsidRPr="009727E0">
          <w:rPr>
            <w:rStyle w:val="Hyperlink"/>
          </w:rPr>
          <w:t>rheinmetall.com</w:t>
        </w:r>
      </w:hyperlink>
      <w:r w:rsidRPr="009727E0">
        <w:br/>
        <w:t xml:space="preserve">That’s ecosystem lock-in: you can be “standards compliant” while still requiring the vendor’s </w:t>
      </w:r>
      <w:r w:rsidRPr="009727E0">
        <w:rPr>
          <w:b/>
          <w:bCs/>
        </w:rPr>
        <w:t>C2/network layer</w:t>
      </w:r>
      <w:r w:rsidRPr="009727E0">
        <w:t xml:space="preserve"> for the integrated capability you actually want.</w:t>
      </w:r>
    </w:p>
    <w:p w14:paraId="1E3A9AE3" w14:textId="77777777" w:rsidR="009727E0" w:rsidRPr="009727E0" w:rsidRDefault="009727E0" w:rsidP="009727E0">
      <w:pPr>
        <w:rPr>
          <w:b/>
          <w:bCs/>
        </w:rPr>
      </w:pPr>
      <w:r w:rsidRPr="009727E0">
        <w:rPr>
          <w:b/>
          <w:bCs/>
        </w:rPr>
        <w:t>Saab Counter-UAS: standards + ecosystem strategy (explicit)</w:t>
      </w:r>
    </w:p>
    <w:p w14:paraId="4954B554" w14:textId="77777777" w:rsidR="009727E0" w:rsidRPr="009727E0" w:rsidRDefault="009727E0" w:rsidP="009727E0">
      <w:r w:rsidRPr="009727E0">
        <w:t xml:space="preserve">Saab’s brochure: </w:t>
      </w:r>
      <w:r w:rsidRPr="009727E0">
        <w:rPr>
          <w:b/>
          <w:bCs/>
        </w:rPr>
        <w:t>“Flexible sensor integration using SAPIENT and ASTERIX”</w:t>
      </w:r>
      <w:r w:rsidRPr="009727E0">
        <w:t xml:space="preserve">. </w:t>
      </w:r>
      <w:hyperlink r:id="rId54" w:tgtFrame="_blank" w:history="1">
        <w:r w:rsidRPr="009727E0">
          <w:rPr>
            <w:rStyle w:val="Hyperlink"/>
          </w:rPr>
          <w:t>Start</w:t>
        </w:r>
      </w:hyperlink>
      <w:r w:rsidRPr="009727E0">
        <w:br/>
        <w:t>Same document frames partner integration as creating “</w:t>
      </w:r>
      <w:r w:rsidRPr="009727E0">
        <w:rPr>
          <w:b/>
          <w:bCs/>
        </w:rPr>
        <w:t>greater market reach through Saab’s ecosystem</w:t>
      </w:r>
      <w:r w:rsidRPr="009727E0">
        <w:t xml:space="preserve">.” </w:t>
      </w:r>
      <w:hyperlink r:id="rId55" w:tgtFrame="_blank" w:history="1">
        <w:r w:rsidRPr="009727E0">
          <w:rPr>
            <w:rStyle w:val="Hyperlink"/>
          </w:rPr>
          <w:t>Start</w:t>
        </w:r>
      </w:hyperlink>
      <w:r w:rsidRPr="009727E0">
        <w:br/>
        <w:t>That’s the non-evil version of lock-in: the ecosystem becomes the easiest path to capability growth—until it becomes the only path.</w:t>
      </w:r>
    </w:p>
    <w:p w14:paraId="51BD4090" w14:textId="77777777" w:rsidR="009727E0" w:rsidRPr="009727E0" w:rsidRDefault="009727E0" w:rsidP="009727E0">
      <w:r w:rsidRPr="009727E0">
        <w:pict w14:anchorId="5254DC7C">
          <v:rect id="_x0000_i1096" style="width:0;height:1.5pt" o:hralign="center" o:hrstd="t" o:hr="t" fillcolor="#a0a0a0" stroked="f"/>
        </w:pict>
      </w:r>
    </w:p>
    <w:p w14:paraId="6462C77A" w14:textId="77777777" w:rsidR="009727E0" w:rsidRPr="009727E0" w:rsidRDefault="009727E0" w:rsidP="009727E0">
      <w:pPr>
        <w:rPr>
          <w:b/>
          <w:bCs/>
        </w:rPr>
      </w:pPr>
      <w:r w:rsidRPr="009727E0">
        <w:rPr>
          <w:b/>
          <w:bCs/>
        </w:rPr>
        <w:t>3) How ASTERIX itself enables “open-standard lock-in”</w:t>
      </w:r>
    </w:p>
    <w:p w14:paraId="3C8B7421" w14:textId="77777777" w:rsidR="009727E0" w:rsidRPr="009727E0" w:rsidRDefault="009727E0" w:rsidP="009727E0">
      <w:r w:rsidRPr="009727E0">
        <w:t xml:space="preserve">ASTERIX Part 1 explicitly includes a </w:t>
      </w:r>
      <w:r w:rsidRPr="009727E0">
        <w:rPr>
          <w:b/>
          <w:bCs/>
        </w:rPr>
        <w:t>Special Purpose field</w:t>
      </w:r>
      <w:r w:rsidRPr="009727E0">
        <w:t xml:space="preserve"> to exchange “non-standard information” and says its contents </w:t>
      </w:r>
      <w:r w:rsidRPr="009727E0">
        <w:rPr>
          <w:b/>
          <w:bCs/>
        </w:rPr>
        <w:t>“shall be agreed between the users concerned.”</w:t>
      </w:r>
      <w:r w:rsidRPr="009727E0">
        <w:t xml:space="preserve"> </w:t>
      </w:r>
      <w:hyperlink r:id="rId56" w:tgtFrame="_blank" w:history="1">
        <w:r w:rsidRPr="009727E0">
          <w:rPr>
            <w:rStyle w:val="Hyperlink"/>
          </w:rPr>
          <w:t>Eurocontrol</w:t>
        </w:r>
      </w:hyperlink>
      <w:r w:rsidRPr="009727E0">
        <w:br/>
        <w:t>So a vendor can be “ASTERIX” while still shipping vendor-unique payloads hidden behind the SP mechanism.</w:t>
      </w:r>
    </w:p>
    <w:p w14:paraId="4CF2E38A" w14:textId="77777777" w:rsidR="009727E0" w:rsidRPr="009727E0" w:rsidRDefault="009727E0" w:rsidP="009727E0">
      <w:r w:rsidRPr="009727E0">
        <w:t xml:space="preserve">And EUROCONTROL’s CAT253 (remote monitoring/control) states that </w:t>
      </w:r>
      <w:r w:rsidRPr="009727E0">
        <w:rPr>
          <w:b/>
          <w:bCs/>
        </w:rPr>
        <w:t>“no standard exists”</w:t>
      </w:r>
      <w:r w:rsidRPr="009727E0">
        <w:t xml:space="preserve"> for CAT253 and the solution is “different UAPs for each user.” </w:t>
      </w:r>
      <w:hyperlink r:id="rId57" w:tgtFrame="_blank" w:history="1">
        <w:r w:rsidRPr="009727E0">
          <w:rPr>
            <w:rStyle w:val="Hyperlink"/>
          </w:rPr>
          <w:t>Eurocontrol</w:t>
        </w:r>
      </w:hyperlink>
      <w:r w:rsidRPr="009727E0">
        <w:br/>
        <w:t>That’s basically “standard envelope, custom profiles”—a perfect place for lock-in to grow.</w:t>
      </w:r>
    </w:p>
    <w:p w14:paraId="1D0FFEE6" w14:textId="77777777" w:rsidR="009727E0" w:rsidRPr="009727E0" w:rsidRDefault="009727E0" w:rsidP="009727E0">
      <w:r w:rsidRPr="009727E0">
        <w:pict w14:anchorId="1C9B683A">
          <v:rect id="_x0000_i1097" style="width:0;height:1.5pt" o:hralign="center" o:hrstd="t" o:hr="t" fillcolor="#a0a0a0" stroked="f"/>
        </w:pict>
      </w:r>
    </w:p>
    <w:p w14:paraId="09B28843" w14:textId="77777777" w:rsidR="009727E0" w:rsidRPr="009727E0" w:rsidRDefault="009727E0" w:rsidP="009727E0">
      <w:pPr>
        <w:rPr>
          <w:b/>
          <w:bCs/>
        </w:rPr>
      </w:pPr>
      <w:r w:rsidRPr="009727E0">
        <w:rPr>
          <w:b/>
          <w:bCs/>
        </w:rPr>
        <w:t>4) MOSA (and SOSA-style thinking) — where teams get fooled</w:t>
      </w:r>
    </w:p>
    <w:p w14:paraId="2122297D" w14:textId="77777777" w:rsidR="009727E0" w:rsidRPr="009727E0" w:rsidRDefault="009727E0" w:rsidP="009727E0">
      <w:r w:rsidRPr="009727E0">
        <w:lastRenderedPageBreak/>
        <w:t xml:space="preserve">DoD’s MOSA guide defines MOSA as using interfaces compliant with “widely supported… standards” and enabling components to be “added, removed, or replaced” over the lifecycle. </w:t>
      </w:r>
      <w:hyperlink r:id="rId58" w:tgtFrame="_blank" w:history="1">
        <w:r w:rsidRPr="009727E0">
          <w:rPr>
            <w:rStyle w:val="Hyperlink"/>
          </w:rPr>
          <w:t>cto.mil</w:t>
        </w:r>
      </w:hyperlink>
      <w:r w:rsidRPr="009727E0">
        <w:br/>
        <w:t>In practice, vendors keep lock-in by controlling:</w:t>
      </w:r>
    </w:p>
    <w:p w14:paraId="369E6E43" w14:textId="77777777" w:rsidR="009727E0" w:rsidRPr="009727E0" w:rsidRDefault="009727E0" w:rsidP="009727E0">
      <w:pPr>
        <w:numPr>
          <w:ilvl w:val="0"/>
          <w:numId w:val="29"/>
        </w:numPr>
      </w:pPr>
      <w:r w:rsidRPr="009727E0">
        <w:rPr>
          <w:b/>
          <w:bCs/>
        </w:rPr>
        <w:t>profiles</w:t>
      </w:r>
      <w:r w:rsidRPr="009727E0">
        <w:t xml:space="preserve"> (“our SAPIENT/ASTERIX subset + our extensions”)</w:t>
      </w:r>
    </w:p>
    <w:p w14:paraId="76F8CF9C" w14:textId="77777777" w:rsidR="009727E0" w:rsidRPr="009727E0" w:rsidRDefault="009727E0" w:rsidP="009727E0">
      <w:pPr>
        <w:numPr>
          <w:ilvl w:val="0"/>
          <w:numId w:val="29"/>
        </w:numPr>
      </w:pPr>
      <w:r w:rsidRPr="009727E0">
        <w:rPr>
          <w:b/>
          <w:bCs/>
        </w:rPr>
        <w:t>middleware</w:t>
      </w:r>
      <w:r w:rsidRPr="009727E0">
        <w:t xml:space="preserve"> (the box that “makes it work”)</w:t>
      </w:r>
    </w:p>
    <w:p w14:paraId="42419A9E" w14:textId="77777777" w:rsidR="009727E0" w:rsidRPr="009727E0" w:rsidRDefault="009727E0" w:rsidP="009727E0">
      <w:pPr>
        <w:numPr>
          <w:ilvl w:val="0"/>
          <w:numId w:val="29"/>
        </w:numPr>
      </w:pPr>
      <w:r w:rsidRPr="009727E0">
        <w:rPr>
          <w:b/>
          <w:bCs/>
        </w:rPr>
        <w:t>test/conformance evidence</w:t>
      </w:r>
    </w:p>
    <w:p w14:paraId="69D57E7B" w14:textId="77777777" w:rsidR="009727E0" w:rsidRPr="009727E0" w:rsidRDefault="009727E0" w:rsidP="009727E0">
      <w:pPr>
        <w:numPr>
          <w:ilvl w:val="0"/>
          <w:numId w:val="29"/>
        </w:numPr>
      </w:pPr>
      <w:r w:rsidRPr="009727E0">
        <w:rPr>
          <w:b/>
          <w:bCs/>
        </w:rPr>
        <w:t>lifecycle updates</w:t>
      </w:r>
      <w:r w:rsidRPr="009727E0">
        <w:t xml:space="preserve"> (version drift becomes paid work)</w:t>
      </w:r>
    </w:p>
    <w:p w14:paraId="3E6221C8" w14:textId="77777777" w:rsidR="009727E0" w:rsidRPr="009727E0" w:rsidRDefault="009727E0" w:rsidP="009727E0">
      <w:r w:rsidRPr="009727E0">
        <w:t>(That’s the same pattern SOSA programs see: “slot-level interoperability” but proprietary firmware/drivers and integration kits decide what actually works.)</w:t>
      </w:r>
    </w:p>
    <w:p w14:paraId="55B6BB1D" w14:textId="77777777" w:rsidR="009727E0" w:rsidRPr="009727E0" w:rsidRDefault="009727E0" w:rsidP="009727E0">
      <w:r w:rsidRPr="009727E0">
        <w:pict w14:anchorId="10FA311F">
          <v:rect id="_x0000_i1098" style="width:0;height:1.5pt" o:hralign="center" o:hrstd="t" o:hr="t" fillcolor="#a0a0a0" stroked="f"/>
        </w:pict>
      </w:r>
    </w:p>
    <w:p w14:paraId="5E352FFC" w14:textId="77777777" w:rsidR="009727E0" w:rsidRPr="009727E0" w:rsidRDefault="009727E0" w:rsidP="009727E0">
      <w:pPr>
        <w:rPr>
          <w:b/>
          <w:bCs/>
        </w:rPr>
      </w:pPr>
      <w:r w:rsidRPr="009727E0">
        <w:rPr>
          <w:b/>
          <w:bCs/>
        </w:rPr>
        <w:t>Keywords to search when auditing vendor claims</w:t>
      </w:r>
    </w:p>
    <w:p w14:paraId="397EB854" w14:textId="77777777" w:rsidR="009727E0" w:rsidRPr="009727E0" w:rsidRDefault="009727E0" w:rsidP="009727E0">
      <w:r w:rsidRPr="009727E0">
        <w:t>Use these phrases in RFI/RFP responses and technical annexes:</w:t>
      </w:r>
    </w:p>
    <w:p w14:paraId="4D7249ED" w14:textId="77777777" w:rsidR="009727E0" w:rsidRPr="009727E0" w:rsidRDefault="009727E0" w:rsidP="009727E0">
      <w:pPr>
        <w:numPr>
          <w:ilvl w:val="0"/>
          <w:numId w:val="30"/>
        </w:numPr>
      </w:pPr>
      <w:r w:rsidRPr="009727E0">
        <w:rPr>
          <w:b/>
          <w:bCs/>
        </w:rPr>
        <w:t>“</w:t>
      </w:r>
      <w:proofErr w:type="gramStart"/>
      <w:r w:rsidRPr="009727E0">
        <w:rPr>
          <w:b/>
          <w:bCs/>
        </w:rPr>
        <w:t>available</w:t>
      </w:r>
      <w:proofErr w:type="gramEnd"/>
      <w:r w:rsidRPr="009727E0">
        <w:rPr>
          <w:b/>
          <w:bCs/>
        </w:rPr>
        <w:t xml:space="preserve"> on request”</w:t>
      </w:r>
      <w:r w:rsidRPr="009727E0">
        <w:t xml:space="preserve">, </w:t>
      </w:r>
      <w:r w:rsidRPr="009727E0">
        <w:rPr>
          <w:b/>
          <w:bCs/>
        </w:rPr>
        <w:t>“optional”</w:t>
      </w:r>
      <w:r w:rsidRPr="009727E0">
        <w:t xml:space="preserve">, </w:t>
      </w:r>
      <w:r w:rsidRPr="009727E0">
        <w:rPr>
          <w:b/>
          <w:bCs/>
        </w:rPr>
        <w:t>“SDK required”</w:t>
      </w:r>
      <w:r w:rsidRPr="009727E0">
        <w:t xml:space="preserve">, </w:t>
      </w:r>
      <w:r w:rsidRPr="009727E0">
        <w:rPr>
          <w:b/>
          <w:bCs/>
        </w:rPr>
        <w:t>“customer-defined interface”</w:t>
      </w:r>
    </w:p>
    <w:p w14:paraId="348AFA04" w14:textId="77777777" w:rsidR="009727E0" w:rsidRPr="009727E0" w:rsidRDefault="009727E0" w:rsidP="009727E0">
      <w:pPr>
        <w:numPr>
          <w:ilvl w:val="0"/>
          <w:numId w:val="30"/>
        </w:numPr>
      </w:pPr>
      <w:r w:rsidRPr="009727E0">
        <w:rPr>
          <w:b/>
          <w:bCs/>
        </w:rPr>
        <w:t>“</w:t>
      </w:r>
      <w:proofErr w:type="gramStart"/>
      <w:r w:rsidRPr="009727E0">
        <w:rPr>
          <w:b/>
          <w:bCs/>
        </w:rPr>
        <w:t>native</w:t>
      </w:r>
      <w:proofErr w:type="gramEnd"/>
      <w:r w:rsidRPr="009727E0">
        <w:rPr>
          <w:b/>
          <w:bCs/>
        </w:rPr>
        <w:t xml:space="preserve"> protocol”</w:t>
      </w:r>
      <w:r w:rsidRPr="009727E0">
        <w:t xml:space="preserve">, </w:t>
      </w:r>
      <w:r w:rsidRPr="009727E0">
        <w:rPr>
          <w:b/>
          <w:bCs/>
        </w:rPr>
        <w:t>“proprietary format”</w:t>
      </w:r>
      <w:r w:rsidRPr="009727E0">
        <w:t xml:space="preserve">, </w:t>
      </w:r>
      <w:r w:rsidRPr="009727E0">
        <w:rPr>
          <w:b/>
          <w:bCs/>
        </w:rPr>
        <w:t>“extensions”</w:t>
      </w:r>
      <w:r w:rsidRPr="009727E0">
        <w:t xml:space="preserve">, </w:t>
      </w:r>
      <w:r w:rsidRPr="009727E0">
        <w:rPr>
          <w:b/>
          <w:bCs/>
        </w:rPr>
        <w:t>“Special Purpose field (SP)”</w:t>
      </w:r>
    </w:p>
    <w:p w14:paraId="52A63B07" w14:textId="77777777" w:rsidR="009727E0" w:rsidRPr="009727E0" w:rsidRDefault="009727E0" w:rsidP="009727E0">
      <w:pPr>
        <w:numPr>
          <w:ilvl w:val="0"/>
          <w:numId w:val="30"/>
        </w:numPr>
      </w:pPr>
      <w:r w:rsidRPr="009727E0">
        <w:rPr>
          <w:b/>
          <w:bCs/>
        </w:rPr>
        <w:t>“UAP”</w:t>
      </w:r>
      <w:r w:rsidRPr="009727E0">
        <w:t xml:space="preserve">, </w:t>
      </w:r>
      <w:r w:rsidRPr="009727E0">
        <w:rPr>
          <w:b/>
          <w:bCs/>
        </w:rPr>
        <w:t>“profile”</w:t>
      </w:r>
      <w:r w:rsidRPr="009727E0">
        <w:t xml:space="preserve">, </w:t>
      </w:r>
      <w:r w:rsidRPr="009727E0">
        <w:rPr>
          <w:b/>
          <w:bCs/>
        </w:rPr>
        <w:t>“subset”</w:t>
      </w:r>
      <w:r w:rsidRPr="009727E0">
        <w:t xml:space="preserve">, </w:t>
      </w:r>
      <w:r w:rsidRPr="009727E0">
        <w:rPr>
          <w:b/>
          <w:bCs/>
        </w:rPr>
        <w:t>“conformance evidence”</w:t>
      </w:r>
      <w:r w:rsidRPr="009727E0">
        <w:t xml:space="preserve">, </w:t>
      </w:r>
      <w:r w:rsidRPr="009727E0">
        <w:rPr>
          <w:b/>
          <w:bCs/>
        </w:rPr>
        <w:t>“test harness”</w:t>
      </w:r>
    </w:p>
    <w:p w14:paraId="4E3351A3" w14:textId="77777777" w:rsidR="009727E0" w:rsidRPr="009727E0" w:rsidRDefault="009727E0" w:rsidP="009727E0">
      <w:pPr>
        <w:numPr>
          <w:ilvl w:val="0"/>
          <w:numId w:val="30"/>
        </w:numPr>
      </w:pPr>
      <w:r w:rsidRPr="009727E0">
        <w:rPr>
          <w:b/>
          <w:bCs/>
        </w:rPr>
        <w:t>“</w:t>
      </w:r>
      <w:proofErr w:type="gramStart"/>
      <w:r w:rsidRPr="009727E0">
        <w:rPr>
          <w:b/>
          <w:bCs/>
        </w:rPr>
        <w:t>version</w:t>
      </w:r>
      <w:proofErr w:type="gramEnd"/>
      <w:r w:rsidRPr="009727E0">
        <w:rPr>
          <w:b/>
          <w:bCs/>
        </w:rPr>
        <w:t xml:space="preserve"> roadmap”</w:t>
      </w:r>
      <w:r w:rsidRPr="009727E0">
        <w:t xml:space="preserve">, </w:t>
      </w:r>
      <w:r w:rsidRPr="009727E0">
        <w:rPr>
          <w:b/>
          <w:bCs/>
        </w:rPr>
        <w:t>“upgrade to STANREC/AEDP 4869”</w:t>
      </w:r>
      <w:r w:rsidRPr="009727E0">
        <w:t xml:space="preserve">, </w:t>
      </w:r>
      <w:r w:rsidRPr="009727E0">
        <w:rPr>
          <w:b/>
          <w:bCs/>
        </w:rPr>
        <w:t>“estimated cost/timeline”</w:t>
      </w:r>
    </w:p>
    <w:p w14:paraId="21CFA8BE" w14:textId="77777777" w:rsidR="009727E0" w:rsidRPr="009727E0" w:rsidRDefault="009727E0" w:rsidP="009727E0">
      <w:pPr>
        <w:numPr>
          <w:ilvl w:val="0"/>
          <w:numId w:val="30"/>
        </w:numPr>
      </w:pPr>
      <w:r w:rsidRPr="009727E0">
        <w:rPr>
          <w:b/>
          <w:bCs/>
        </w:rPr>
        <w:t>“</w:t>
      </w:r>
      <w:proofErr w:type="gramStart"/>
      <w:r w:rsidRPr="009727E0">
        <w:rPr>
          <w:b/>
          <w:bCs/>
        </w:rPr>
        <w:t>seamless</w:t>
      </w:r>
      <w:proofErr w:type="gramEnd"/>
      <w:r w:rsidRPr="009727E0">
        <w:rPr>
          <w:b/>
          <w:bCs/>
        </w:rPr>
        <w:t xml:space="preserve"> integration into &lt;vendor&gt; network/C2”</w:t>
      </w:r>
      <w:r w:rsidRPr="009727E0">
        <w:t xml:space="preserve">, </w:t>
      </w:r>
      <w:r w:rsidRPr="009727E0">
        <w:rPr>
          <w:b/>
          <w:bCs/>
        </w:rPr>
        <w:t>“ecosystem/partners marketplace”</w:t>
      </w:r>
    </w:p>
    <w:p w14:paraId="36894249" w14:textId="77777777" w:rsidR="009727E0" w:rsidRPr="009727E0" w:rsidRDefault="009727E0" w:rsidP="009727E0">
      <w:r w:rsidRPr="009727E0">
        <w:pict w14:anchorId="693B20A4">
          <v:rect id="_x0000_i1099" style="width:0;height:1.5pt" o:hralign="center" o:hrstd="t" o:hr="t" fillcolor="#a0a0a0" stroked="f"/>
        </w:pict>
      </w:r>
    </w:p>
    <w:p w14:paraId="4AC0CC60" w14:textId="77777777" w:rsidR="009727E0" w:rsidRPr="009727E0" w:rsidRDefault="009727E0" w:rsidP="009727E0">
      <w:pPr>
        <w:rPr>
          <w:b/>
          <w:bCs/>
        </w:rPr>
      </w:pPr>
      <w:r w:rsidRPr="009727E0">
        <w:rPr>
          <w:b/>
          <w:bCs/>
        </w:rPr>
        <w:t>Pitfall / alternative view</w:t>
      </w:r>
    </w:p>
    <w:p w14:paraId="616D6141" w14:textId="77777777" w:rsidR="009727E0" w:rsidRPr="009727E0" w:rsidRDefault="009727E0" w:rsidP="009727E0">
      <w:r w:rsidRPr="009727E0">
        <w:t xml:space="preserve">Banning anything “proprietary” can backfire: some vendor-specific paths exist because </w:t>
      </w:r>
      <w:r w:rsidRPr="009727E0">
        <w:rPr>
          <w:b/>
          <w:bCs/>
        </w:rPr>
        <w:t>standards lag reality</w:t>
      </w:r>
      <w:r w:rsidRPr="009727E0">
        <w:t xml:space="preserve"> (latency, track quality, EW control, classification metadata). The better goal is </w:t>
      </w:r>
      <w:r w:rsidRPr="009727E0">
        <w:rPr>
          <w:b/>
          <w:bCs/>
        </w:rPr>
        <w:t>escape-friendly procurement</w:t>
      </w:r>
      <w:r w:rsidRPr="009727E0">
        <w:t>: mandate profiles, test artifacts, and upgrade rights so proprietary pieces can’t become the only working</w:t>
      </w:r>
    </w:p>
    <w:p w14:paraId="17222475" w14:textId="77777777" w:rsidR="009727E0" w:rsidRDefault="009727E0"/>
    <w:p w14:paraId="630D96FE" w14:textId="77777777" w:rsidR="009727E0" w:rsidRDefault="009727E0">
      <w:pPr>
        <w:pBdr>
          <w:bottom w:val="single" w:sz="6" w:space="1" w:color="auto"/>
        </w:pBdr>
      </w:pPr>
    </w:p>
    <w:p w14:paraId="0F1B7EEB" w14:textId="77777777" w:rsidR="009727E0" w:rsidRPr="009727E0" w:rsidRDefault="009727E0" w:rsidP="009727E0">
      <w:r w:rsidRPr="009727E0">
        <w:t xml:space="preserve">“Update SAPIENT to NATO STANREC 4869” means: </w:t>
      </w:r>
      <w:r w:rsidRPr="009727E0">
        <w:rPr>
          <w:b/>
          <w:bCs/>
        </w:rPr>
        <w:t>take a system that currently speaks “SAPIENT (BSI Flex 335)” and make it conform to the NATO-standardized version of that same data-exchange interface</w:t>
      </w:r>
      <w:r w:rsidRPr="009727E0">
        <w:t xml:space="preserve">, as published under </w:t>
      </w:r>
      <w:r w:rsidRPr="009727E0">
        <w:rPr>
          <w:b/>
          <w:bCs/>
        </w:rPr>
        <w:t>STANREC 4869 / AEDP-4869</w:t>
      </w:r>
      <w:r w:rsidRPr="009727E0">
        <w:t>.</w:t>
      </w:r>
    </w:p>
    <w:p w14:paraId="2CE0BEA3" w14:textId="77777777" w:rsidR="009727E0" w:rsidRPr="009727E0" w:rsidRDefault="009727E0" w:rsidP="009727E0">
      <w:r w:rsidRPr="009727E0">
        <w:lastRenderedPageBreak/>
        <w:t xml:space="preserve">You’re not “upgrading a label.” You’re aligning to a </w:t>
      </w:r>
      <w:r w:rsidRPr="009727E0">
        <w:rPr>
          <w:b/>
          <w:bCs/>
        </w:rPr>
        <w:t>different normative baseline</w:t>
      </w:r>
      <w:r w:rsidRPr="009727E0">
        <w:t xml:space="preserve"> (schemas, field semantics, profiles, and—eventually—conformance expectations) so your sensors/effectors/C2 can interoperate in NATO exercises and deployments without bespoke adapters.</w:t>
      </w:r>
    </w:p>
    <w:p w14:paraId="44FE2EB5" w14:textId="77777777" w:rsidR="009727E0" w:rsidRPr="009727E0" w:rsidRDefault="009727E0" w:rsidP="009727E0">
      <w:pPr>
        <w:rPr>
          <w:b/>
          <w:bCs/>
        </w:rPr>
      </w:pPr>
      <w:r w:rsidRPr="009727E0">
        <w:rPr>
          <w:b/>
          <w:bCs/>
        </w:rPr>
        <w:t>What STANREC 4869 is, relative to SAPIENT</w:t>
      </w:r>
    </w:p>
    <w:p w14:paraId="6652B822" w14:textId="77777777" w:rsidR="009727E0" w:rsidRPr="009727E0" w:rsidRDefault="009727E0" w:rsidP="009727E0">
      <w:pPr>
        <w:numPr>
          <w:ilvl w:val="0"/>
          <w:numId w:val="31"/>
        </w:numPr>
      </w:pPr>
      <w:r w:rsidRPr="009727E0">
        <w:t xml:space="preserve">UK government describes SAPIENT experimentation as leading to </w:t>
      </w:r>
      <w:r w:rsidRPr="009727E0">
        <w:rPr>
          <w:b/>
          <w:bCs/>
        </w:rPr>
        <w:t>STANREC 4869</w:t>
      </w:r>
      <w:r w:rsidRPr="009727E0">
        <w:t xml:space="preserve">, “a much-needed NATO standard… which enables sensors and effectors from different nations to interoperate effectively in a C-UAS scenario.” </w:t>
      </w:r>
      <w:hyperlink r:id="rId59" w:tgtFrame="_blank" w:history="1">
        <w:r w:rsidRPr="009727E0">
          <w:rPr>
            <w:rStyle w:val="Hyperlink"/>
          </w:rPr>
          <w:t>GOV.UK</w:t>
        </w:r>
      </w:hyperlink>
    </w:p>
    <w:p w14:paraId="0E6EDD27" w14:textId="77777777" w:rsidR="009727E0" w:rsidRPr="009727E0" w:rsidRDefault="009727E0" w:rsidP="009727E0">
      <w:pPr>
        <w:numPr>
          <w:ilvl w:val="0"/>
          <w:numId w:val="31"/>
        </w:numPr>
      </w:pPr>
      <w:r w:rsidRPr="009727E0">
        <w:t xml:space="preserve">NCIA materials treat it as </w:t>
      </w:r>
      <w:r w:rsidRPr="009727E0">
        <w:rPr>
          <w:b/>
          <w:bCs/>
        </w:rPr>
        <w:t>AEDP 4869 (SAPIENT) – NATO standardization</w:t>
      </w:r>
      <w:r w:rsidRPr="009727E0">
        <w:t xml:space="preserve">, i.e., NATO is packaging SAPIENT into a NATO engineering publication (message spec / guidance). </w:t>
      </w:r>
      <w:hyperlink r:id="rId60" w:tgtFrame="_blank" w:history="1">
        <w:r w:rsidRPr="009727E0">
          <w:rPr>
            <w:rStyle w:val="Hyperlink"/>
          </w:rPr>
          <w:t>Eurocontrol</w:t>
        </w:r>
      </w:hyperlink>
    </w:p>
    <w:p w14:paraId="4E26CAC1" w14:textId="77777777" w:rsidR="009727E0" w:rsidRPr="009727E0" w:rsidRDefault="009727E0" w:rsidP="009727E0">
      <w:pPr>
        <w:numPr>
          <w:ilvl w:val="0"/>
          <w:numId w:val="31"/>
        </w:numPr>
      </w:pPr>
      <w:r w:rsidRPr="009727E0">
        <w:t xml:space="preserve">Program/RFI language often bundles these together: “BSI Flex 335 v2, STANREC/AEDP-4869 guidance…” </w:t>
      </w:r>
      <w:hyperlink r:id="rId61" w:tgtFrame="_blank" w:history="1">
        <w:r w:rsidRPr="009727E0">
          <w:rPr>
            <w:rStyle w:val="Hyperlink"/>
          </w:rPr>
          <w:t>act.nato.int</w:t>
        </w:r>
      </w:hyperlink>
    </w:p>
    <w:p w14:paraId="413D20AF" w14:textId="77777777" w:rsidR="009727E0" w:rsidRPr="009727E0" w:rsidRDefault="009727E0" w:rsidP="009727E0">
      <w:pPr>
        <w:numPr>
          <w:ilvl w:val="0"/>
          <w:numId w:val="31"/>
        </w:numPr>
      </w:pPr>
      <w:r w:rsidRPr="009727E0">
        <w:t xml:space="preserve">STANREC 4869 is also described as “Countering Class I UAS Data Exchange Format” in calls and meetings. </w:t>
      </w:r>
      <w:hyperlink r:id="rId62" w:tgtFrame="_blank" w:history="1">
        <w:r w:rsidRPr="009727E0">
          <w:rPr>
            <w:rStyle w:val="Hyperlink"/>
          </w:rPr>
          <w:t>belspo.be+1</w:t>
        </w:r>
      </w:hyperlink>
    </w:p>
    <w:p w14:paraId="611BB9DB" w14:textId="77777777" w:rsidR="009727E0" w:rsidRPr="009727E0" w:rsidRDefault="009727E0" w:rsidP="009727E0">
      <w:pPr>
        <w:rPr>
          <w:b/>
          <w:bCs/>
        </w:rPr>
      </w:pPr>
      <w:r w:rsidRPr="009727E0">
        <w:rPr>
          <w:b/>
          <w:bCs/>
        </w:rPr>
        <w:t>What the “update” typically requires (practically)</w:t>
      </w:r>
    </w:p>
    <w:p w14:paraId="7FB5F00E" w14:textId="77777777" w:rsidR="009727E0" w:rsidRPr="009727E0" w:rsidRDefault="009727E0" w:rsidP="009727E0">
      <w:r w:rsidRPr="009727E0">
        <w:t xml:space="preserve">Think of it as </w:t>
      </w:r>
      <w:r w:rsidRPr="009727E0">
        <w:rPr>
          <w:b/>
          <w:bCs/>
        </w:rPr>
        <w:t>moving from one “dialect/profile/version set” to another</w:t>
      </w:r>
      <w:r w:rsidRPr="009727E0">
        <w:t>.</w:t>
      </w:r>
    </w:p>
    <w:p w14:paraId="01C73FB4" w14:textId="77777777" w:rsidR="009727E0" w:rsidRPr="009727E0" w:rsidRDefault="009727E0" w:rsidP="009727E0">
      <w:pPr>
        <w:numPr>
          <w:ilvl w:val="0"/>
          <w:numId w:val="32"/>
        </w:numPr>
      </w:pPr>
      <w:r w:rsidRPr="009727E0">
        <w:rPr>
          <w:b/>
          <w:bCs/>
        </w:rPr>
        <w:t>Schema and message set alignment</w:t>
      </w:r>
    </w:p>
    <w:p w14:paraId="53E37E2F" w14:textId="77777777" w:rsidR="009727E0" w:rsidRPr="009727E0" w:rsidRDefault="009727E0" w:rsidP="009727E0">
      <w:pPr>
        <w:numPr>
          <w:ilvl w:val="0"/>
          <w:numId w:val="33"/>
        </w:numPr>
      </w:pPr>
      <w:r w:rsidRPr="009727E0">
        <w:t>If you implemented older SAPIENT ICD versions (XML-era or older message definitions), updating likely means adopting the NATO baseline (which tracks modern SAPIENT/BSI Flex work).</w:t>
      </w:r>
    </w:p>
    <w:p w14:paraId="596CA7D8" w14:textId="77777777" w:rsidR="009727E0" w:rsidRPr="009727E0" w:rsidRDefault="009727E0" w:rsidP="009727E0">
      <w:pPr>
        <w:numPr>
          <w:ilvl w:val="0"/>
          <w:numId w:val="33"/>
        </w:numPr>
      </w:pPr>
      <w:r w:rsidRPr="009727E0">
        <w:t xml:space="preserve">The publicly hosted SAPIENT ICD v7 (Feb 2023) is already </w:t>
      </w:r>
      <w:proofErr w:type="spellStart"/>
      <w:r w:rsidRPr="009727E0">
        <w:t>Protobuf</w:t>
      </w:r>
      <w:proofErr w:type="spellEnd"/>
      <w:r w:rsidRPr="009727E0">
        <w:t xml:space="preserve">-based and has ongoing field changes (e.g., velocity fields added to detection messages). </w:t>
      </w:r>
      <w:hyperlink r:id="rId63" w:tgtFrame="_blank" w:history="1">
        <w:r w:rsidRPr="009727E0">
          <w:rPr>
            <w:rStyle w:val="Hyperlink"/>
          </w:rPr>
          <w:t>assets.publishing.service.gov.uk</w:t>
        </w:r>
      </w:hyperlink>
    </w:p>
    <w:p w14:paraId="386FE0FC" w14:textId="77777777" w:rsidR="009727E0" w:rsidRPr="009727E0" w:rsidRDefault="009727E0" w:rsidP="009727E0">
      <w:pPr>
        <w:numPr>
          <w:ilvl w:val="0"/>
          <w:numId w:val="33"/>
        </w:numPr>
      </w:pPr>
      <w:r w:rsidRPr="009727E0">
        <w:t xml:space="preserve">Vendors are already referencing “BSI Flex 335 v2.0 / NATO STANREC 4869 draft 6” as a specific compatibility target in the wild. </w:t>
      </w:r>
      <w:hyperlink r:id="rId64" w:tgtFrame="_blank" w:history="1">
        <w:r w:rsidRPr="009727E0">
          <w:rPr>
            <w:rStyle w:val="Hyperlink"/>
          </w:rPr>
          <w:t>GitHub</w:t>
        </w:r>
      </w:hyperlink>
    </w:p>
    <w:p w14:paraId="37170362" w14:textId="77777777" w:rsidR="009727E0" w:rsidRPr="009727E0" w:rsidRDefault="009727E0" w:rsidP="009727E0">
      <w:pPr>
        <w:numPr>
          <w:ilvl w:val="0"/>
          <w:numId w:val="34"/>
        </w:numPr>
      </w:pPr>
      <w:r w:rsidRPr="009727E0">
        <w:rPr>
          <w:b/>
          <w:bCs/>
        </w:rPr>
        <w:t>Field semantics, coordinate systems, units, and datums</w:t>
      </w:r>
      <w:r w:rsidRPr="009727E0">
        <w:br/>
        <w:t xml:space="preserve">Even if two systems serialize the “same” </w:t>
      </w:r>
      <w:proofErr w:type="spellStart"/>
      <w:r w:rsidRPr="009727E0">
        <w:t>Protobuf</w:t>
      </w:r>
      <w:proofErr w:type="spellEnd"/>
      <w:r w:rsidRPr="009727E0">
        <w:t xml:space="preserve"> fields, NATO will care about consistent semantics. NCIA’s deck shows NATO-formatted SAPIENT/AEDP messages explicitly carrying:</w:t>
      </w:r>
    </w:p>
    <w:p w14:paraId="08E9864B" w14:textId="77777777" w:rsidR="009727E0" w:rsidRPr="009727E0" w:rsidRDefault="009727E0" w:rsidP="009727E0">
      <w:pPr>
        <w:numPr>
          <w:ilvl w:val="0"/>
          <w:numId w:val="35"/>
        </w:numPr>
      </w:pPr>
      <w:proofErr w:type="spellStart"/>
      <w:r w:rsidRPr="009727E0">
        <w:t>coordinate_system</w:t>
      </w:r>
      <w:proofErr w:type="spellEnd"/>
      <w:r w:rsidRPr="009727E0">
        <w:t xml:space="preserve"> (e.g., LAT/LNG in radians, meters)</w:t>
      </w:r>
    </w:p>
    <w:p w14:paraId="01D1ADDD" w14:textId="77777777" w:rsidR="009727E0" w:rsidRPr="009727E0" w:rsidRDefault="009727E0" w:rsidP="009727E0">
      <w:pPr>
        <w:numPr>
          <w:ilvl w:val="0"/>
          <w:numId w:val="35"/>
        </w:numPr>
      </w:pPr>
      <w:r w:rsidRPr="009727E0">
        <w:lastRenderedPageBreak/>
        <w:t>datum (e.g., WGS84)</w:t>
      </w:r>
      <w:r w:rsidRPr="009727E0">
        <w:br/>
        <w:t xml:space="preserve">inside the detection report. </w:t>
      </w:r>
      <w:hyperlink r:id="rId65" w:tgtFrame="_blank" w:history="1">
        <w:r w:rsidRPr="009727E0">
          <w:rPr>
            <w:rStyle w:val="Hyperlink"/>
          </w:rPr>
          <w:t>Eurocontrol</w:t>
        </w:r>
      </w:hyperlink>
      <w:r w:rsidRPr="009727E0">
        <w:br/>
        <w:t xml:space="preserve">Updating to STANREC 4869 can mean your implementation must </w:t>
      </w:r>
      <w:r w:rsidRPr="009727E0">
        <w:rPr>
          <w:b/>
          <w:bCs/>
        </w:rPr>
        <w:t>populate and interpret these fields exactly as NATO specifies</w:t>
      </w:r>
      <w:r w:rsidRPr="009727E0">
        <w:t>, not “whatever worked in our lab.”</w:t>
      </w:r>
    </w:p>
    <w:p w14:paraId="640796C1" w14:textId="77777777" w:rsidR="009727E0" w:rsidRPr="009727E0" w:rsidRDefault="009727E0" w:rsidP="009727E0">
      <w:pPr>
        <w:numPr>
          <w:ilvl w:val="0"/>
          <w:numId w:val="36"/>
        </w:numPr>
      </w:pPr>
      <w:r w:rsidRPr="009727E0">
        <w:rPr>
          <w:b/>
          <w:bCs/>
        </w:rPr>
        <w:t>Profiles and optional-field discipline</w:t>
      </w:r>
      <w:r w:rsidRPr="009727E0">
        <w:br/>
        <w:t>SAPIENT/BSI Flex is intentionally extensible; NATO standardization usually narrows this by:</w:t>
      </w:r>
    </w:p>
    <w:p w14:paraId="122F4F0C" w14:textId="77777777" w:rsidR="009727E0" w:rsidRPr="009727E0" w:rsidRDefault="009727E0" w:rsidP="009727E0">
      <w:pPr>
        <w:numPr>
          <w:ilvl w:val="0"/>
          <w:numId w:val="37"/>
        </w:numPr>
      </w:pPr>
      <w:r w:rsidRPr="009727E0">
        <w:t>defining required subsets for interoperability (“this must be present for TIE-style exercises”),</w:t>
      </w:r>
    </w:p>
    <w:p w14:paraId="3BF83D2D" w14:textId="77777777" w:rsidR="009727E0" w:rsidRPr="009727E0" w:rsidRDefault="009727E0" w:rsidP="009727E0">
      <w:pPr>
        <w:numPr>
          <w:ilvl w:val="0"/>
          <w:numId w:val="37"/>
        </w:numPr>
      </w:pPr>
      <w:r w:rsidRPr="009727E0">
        <w:t>tightening definitions for IDs, confidence, track/detection objects, etc.</w:t>
      </w:r>
      <w:r w:rsidRPr="009727E0">
        <w:br/>
        <w:t xml:space="preserve">That’s why procurement questionnaires ask about “ability to update” and cost/timeline—because it is real engineering work. </w:t>
      </w:r>
      <w:hyperlink r:id="rId66" w:tgtFrame="_blank" w:history="1">
        <w:r w:rsidRPr="009727E0">
          <w:rPr>
            <w:rStyle w:val="Hyperlink"/>
          </w:rPr>
          <w:t>mindev.gov.gr</w:t>
        </w:r>
      </w:hyperlink>
    </w:p>
    <w:p w14:paraId="3D4FBB91" w14:textId="77777777" w:rsidR="009727E0" w:rsidRPr="009727E0" w:rsidRDefault="009727E0" w:rsidP="009727E0">
      <w:pPr>
        <w:numPr>
          <w:ilvl w:val="0"/>
          <w:numId w:val="38"/>
        </w:numPr>
      </w:pPr>
      <w:r w:rsidRPr="009727E0">
        <w:rPr>
          <w:b/>
          <w:bCs/>
        </w:rPr>
        <w:t>Conformance &amp; interoperability evidence</w:t>
      </w:r>
      <w:r w:rsidRPr="009727E0">
        <w:br/>
        <w:t>Your “update” isn’t complete when it compiles; it’s complete when you can prove interop against NATO partners.</w:t>
      </w:r>
      <w:r w:rsidRPr="009727E0">
        <w:br/>
        <w:t xml:space="preserve">NATO’s ACT RFI explicitly talks about baseline standards alignment and points back to the Dstl-hosted SAPIENT documentation as the reference set. </w:t>
      </w:r>
      <w:hyperlink r:id="rId67" w:tgtFrame="_blank" w:history="1">
        <w:r w:rsidRPr="009727E0">
          <w:rPr>
            <w:rStyle w:val="Hyperlink"/>
          </w:rPr>
          <w:t>act.nato.int</w:t>
        </w:r>
      </w:hyperlink>
      <w:r w:rsidRPr="009727E0">
        <w:br/>
        <w:t xml:space="preserve">Vendors also cite interoperability exercises (e.g., “TIE-24 interoperability tested”) as part of claiming alignment. </w:t>
      </w:r>
      <w:hyperlink r:id="rId68" w:tgtFrame="_blank" w:history="1">
        <w:r w:rsidRPr="009727E0">
          <w:rPr>
            <w:rStyle w:val="Hyperlink"/>
          </w:rPr>
          <w:t>GitHub</w:t>
        </w:r>
      </w:hyperlink>
    </w:p>
    <w:p w14:paraId="36DB89CF" w14:textId="77777777" w:rsidR="009727E0" w:rsidRPr="009727E0" w:rsidRDefault="009727E0" w:rsidP="009727E0">
      <w:pPr>
        <w:rPr>
          <w:b/>
          <w:bCs/>
        </w:rPr>
      </w:pPr>
      <w:r w:rsidRPr="009727E0">
        <w:rPr>
          <w:b/>
          <w:bCs/>
        </w:rPr>
        <w:t>Why buyers ask this question (what they’re really probing)</w:t>
      </w:r>
    </w:p>
    <w:p w14:paraId="1F42A5C4" w14:textId="77777777" w:rsidR="009727E0" w:rsidRPr="009727E0" w:rsidRDefault="009727E0" w:rsidP="009727E0">
      <w:r w:rsidRPr="009727E0">
        <w:t>That exact wording appears in procurement questionnaires:</w:t>
      </w:r>
    </w:p>
    <w:p w14:paraId="5ADE0254" w14:textId="77777777" w:rsidR="009727E0" w:rsidRPr="009727E0" w:rsidRDefault="009727E0" w:rsidP="009727E0">
      <w:r w:rsidRPr="009727E0">
        <w:t xml:space="preserve">“Is SAPIENT (BSI Flex 335) one of them? … Would you be able to update the SAPIENT implementation to the NATO STANREC 4869 when this standard will be available? What are the estimated cost and implementation timelines?” </w:t>
      </w:r>
      <w:hyperlink r:id="rId69" w:tgtFrame="_blank" w:history="1">
        <w:r w:rsidRPr="009727E0">
          <w:rPr>
            <w:rStyle w:val="Hyperlink"/>
          </w:rPr>
          <w:t>mindev.gov.gr</w:t>
        </w:r>
      </w:hyperlink>
    </w:p>
    <w:p w14:paraId="120C3E37" w14:textId="77777777" w:rsidR="009727E0" w:rsidRPr="009727E0" w:rsidRDefault="009727E0" w:rsidP="009727E0">
      <w:r w:rsidRPr="009727E0">
        <w:t>They’re probing whether:</w:t>
      </w:r>
    </w:p>
    <w:p w14:paraId="7ABB7475" w14:textId="77777777" w:rsidR="009727E0" w:rsidRPr="009727E0" w:rsidRDefault="009727E0" w:rsidP="009727E0">
      <w:pPr>
        <w:numPr>
          <w:ilvl w:val="0"/>
          <w:numId w:val="39"/>
        </w:numPr>
      </w:pPr>
      <w:r w:rsidRPr="009727E0">
        <w:t xml:space="preserve">you implemented SAPIENT in a </w:t>
      </w:r>
      <w:r w:rsidRPr="009727E0">
        <w:rPr>
          <w:b/>
          <w:bCs/>
        </w:rPr>
        <w:t>maintainable</w:t>
      </w:r>
      <w:r w:rsidRPr="009727E0">
        <w:t xml:space="preserve"> way (not hard-coded </w:t>
      </w:r>
      <w:proofErr w:type="spellStart"/>
      <w:r w:rsidRPr="009727E0">
        <w:t>enums</w:t>
      </w:r>
      <w:proofErr w:type="spellEnd"/>
      <w:r w:rsidRPr="009727E0">
        <w:t>/taxonomy),</w:t>
      </w:r>
    </w:p>
    <w:p w14:paraId="046F9A5A" w14:textId="77777777" w:rsidR="009727E0" w:rsidRPr="009727E0" w:rsidRDefault="009727E0" w:rsidP="009727E0">
      <w:pPr>
        <w:numPr>
          <w:ilvl w:val="0"/>
          <w:numId w:val="39"/>
        </w:numPr>
      </w:pPr>
      <w:r w:rsidRPr="009727E0">
        <w:t>you can track NATO versions without rebuilding your whole product,</w:t>
      </w:r>
    </w:p>
    <w:p w14:paraId="48812D43" w14:textId="77777777" w:rsidR="009727E0" w:rsidRPr="009727E0" w:rsidRDefault="009727E0" w:rsidP="009727E0">
      <w:pPr>
        <w:numPr>
          <w:ilvl w:val="0"/>
          <w:numId w:val="39"/>
        </w:numPr>
      </w:pPr>
      <w:r w:rsidRPr="009727E0">
        <w:t>you will treat future updates as “included” vs a paid lock-in lever.</w:t>
      </w:r>
    </w:p>
    <w:p w14:paraId="1EB23085" w14:textId="77777777" w:rsidR="009727E0" w:rsidRPr="009727E0" w:rsidRDefault="009727E0" w:rsidP="009727E0">
      <w:pPr>
        <w:rPr>
          <w:b/>
          <w:bCs/>
        </w:rPr>
      </w:pPr>
      <w:r w:rsidRPr="009727E0">
        <w:rPr>
          <w:b/>
          <w:bCs/>
        </w:rPr>
        <w:t>A procurement-friendly translation</w:t>
      </w:r>
    </w:p>
    <w:p w14:paraId="34FC153D" w14:textId="77777777" w:rsidR="009727E0" w:rsidRPr="009727E0" w:rsidRDefault="009727E0" w:rsidP="009727E0">
      <w:r w:rsidRPr="009727E0">
        <w:t>When you see “update to STANREC 4869,” read it as:</w:t>
      </w:r>
    </w:p>
    <w:p w14:paraId="45C7A478" w14:textId="77777777" w:rsidR="009727E0" w:rsidRPr="009727E0" w:rsidRDefault="009727E0" w:rsidP="009727E0">
      <w:r w:rsidRPr="009727E0">
        <w:lastRenderedPageBreak/>
        <w:t>“Can your system track the NATO-standard SAPIENT baseline (schemas + semantics + profile), demonstrate interoperability in NATO contexts, and do so on a predictable cost/schedule?”</w:t>
      </w:r>
    </w:p>
    <w:p w14:paraId="16FD6B3C" w14:textId="77777777" w:rsidR="009727E0" w:rsidRPr="009727E0" w:rsidRDefault="009727E0" w:rsidP="009727E0">
      <w:r w:rsidRPr="009727E0">
        <w:pict w14:anchorId="343923B4">
          <v:rect id="_x0000_i1111" style="width:0;height:1.5pt" o:hralign="center" o:hrstd="t" o:hr="t" fillcolor="#a0a0a0" stroked="f"/>
        </w:pict>
      </w:r>
    </w:p>
    <w:p w14:paraId="130795E5" w14:textId="77777777" w:rsidR="009727E0" w:rsidRPr="009727E0" w:rsidRDefault="009727E0" w:rsidP="009727E0">
      <w:pPr>
        <w:pBdr>
          <w:bottom w:val="single" w:sz="6" w:space="1" w:color="auto"/>
        </w:pBdr>
      </w:pPr>
      <w:r w:rsidRPr="009727E0">
        <w:rPr>
          <w:b/>
          <w:bCs/>
        </w:rPr>
        <w:t>Pitfall / alternative view:</w:t>
      </w:r>
      <w:r w:rsidRPr="009727E0">
        <w:t xml:space="preserve"> sometimes “update to STANREC 4869” gets used as a soft lock-in lever (“sure, we can… as a paid upgrade / new license tier”). The mitigation is to require </w:t>
      </w:r>
      <w:r w:rsidRPr="009727E0">
        <w:rPr>
          <w:b/>
          <w:bCs/>
        </w:rPr>
        <w:t>versioned conformance artifacts</w:t>
      </w:r>
      <w:r w:rsidRPr="009727E0">
        <w:t xml:space="preserve"> (schemas, test vectors, and interop results) and put </w:t>
      </w:r>
      <w:r w:rsidRPr="009727E0">
        <w:rPr>
          <w:b/>
          <w:bCs/>
        </w:rPr>
        <w:t>update rights</w:t>
      </w:r>
      <w:r w:rsidRPr="009727E0">
        <w:t xml:space="preserve"> (and caps) into the sustainment clauses, instead of treating “supports SAPIENT” as a one-time checkbox.</w:t>
      </w:r>
    </w:p>
    <w:p w14:paraId="22B29B4A" w14:textId="77777777" w:rsidR="009727E0" w:rsidRDefault="009727E0"/>
    <w:p w14:paraId="39B1850C" w14:textId="77777777" w:rsidR="009727E0" w:rsidRPr="009727E0" w:rsidRDefault="009727E0" w:rsidP="009727E0">
      <w:pPr>
        <w:rPr>
          <w:b/>
          <w:bCs/>
        </w:rPr>
      </w:pPr>
      <w:r w:rsidRPr="009727E0">
        <w:rPr>
          <w:b/>
          <w:bCs/>
        </w:rPr>
        <w:t>SAPIENT: the closest thing to a “strict enough” sub-standard is STANREC/AEDP-4869 + a conformance harness</w:t>
      </w:r>
    </w:p>
    <w:p w14:paraId="6A49E716" w14:textId="77777777" w:rsidR="009727E0" w:rsidRPr="009727E0" w:rsidRDefault="009727E0" w:rsidP="009727E0">
      <w:r w:rsidRPr="009727E0">
        <w:t>If you want SAPIENT without “SAPIENT-</w:t>
      </w:r>
      <w:proofErr w:type="spellStart"/>
      <w:r w:rsidRPr="009727E0">
        <w:t>ish</w:t>
      </w:r>
      <w:proofErr w:type="spellEnd"/>
      <w:r w:rsidRPr="009727E0">
        <w:t>”, the practical strictness comes from:</w:t>
      </w:r>
    </w:p>
    <w:p w14:paraId="30332D01" w14:textId="77777777" w:rsidR="009727E0" w:rsidRPr="009727E0" w:rsidRDefault="009727E0" w:rsidP="009727E0">
      <w:pPr>
        <w:numPr>
          <w:ilvl w:val="0"/>
          <w:numId w:val="40"/>
        </w:numPr>
      </w:pPr>
      <w:r w:rsidRPr="009727E0">
        <w:rPr>
          <w:b/>
          <w:bCs/>
        </w:rPr>
        <w:t>Targeting a specific baseline</w:t>
      </w:r>
      <w:r w:rsidRPr="009727E0">
        <w:t xml:space="preserve">: NATO’s </w:t>
      </w:r>
      <w:r w:rsidRPr="009727E0">
        <w:rPr>
          <w:b/>
          <w:bCs/>
        </w:rPr>
        <w:t>AEDP/ STANREC 4869 (SAPIENT)</w:t>
      </w:r>
      <w:r w:rsidRPr="009727E0">
        <w:t xml:space="preserve"> is being treated as the NATO standardization point. </w:t>
      </w:r>
      <w:hyperlink r:id="rId70" w:tgtFrame="_blank" w:history="1">
        <w:r w:rsidRPr="009727E0">
          <w:rPr>
            <w:rStyle w:val="Hyperlink"/>
          </w:rPr>
          <w:t>Eurocontrol+1</w:t>
        </w:r>
      </w:hyperlink>
    </w:p>
    <w:p w14:paraId="36525C6D" w14:textId="77777777" w:rsidR="009727E0" w:rsidRPr="009727E0" w:rsidRDefault="009727E0" w:rsidP="009727E0">
      <w:pPr>
        <w:numPr>
          <w:ilvl w:val="0"/>
          <w:numId w:val="40"/>
        </w:numPr>
      </w:pPr>
      <w:r w:rsidRPr="009727E0">
        <w:rPr>
          <w:b/>
          <w:bCs/>
        </w:rPr>
        <w:t>Pinning to a specific BSI Flex release</w:t>
      </w:r>
      <w:r w:rsidRPr="009727E0">
        <w:t xml:space="preserve"> (e.g., Flex 335 v2). </w:t>
      </w:r>
      <w:hyperlink r:id="rId71" w:tgtFrame="_blank" w:history="1">
        <w:r w:rsidRPr="009727E0">
          <w:rPr>
            <w:rStyle w:val="Hyperlink"/>
          </w:rPr>
          <w:t>BSI+1</w:t>
        </w:r>
      </w:hyperlink>
    </w:p>
    <w:p w14:paraId="10B08C01" w14:textId="77777777" w:rsidR="009727E0" w:rsidRPr="009727E0" w:rsidRDefault="009727E0" w:rsidP="009727E0">
      <w:pPr>
        <w:numPr>
          <w:ilvl w:val="0"/>
          <w:numId w:val="40"/>
        </w:numPr>
      </w:pPr>
      <w:r w:rsidRPr="009727E0">
        <w:rPr>
          <w:b/>
          <w:bCs/>
        </w:rPr>
        <w:t>Requiring proof via test tooling</w:t>
      </w:r>
      <w:r w:rsidRPr="009727E0">
        <w:t xml:space="preserve">: Dstl publishes a </w:t>
      </w:r>
      <w:r w:rsidRPr="009727E0">
        <w:rPr>
          <w:b/>
          <w:bCs/>
        </w:rPr>
        <w:t>BSI Flex 335 v2 test harness</w:t>
      </w:r>
      <w:r w:rsidRPr="009727E0">
        <w:t xml:space="preserve"> explicitly “to test compliance… to the SAPIENT standard.” </w:t>
      </w:r>
      <w:hyperlink r:id="rId72" w:tgtFrame="_blank" w:history="1">
        <w:r w:rsidRPr="009727E0">
          <w:rPr>
            <w:rStyle w:val="Hyperlink"/>
          </w:rPr>
          <w:t>GitHub+1</w:t>
        </w:r>
      </w:hyperlink>
    </w:p>
    <w:p w14:paraId="5FF7C400" w14:textId="77777777" w:rsidR="009727E0" w:rsidRPr="009727E0" w:rsidRDefault="009727E0" w:rsidP="009727E0">
      <w:r w:rsidRPr="009727E0">
        <w:t>Why this helps: it turns “supports SAPIENT” into “passes these tests for this exact version/profile.”</w:t>
      </w:r>
    </w:p>
    <w:p w14:paraId="3F271256" w14:textId="77777777" w:rsidR="009727E0" w:rsidRPr="009727E0" w:rsidRDefault="009727E0" w:rsidP="009727E0">
      <w:r w:rsidRPr="009727E0">
        <w:t>Procurement language that actually bites:</w:t>
      </w:r>
    </w:p>
    <w:p w14:paraId="58F73B04" w14:textId="77777777" w:rsidR="009727E0" w:rsidRPr="009727E0" w:rsidRDefault="009727E0" w:rsidP="009727E0">
      <w:pPr>
        <w:numPr>
          <w:ilvl w:val="0"/>
          <w:numId w:val="41"/>
        </w:numPr>
      </w:pPr>
      <w:r w:rsidRPr="009727E0">
        <w:t>“Must pass Dstl BSI-Flex-335-v2 test harness test suite X/Y/Z, provide logs/artifacts.”</w:t>
      </w:r>
    </w:p>
    <w:p w14:paraId="1F9FF720" w14:textId="77777777" w:rsidR="009727E0" w:rsidRPr="009727E0" w:rsidRDefault="009727E0" w:rsidP="009727E0">
      <w:pPr>
        <w:numPr>
          <w:ilvl w:val="0"/>
          <w:numId w:val="41"/>
        </w:numPr>
      </w:pPr>
      <w:r w:rsidRPr="009727E0">
        <w:t>“Must support AEDP-4869 message set A/B/C with required fields populated per profile.”</w:t>
      </w:r>
    </w:p>
    <w:p w14:paraId="56D844F7" w14:textId="77777777" w:rsidR="009727E0" w:rsidRPr="009727E0" w:rsidRDefault="009727E0" w:rsidP="009727E0">
      <w:pPr>
        <w:numPr>
          <w:ilvl w:val="0"/>
          <w:numId w:val="41"/>
        </w:numPr>
      </w:pPr>
      <w:r w:rsidRPr="009727E0">
        <w:t>“No vendor-private message types unless documented and licensed for buyer implementation.”</w:t>
      </w:r>
    </w:p>
    <w:p w14:paraId="41DA965D" w14:textId="77777777" w:rsidR="009727E0" w:rsidRPr="009727E0" w:rsidRDefault="009727E0" w:rsidP="009727E0">
      <w:r w:rsidRPr="009727E0">
        <w:t xml:space="preserve">(You’ll also see NATO itself pushing for this kind of evidence—recent NATO ACT material focuses primarily on SAPIENT for interoperability and asks about test artifacts. </w:t>
      </w:r>
      <w:hyperlink r:id="rId73" w:tgtFrame="_blank" w:history="1">
        <w:r w:rsidRPr="009727E0">
          <w:rPr>
            <w:rStyle w:val="Hyperlink"/>
          </w:rPr>
          <w:t>act.nato.int+1</w:t>
        </w:r>
      </w:hyperlink>
      <w:r w:rsidRPr="009727E0">
        <w:t>)</w:t>
      </w:r>
    </w:p>
    <w:p w14:paraId="79C7576E" w14:textId="77777777" w:rsidR="009727E0" w:rsidRPr="009727E0" w:rsidRDefault="009727E0" w:rsidP="009727E0">
      <w:r w:rsidRPr="009727E0">
        <w:pict w14:anchorId="20173D65">
          <v:rect id="_x0000_i1137" style="width:0;height:1.5pt" o:hralign="center" o:hrstd="t" o:hr="t" fillcolor="#a0a0a0" stroked="f"/>
        </w:pict>
      </w:r>
    </w:p>
    <w:p w14:paraId="6F721B82" w14:textId="77777777" w:rsidR="009727E0" w:rsidRPr="009727E0" w:rsidRDefault="009727E0" w:rsidP="009727E0">
      <w:pPr>
        <w:rPr>
          <w:b/>
          <w:bCs/>
        </w:rPr>
      </w:pPr>
      <w:r w:rsidRPr="009727E0">
        <w:rPr>
          <w:b/>
          <w:bCs/>
        </w:rPr>
        <w:t>ASTERIX: use categories that have a single standard UAP, and avoid categories that admit “custom UAP per user”</w:t>
      </w:r>
    </w:p>
    <w:p w14:paraId="07963082" w14:textId="77777777" w:rsidR="009727E0" w:rsidRPr="009727E0" w:rsidRDefault="009727E0" w:rsidP="009727E0">
      <w:r w:rsidRPr="009727E0">
        <w:lastRenderedPageBreak/>
        <w:t xml:space="preserve">ASTERIX is “open,” but it is </w:t>
      </w:r>
      <w:r w:rsidRPr="009727E0">
        <w:rPr>
          <w:b/>
          <w:bCs/>
        </w:rPr>
        <w:t>deliberately profile-driven</w:t>
      </w:r>
      <w:r w:rsidRPr="009727E0">
        <w:t xml:space="preserve"> via the User Application Profile (UAP). The ASTERIX core spec says UAP is the mechanism by which the mapping of items/fields is standardized and is essentially a “control table” for encode/decode. </w:t>
      </w:r>
      <w:hyperlink r:id="rId74" w:tgtFrame="_blank" w:history="1">
        <w:r w:rsidRPr="009727E0">
          <w:rPr>
            <w:rStyle w:val="Hyperlink"/>
          </w:rPr>
          <w:t>Eurocontrol+1</w:t>
        </w:r>
      </w:hyperlink>
    </w:p>
    <w:p w14:paraId="27CF9C75" w14:textId="77777777" w:rsidR="009727E0" w:rsidRPr="009727E0" w:rsidRDefault="009727E0" w:rsidP="009727E0">
      <w:r w:rsidRPr="009727E0">
        <w:rPr>
          <w:b/>
          <w:bCs/>
        </w:rPr>
        <w:t>Good news:</w:t>
      </w:r>
      <w:r w:rsidRPr="009727E0">
        <w:t xml:space="preserve"> some categories are strict about the profile. Example: CAT048 (</w:t>
      </w:r>
      <w:proofErr w:type="spellStart"/>
      <w:r w:rsidRPr="009727E0">
        <w:t>monoradar</w:t>
      </w:r>
      <w:proofErr w:type="spellEnd"/>
      <w:r w:rsidRPr="009727E0">
        <w:t xml:space="preserve"> target reports) states:</w:t>
      </w:r>
    </w:p>
    <w:p w14:paraId="62B1F4F1" w14:textId="77777777" w:rsidR="009727E0" w:rsidRPr="009727E0" w:rsidRDefault="009727E0" w:rsidP="009727E0">
      <w:r w:rsidRPr="009727E0">
        <w:t xml:space="preserve">“A single User Application Profile (UAP) is defined and shall be used…” </w:t>
      </w:r>
      <w:hyperlink r:id="rId75" w:tgtFrame="_blank" w:history="1">
        <w:r w:rsidRPr="009727E0">
          <w:rPr>
            <w:rStyle w:val="Hyperlink"/>
          </w:rPr>
          <w:t>Eurocontrol+1</w:t>
        </w:r>
      </w:hyperlink>
    </w:p>
    <w:p w14:paraId="600EA37B" w14:textId="77777777" w:rsidR="009727E0" w:rsidRPr="009727E0" w:rsidRDefault="009727E0" w:rsidP="009727E0">
      <w:r w:rsidRPr="009727E0">
        <w:rPr>
          <w:b/>
          <w:bCs/>
        </w:rPr>
        <w:t>Bad news:</w:t>
      </w:r>
      <w:r w:rsidRPr="009727E0">
        <w:t xml:space="preserve"> some categories are explicitly </w:t>
      </w:r>
      <w:r w:rsidRPr="009727E0">
        <w:rPr>
          <w:i/>
          <w:iCs/>
        </w:rPr>
        <w:t>not standardized</w:t>
      </w:r>
      <w:r w:rsidRPr="009727E0">
        <w:t xml:space="preserve">, and Eurocontrol resolves it by defining </w:t>
      </w:r>
      <w:r w:rsidRPr="009727E0">
        <w:rPr>
          <w:b/>
          <w:bCs/>
        </w:rPr>
        <w:t>different UAPs for each user</w:t>
      </w:r>
      <w:r w:rsidRPr="009727E0">
        <w:t>. CAT253 (Remote Station Monitoring and Control) says:</w:t>
      </w:r>
    </w:p>
    <w:p w14:paraId="2CA28F09" w14:textId="77777777" w:rsidR="009727E0" w:rsidRPr="009727E0" w:rsidRDefault="009727E0" w:rsidP="009727E0">
      <w:r w:rsidRPr="009727E0">
        <w:t xml:space="preserve">“Until now, no standard exists… The problem of different applications is solved by defining different UAPs for each user.” </w:t>
      </w:r>
      <w:hyperlink r:id="rId76" w:tgtFrame="_blank" w:history="1">
        <w:r w:rsidRPr="009727E0">
          <w:rPr>
            <w:rStyle w:val="Hyperlink"/>
          </w:rPr>
          <w:t>Eurocontrol+2Eurocontrol+2</w:t>
        </w:r>
      </w:hyperlink>
    </w:p>
    <w:p w14:paraId="73560E94" w14:textId="77777777" w:rsidR="009727E0" w:rsidRPr="009727E0" w:rsidRDefault="009727E0" w:rsidP="009727E0">
      <w:r w:rsidRPr="009727E0">
        <w:t xml:space="preserve">This is exactly the “open standard that still locks you in” mechanism: if you rely on CAT253 for control/health/config, you’re likely relying on </w:t>
      </w:r>
      <w:r w:rsidRPr="009727E0">
        <w:rPr>
          <w:b/>
          <w:bCs/>
        </w:rPr>
        <w:t>vendor-/user-specific UAPs</w:t>
      </w:r>
      <w:r w:rsidRPr="009727E0">
        <w:t xml:space="preserve"> (DFS, NATS, Thales are listed as “users” in the spec). </w:t>
      </w:r>
      <w:hyperlink r:id="rId77" w:tgtFrame="_blank" w:history="1">
        <w:r w:rsidRPr="009727E0">
          <w:rPr>
            <w:rStyle w:val="Hyperlink"/>
          </w:rPr>
          <w:t>Eurocontrol+1</w:t>
        </w:r>
      </w:hyperlink>
    </w:p>
    <w:p w14:paraId="477A3A74" w14:textId="77777777" w:rsidR="009727E0" w:rsidRPr="009727E0" w:rsidRDefault="009727E0" w:rsidP="009727E0">
      <w:r w:rsidRPr="009727E0">
        <w:t>Procurement posture that reduces lock-in:</w:t>
      </w:r>
    </w:p>
    <w:p w14:paraId="37214331" w14:textId="77777777" w:rsidR="009727E0" w:rsidRPr="009727E0" w:rsidRDefault="009727E0" w:rsidP="009727E0">
      <w:pPr>
        <w:numPr>
          <w:ilvl w:val="0"/>
          <w:numId w:val="42"/>
        </w:numPr>
      </w:pPr>
      <w:r w:rsidRPr="009727E0">
        <w:t xml:space="preserve">Prefer ASTERIX categories with </w:t>
      </w:r>
      <w:r w:rsidRPr="009727E0">
        <w:rPr>
          <w:b/>
          <w:bCs/>
        </w:rPr>
        <w:t>single mandated UAP</w:t>
      </w:r>
      <w:r w:rsidRPr="009727E0">
        <w:t xml:space="preserve"> (CAT048/CAT020 etc.) where applicable. </w:t>
      </w:r>
      <w:hyperlink r:id="rId78" w:tgtFrame="_blank" w:history="1">
        <w:r w:rsidRPr="009727E0">
          <w:rPr>
            <w:rStyle w:val="Hyperlink"/>
          </w:rPr>
          <w:t>Eurocontrol+1</w:t>
        </w:r>
      </w:hyperlink>
    </w:p>
    <w:p w14:paraId="121B7A7B" w14:textId="77777777" w:rsidR="009727E0" w:rsidRPr="009727E0" w:rsidRDefault="009727E0" w:rsidP="009727E0">
      <w:pPr>
        <w:numPr>
          <w:ilvl w:val="0"/>
          <w:numId w:val="42"/>
        </w:numPr>
      </w:pPr>
      <w:r w:rsidRPr="009727E0">
        <w:t xml:space="preserve">Treat CAT253 as </w:t>
      </w:r>
      <w:r w:rsidRPr="009727E0">
        <w:rPr>
          <w:b/>
          <w:bCs/>
        </w:rPr>
        <w:t>“interop risk by design”</w:t>
      </w:r>
      <w:r w:rsidRPr="009727E0">
        <w:t xml:space="preserve"> unless you pin to a published UAP + provide independent decoder rights. </w:t>
      </w:r>
      <w:hyperlink r:id="rId79" w:tgtFrame="_blank" w:history="1">
        <w:r w:rsidRPr="009727E0">
          <w:rPr>
            <w:rStyle w:val="Hyperlink"/>
          </w:rPr>
          <w:t>Eurocontrol</w:t>
        </w:r>
      </w:hyperlink>
    </w:p>
    <w:p w14:paraId="433685B1" w14:textId="77777777" w:rsidR="009727E0" w:rsidRPr="009727E0" w:rsidRDefault="009727E0" w:rsidP="009727E0">
      <w:pPr>
        <w:numPr>
          <w:ilvl w:val="0"/>
          <w:numId w:val="42"/>
        </w:numPr>
      </w:pPr>
      <w:r w:rsidRPr="009727E0">
        <w:t>Ban or tightly control extension fields (REF/SPF) unless you own the ICD and can reimplement.</w:t>
      </w:r>
    </w:p>
    <w:p w14:paraId="1DB3BC4E" w14:textId="77777777" w:rsidR="009727E0" w:rsidRPr="009727E0" w:rsidRDefault="009727E0" w:rsidP="009727E0">
      <w:r w:rsidRPr="009727E0">
        <w:pict w14:anchorId="369B12F3">
          <v:rect id="_x0000_i1138" style="width:0;height:1.5pt" o:hralign="center" o:hrstd="t" o:hr="t" fillcolor="#a0a0a0" stroked="f"/>
        </w:pict>
      </w:r>
    </w:p>
    <w:p w14:paraId="134BD07C" w14:textId="77777777" w:rsidR="009727E0" w:rsidRPr="009727E0" w:rsidRDefault="009727E0" w:rsidP="009727E0">
      <w:pPr>
        <w:rPr>
          <w:b/>
          <w:bCs/>
        </w:rPr>
      </w:pPr>
      <w:r w:rsidRPr="009727E0">
        <w:rPr>
          <w:b/>
          <w:bCs/>
        </w:rPr>
        <w:t>SOSA: choose certified conformance, not “SOSA-aligned”</w:t>
      </w:r>
    </w:p>
    <w:p w14:paraId="5E89D7D9" w14:textId="77777777" w:rsidR="009727E0" w:rsidRPr="009727E0" w:rsidRDefault="009727E0" w:rsidP="009727E0">
      <w:r w:rsidRPr="009727E0">
        <w:t>If you’re using SOSA (or SOSA-</w:t>
      </w:r>
      <w:proofErr w:type="spellStart"/>
      <w:r w:rsidRPr="009727E0">
        <w:t>ish</w:t>
      </w:r>
      <w:proofErr w:type="spellEnd"/>
      <w:r w:rsidRPr="009727E0">
        <w:t xml:space="preserve"> language) to avoid vendor lock-in at the sensor hardware/compute integration layer, the strictness comes from the </w:t>
      </w:r>
      <w:r w:rsidRPr="009727E0">
        <w:rPr>
          <w:b/>
          <w:bCs/>
        </w:rPr>
        <w:t>certification program</w:t>
      </w:r>
      <w:r w:rsidRPr="009727E0">
        <w:t>:</w:t>
      </w:r>
    </w:p>
    <w:p w14:paraId="692A7F83" w14:textId="77777777" w:rsidR="009727E0" w:rsidRPr="009727E0" w:rsidRDefault="009727E0" w:rsidP="009727E0">
      <w:pPr>
        <w:numPr>
          <w:ilvl w:val="0"/>
          <w:numId w:val="43"/>
        </w:numPr>
      </w:pPr>
      <w:r w:rsidRPr="009727E0">
        <w:t xml:space="preserve">Open Group runs a </w:t>
      </w:r>
      <w:r w:rsidRPr="009727E0">
        <w:rPr>
          <w:b/>
          <w:bCs/>
        </w:rPr>
        <w:t>SOSA certification</w:t>
      </w:r>
      <w:r w:rsidRPr="009727E0">
        <w:t xml:space="preserve"> program. </w:t>
      </w:r>
      <w:hyperlink r:id="rId80" w:tgtFrame="_blank" w:history="1">
        <w:r w:rsidRPr="009727E0">
          <w:rPr>
            <w:rStyle w:val="Hyperlink"/>
          </w:rPr>
          <w:t>certification.opengroup.org+1</w:t>
        </w:r>
      </w:hyperlink>
    </w:p>
    <w:p w14:paraId="1E6AC312" w14:textId="77777777" w:rsidR="009727E0" w:rsidRPr="009727E0" w:rsidRDefault="009727E0" w:rsidP="009727E0">
      <w:pPr>
        <w:numPr>
          <w:ilvl w:val="0"/>
          <w:numId w:val="43"/>
        </w:numPr>
      </w:pPr>
      <w:r w:rsidRPr="009727E0">
        <w:t xml:space="preserve">Certification is defined in terms of </w:t>
      </w:r>
      <w:r w:rsidRPr="009727E0">
        <w:rPr>
          <w:b/>
          <w:bCs/>
        </w:rPr>
        <w:t>Conformance Sets</w:t>
      </w:r>
      <w:r w:rsidRPr="009727E0">
        <w:t xml:space="preserve"> (“documented… requirements a product must support in order to be certified”). </w:t>
      </w:r>
      <w:hyperlink r:id="rId81" w:tgtFrame="_blank" w:history="1">
        <w:r w:rsidRPr="009727E0">
          <w:rPr>
            <w:rStyle w:val="Hyperlink"/>
          </w:rPr>
          <w:t>certification.opengroup.org</w:t>
        </w:r>
      </w:hyperlink>
    </w:p>
    <w:p w14:paraId="00CA5466" w14:textId="77777777" w:rsidR="009727E0" w:rsidRPr="009727E0" w:rsidRDefault="009727E0" w:rsidP="009727E0">
      <w:r w:rsidRPr="009727E0">
        <w:t>Procurement posture:</w:t>
      </w:r>
    </w:p>
    <w:p w14:paraId="6D146BC6" w14:textId="77777777" w:rsidR="009727E0" w:rsidRPr="009727E0" w:rsidRDefault="009727E0" w:rsidP="009727E0">
      <w:pPr>
        <w:numPr>
          <w:ilvl w:val="0"/>
          <w:numId w:val="44"/>
        </w:numPr>
      </w:pPr>
      <w:r w:rsidRPr="009727E0">
        <w:t>Require “</w:t>
      </w:r>
      <w:r w:rsidRPr="009727E0">
        <w:rPr>
          <w:b/>
          <w:bCs/>
        </w:rPr>
        <w:t>SOSA certified</w:t>
      </w:r>
      <w:r w:rsidRPr="009727E0">
        <w:t xml:space="preserve"> for Conformance Set X” (not “aligned,” not “compatible”).</w:t>
      </w:r>
    </w:p>
    <w:p w14:paraId="437776E7" w14:textId="77777777" w:rsidR="009727E0" w:rsidRPr="009727E0" w:rsidRDefault="009727E0" w:rsidP="009727E0">
      <w:pPr>
        <w:numPr>
          <w:ilvl w:val="0"/>
          <w:numId w:val="44"/>
        </w:numPr>
      </w:pPr>
      <w:r w:rsidRPr="009727E0">
        <w:t>Require evidence artifacts from certification + change control for updates.</w:t>
      </w:r>
    </w:p>
    <w:p w14:paraId="5919578E" w14:textId="77777777" w:rsidR="009727E0" w:rsidRPr="009727E0" w:rsidRDefault="009727E0" w:rsidP="009727E0">
      <w:r w:rsidRPr="009727E0">
        <w:lastRenderedPageBreak/>
        <w:t xml:space="preserve">SOSA certification helps, but it does </w:t>
      </w:r>
      <w:r w:rsidRPr="009727E0">
        <w:rPr>
          <w:i/>
          <w:iCs/>
        </w:rPr>
        <w:t>not</w:t>
      </w:r>
      <w:r w:rsidRPr="009727E0">
        <w:t xml:space="preserve"> automatically solve software/protocol lock-in (drivers, middleware, and message semantics can still trap you). It just narrows the hardware integration trap.</w:t>
      </w:r>
    </w:p>
    <w:p w14:paraId="3C40C20C" w14:textId="77777777" w:rsidR="009727E0" w:rsidRPr="009727E0" w:rsidRDefault="009727E0" w:rsidP="009727E0">
      <w:r w:rsidRPr="009727E0">
        <w:pict w14:anchorId="7632C426">
          <v:rect id="_x0000_i1139" style="width:0;height:1.5pt" o:hralign="center" o:hrstd="t" o:hr="t" fillcolor="#a0a0a0" stroked="f"/>
        </w:pict>
      </w:r>
    </w:p>
    <w:p w14:paraId="1B610993" w14:textId="77777777" w:rsidR="009727E0" w:rsidRPr="009727E0" w:rsidRDefault="009727E0" w:rsidP="009727E0">
      <w:pPr>
        <w:rPr>
          <w:b/>
          <w:bCs/>
        </w:rPr>
      </w:pPr>
      <w:r w:rsidRPr="009727E0">
        <w:rPr>
          <w:b/>
          <w:bCs/>
        </w:rPr>
        <w:t>“Instead of ASTERIX/SAPIENT”: consider STANAG 4676 / AEDP-12 (NATO ISR Tracking Standard) for track exchange</w:t>
      </w:r>
    </w:p>
    <w:p w14:paraId="74B8FD41" w14:textId="77777777" w:rsidR="009727E0" w:rsidRPr="009727E0" w:rsidRDefault="009727E0" w:rsidP="009727E0">
      <w:r w:rsidRPr="009727E0">
        <w:t xml:space="preserve">If your use case is primarily </w:t>
      </w:r>
      <w:proofErr w:type="gramStart"/>
      <w:r w:rsidRPr="009727E0">
        <w:rPr>
          <w:b/>
          <w:bCs/>
        </w:rPr>
        <w:t>track</w:t>
      </w:r>
      <w:proofErr w:type="gramEnd"/>
      <w:r w:rsidRPr="009727E0">
        <w:rPr>
          <w:b/>
          <w:bCs/>
        </w:rPr>
        <w:t xml:space="preserve"> sharing/fusion</w:t>
      </w:r>
      <w:r w:rsidRPr="009727E0">
        <w:t xml:space="preserve"> (not low-level radar video), NATO already has a tracking exchange standard:</w:t>
      </w:r>
    </w:p>
    <w:p w14:paraId="77D890EF" w14:textId="77777777" w:rsidR="009727E0" w:rsidRPr="009727E0" w:rsidRDefault="009727E0" w:rsidP="009727E0">
      <w:pPr>
        <w:numPr>
          <w:ilvl w:val="0"/>
          <w:numId w:val="45"/>
        </w:numPr>
      </w:pPr>
      <w:r w:rsidRPr="009727E0">
        <w:t xml:space="preserve">STANAG 4676 aims to “promote interoperability for the production, exchange, and exploitation of tracking data” and references </w:t>
      </w:r>
      <w:r w:rsidRPr="009727E0">
        <w:rPr>
          <w:b/>
          <w:bCs/>
        </w:rPr>
        <w:t>AEDP-12</w:t>
      </w:r>
      <w:r w:rsidRPr="009727E0">
        <w:t xml:space="preserve"> plus an </w:t>
      </w:r>
      <w:r w:rsidRPr="009727E0">
        <w:rPr>
          <w:b/>
          <w:bCs/>
        </w:rPr>
        <w:t>implementation guide (AEDP-12.1)</w:t>
      </w:r>
      <w:r w:rsidRPr="009727E0">
        <w:t xml:space="preserve">. </w:t>
      </w:r>
      <w:hyperlink r:id="rId82" w:tgtFrame="_blank" w:history="1">
        <w:r w:rsidRPr="009727E0">
          <w:rPr>
            <w:rStyle w:val="Hyperlink"/>
          </w:rPr>
          <w:t>GlobalSpec+1</w:t>
        </w:r>
      </w:hyperlink>
    </w:p>
    <w:p w14:paraId="4A3D176F" w14:textId="77777777" w:rsidR="009727E0" w:rsidRPr="009727E0" w:rsidRDefault="009727E0" w:rsidP="009727E0">
      <w:r w:rsidRPr="009727E0">
        <w:t>This is not a drop-in replacement for ASTERIX in ATC environments, but it can be a stricter “semantic track model” for defense C2/fusion if you want to reduce vendor dialect drift.</w:t>
      </w:r>
    </w:p>
    <w:p w14:paraId="24B8EBD8" w14:textId="77777777" w:rsidR="009727E0" w:rsidRPr="009727E0" w:rsidRDefault="009727E0" w:rsidP="009727E0">
      <w:r w:rsidRPr="009727E0">
        <w:pict w14:anchorId="149BD7C6">
          <v:rect id="_x0000_i1140" style="width:0;height:1.5pt" o:hralign="center" o:hrstd="t" o:hr="t" fillcolor="#a0a0a0" stroked="f"/>
        </w:pict>
      </w:r>
    </w:p>
    <w:p w14:paraId="653C943C" w14:textId="77777777" w:rsidR="009727E0" w:rsidRPr="009727E0" w:rsidRDefault="009727E0" w:rsidP="009727E0">
      <w:pPr>
        <w:rPr>
          <w:b/>
          <w:bCs/>
        </w:rPr>
      </w:pPr>
      <w:r w:rsidRPr="009727E0">
        <w:rPr>
          <w:b/>
          <w:bCs/>
        </w:rPr>
        <w:t>The real answer: strictness comes from profiles + test harness + rights, not the protocol name</w:t>
      </w:r>
    </w:p>
    <w:p w14:paraId="600FA8AC" w14:textId="77777777" w:rsidR="009727E0" w:rsidRPr="009727E0" w:rsidRDefault="009727E0" w:rsidP="009727E0">
      <w:r w:rsidRPr="009727E0">
        <w:t xml:space="preserve">If you want “strict enough to avoid lock-in,” define a </w:t>
      </w:r>
      <w:r w:rsidRPr="009727E0">
        <w:rPr>
          <w:b/>
          <w:bCs/>
        </w:rPr>
        <w:t>Procurement Interoperability Profile</w:t>
      </w:r>
      <w:r w:rsidRPr="009727E0">
        <w:t>:</w:t>
      </w:r>
    </w:p>
    <w:p w14:paraId="53C6B762" w14:textId="77777777" w:rsidR="009727E0" w:rsidRPr="009727E0" w:rsidRDefault="009727E0" w:rsidP="009727E0">
      <w:pPr>
        <w:numPr>
          <w:ilvl w:val="0"/>
          <w:numId w:val="46"/>
        </w:numPr>
      </w:pPr>
      <w:r w:rsidRPr="009727E0">
        <w:rPr>
          <w:b/>
          <w:bCs/>
        </w:rPr>
        <w:t>Pin versions</w:t>
      </w:r>
    </w:p>
    <w:p w14:paraId="09760FD5" w14:textId="77777777" w:rsidR="009727E0" w:rsidRPr="009727E0" w:rsidRDefault="009727E0" w:rsidP="009727E0">
      <w:pPr>
        <w:numPr>
          <w:ilvl w:val="1"/>
          <w:numId w:val="46"/>
        </w:numPr>
      </w:pPr>
      <w:r w:rsidRPr="009727E0">
        <w:t xml:space="preserve">“SAPIENT = BSI Flex 335 v2 + AEDP-4869 profile P1.” </w:t>
      </w:r>
      <w:hyperlink r:id="rId83" w:tgtFrame="_blank" w:history="1">
        <w:r w:rsidRPr="009727E0">
          <w:rPr>
            <w:rStyle w:val="Hyperlink"/>
          </w:rPr>
          <w:t>BSI+1</w:t>
        </w:r>
      </w:hyperlink>
    </w:p>
    <w:p w14:paraId="114A2111" w14:textId="77777777" w:rsidR="009727E0" w:rsidRPr="009727E0" w:rsidRDefault="009727E0" w:rsidP="009727E0">
      <w:pPr>
        <w:numPr>
          <w:ilvl w:val="1"/>
          <w:numId w:val="46"/>
        </w:numPr>
      </w:pPr>
      <w:r w:rsidRPr="009727E0">
        <w:t xml:space="preserve">“ASTERIX = CAT048 </w:t>
      </w:r>
      <w:proofErr w:type="spellStart"/>
      <w:r w:rsidRPr="009727E0">
        <w:t>vX</w:t>
      </w:r>
      <w:proofErr w:type="spellEnd"/>
      <w:r w:rsidRPr="009727E0">
        <w:t xml:space="preserve">, CAT062 </w:t>
      </w:r>
      <w:proofErr w:type="spellStart"/>
      <w:r w:rsidRPr="009727E0">
        <w:t>vY</w:t>
      </w:r>
      <w:proofErr w:type="spellEnd"/>
      <w:r w:rsidRPr="009727E0">
        <w:t xml:space="preserve">, no custom UAP.” </w:t>
      </w:r>
      <w:hyperlink r:id="rId84" w:tgtFrame="_blank" w:history="1">
        <w:r w:rsidRPr="009727E0">
          <w:rPr>
            <w:rStyle w:val="Hyperlink"/>
          </w:rPr>
          <w:t>Eurocontrol+1</w:t>
        </w:r>
      </w:hyperlink>
    </w:p>
    <w:p w14:paraId="63E355FA" w14:textId="77777777" w:rsidR="009727E0" w:rsidRPr="009727E0" w:rsidRDefault="009727E0" w:rsidP="009727E0">
      <w:pPr>
        <w:numPr>
          <w:ilvl w:val="0"/>
          <w:numId w:val="46"/>
        </w:numPr>
      </w:pPr>
      <w:r w:rsidRPr="009727E0">
        <w:rPr>
          <w:b/>
          <w:bCs/>
        </w:rPr>
        <w:t>Mandate conformance evidence</w:t>
      </w:r>
    </w:p>
    <w:p w14:paraId="236638A1" w14:textId="77777777" w:rsidR="009727E0" w:rsidRPr="009727E0" w:rsidRDefault="009727E0" w:rsidP="009727E0">
      <w:pPr>
        <w:numPr>
          <w:ilvl w:val="1"/>
          <w:numId w:val="46"/>
        </w:numPr>
      </w:pPr>
      <w:r w:rsidRPr="009727E0">
        <w:t xml:space="preserve">Require Dstl SAPIENT harness pass + logs/artifacts. </w:t>
      </w:r>
      <w:hyperlink r:id="rId85" w:tgtFrame="_blank" w:history="1">
        <w:r w:rsidRPr="009727E0">
          <w:rPr>
            <w:rStyle w:val="Hyperlink"/>
          </w:rPr>
          <w:t>GitHub+1</w:t>
        </w:r>
      </w:hyperlink>
    </w:p>
    <w:p w14:paraId="2397460B" w14:textId="77777777" w:rsidR="009727E0" w:rsidRPr="009727E0" w:rsidRDefault="009727E0" w:rsidP="009727E0">
      <w:pPr>
        <w:numPr>
          <w:ilvl w:val="1"/>
          <w:numId w:val="46"/>
        </w:numPr>
      </w:pPr>
      <w:r w:rsidRPr="009727E0">
        <w:t>Require independent decode/encode verification (not “works with our GUI”).</w:t>
      </w:r>
    </w:p>
    <w:p w14:paraId="7D66C765" w14:textId="77777777" w:rsidR="009727E0" w:rsidRPr="009727E0" w:rsidRDefault="009727E0" w:rsidP="009727E0">
      <w:pPr>
        <w:numPr>
          <w:ilvl w:val="0"/>
          <w:numId w:val="46"/>
        </w:numPr>
      </w:pPr>
      <w:r w:rsidRPr="009727E0">
        <w:rPr>
          <w:b/>
          <w:bCs/>
        </w:rPr>
        <w:t>Control extensions</w:t>
      </w:r>
    </w:p>
    <w:p w14:paraId="6AFC5EC2" w14:textId="77777777" w:rsidR="009727E0" w:rsidRPr="009727E0" w:rsidRDefault="009727E0" w:rsidP="009727E0">
      <w:pPr>
        <w:numPr>
          <w:ilvl w:val="1"/>
          <w:numId w:val="46"/>
        </w:numPr>
      </w:pPr>
      <w:r w:rsidRPr="009727E0">
        <w:t>“Extensions allowed only if (a) documented ICD delivered, (b) perpetual right to implement by buyer/third parties, (c) test vectors provided.”</w:t>
      </w:r>
    </w:p>
    <w:p w14:paraId="6ECC160F" w14:textId="77777777" w:rsidR="009727E0" w:rsidRPr="009727E0" w:rsidRDefault="009727E0" w:rsidP="009727E0">
      <w:pPr>
        <w:numPr>
          <w:ilvl w:val="0"/>
          <w:numId w:val="46"/>
        </w:numPr>
      </w:pPr>
      <w:r w:rsidRPr="009727E0">
        <w:rPr>
          <w:b/>
          <w:bCs/>
        </w:rPr>
        <w:t>Prove multi-vendor interop</w:t>
      </w:r>
    </w:p>
    <w:p w14:paraId="267738B5" w14:textId="77777777" w:rsidR="009727E0" w:rsidRPr="009727E0" w:rsidRDefault="009727E0" w:rsidP="009727E0">
      <w:pPr>
        <w:numPr>
          <w:ilvl w:val="1"/>
          <w:numId w:val="46"/>
        </w:numPr>
      </w:pPr>
      <w:r w:rsidRPr="009727E0">
        <w:t>Acceptance test: integrate at least one third-party sensor + one third-party effector through the same profile without vendor PS.</w:t>
      </w:r>
    </w:p>
    <w:p w14:paraId="3BAA817B" w14:textId="77777777" w:rsidR="009727E0" w:rsidRDefault="009727E0"/>
    <w:p w14:paraId="7F775AFA" w14:textId="77777777" w:rsidR="009727E0" w:rsidRDefault="009727E0"/>
    <w:p w14:paraId="519963E9" w14:textId="77777777" w:rsidR="009727E0" w:rsidRDefault="009727E0">
      <w:pPr>
        <w:pBdr>
          <w:bottom w:val="single" w:sz="6" w:space="1" w:color="auto"/>
        </w:pBdr>
      </w:pPr>
    </w:p>
    <w:p w14:paraId="4FC0C536" w14:textId="77777777" w:rsidR="00084336" w:rsidRPr="00084336" w:rsidRDefault="00084336" w:rsidP="00084336">
      <w:pPr>
        <w:rPr>
          <w:b/>
          <w:bCs/>
        </w:rPr>
      </w:pPr>
      <w:r w:rsidRPr="00084336">
        <w:rPr>
          <w:b/>
          <w:bCs/>
        </w:rPr>
        <w:t>STANAG 4607 — GMTI data format (moving ground targets)</w:t>
      </w:r>
    </w:p>
    <w:p w14:paraId="315A8022" w14:textId="77777777" w:rsidR="00084336" w:rsidRPr="00084336" w:rsidRDefault="00084336" w:rsidP="00084336">
      <w:r w:rsidRPr="00084336">
        <w:rPr>
          <w:b/>
          <w:bCs/>
        </w:rPr>
        <w:t>What it is:</w:t>
      </w:r>
      <w:r w:rsidRPr="00084336">
        <w:t xml:space="preserve"> A NATO format for exchanging </w:t>
      </w:r>
      <w:r w:rsidRPr="00084336">
        <w:rPr>
          <w:b/>
          <w:bCs/>
        </w:rPr>
        <w:t>Ground Moving Target Indicator (GMTI)</w:t>
      </w:r>
      <w:r w:rsidRPr="00084336">
        <w:t xml:space="preserve"> radar products. MITRE describes it as a format for sending GMTI data to systems that can extract usable info, and notes it can be </w:t>
      </w:r>
      <w:r w:rsidRPr="00084336">
        <w:rPr>
          <w:b/>
          <w:bCs/>
        </w:rPr>
        <w:t>tailored</w:t>
      </w:r>
      <w:r w:rsidRPr="00084336">
        <w:t xml:space="preserve"> to send more or less detail depending on the mission. </w:t>
      </w:r>
      <w:hyperlink r:id="rId86" w:tgtFrame="_blank" w:history="1">
        <w:r w:rsidRPr="00084336">
          <w:rPr>
            <w:rStyle w:val="Hyperlink"/>
          </w:rPr>
          <w:t>MITRE+1</w:t>
        </w:r>
      </w:hyperlink>
      <w:r w:rsidRPr="00084336">
        <w:br/>
        <w:t xml:space="preserve">NATO/NISP lists it as “NATO Ground Moving Target Indicator (GMTI) Format” mapped to </w:t>
      </w:r>
      <w:r w:rsidRPr="00084336">
        <w:rPr>
          <w:b/>
          <w:bCs/>
        </w:rPr>
        <w:t>AEDP-07</w:t>
      </w:r>
      <w:r w:rsidRPr="00084336">
        <w:t xml:space="preserve"> (implementation guide). </w:t>
      </w:r>
      <w:hyperlink r:id="rId87" w:tgtFrame="_blank" w:history="1">
        <w:r w:rsidRPr="00084336">
          <w:rPr>
            <w:rStyle w:val="Hyperlink"/>
          </w:rPr>
          <w:t>NISP Nation+1</w:t>
        </w:r>
      </w:hyperlink>
    </w:p>
    <w:p w14:paraId="77F2782F" w14:textId="77777777" w:rsidR="00084336" w:rsidRPr="00084336" w:rsidRDefault="00084336" w:rsidP="00084336">
      <w:r w:rsidRPr="00084336">
        <w:rPr>
          <w:b/>
          <w:bCs/>
        </w:rPr>
        <w:t>Where it fits:</w:t>
      </w:r>
      <w:r w:rsidRPr="00084336">
        <w:t xml:space="preserve"> ISR/ground surveillance, typically from airborne radars doing MTI/GMTI. In C-UAS it’s </w:t>
      </w:r>
      <w:r w:rsidRPr="00084336">
        <w:rPr>
          <w:b/>
          <w:bCs/>
        </w:rPr>
        <w:t>not the usual standard</w:t>
      </w:r>
      <w:r w:rsidRPr="00084336">
        <w:t xml:space="preserve"> (C-UAS track/video tends to be ASTERIX/SAPIENT or vendor C2 APIs), but it can appear if your C-UAS picture is fed by broader ISR GMTI sources.</w:t>
      </w:r>
    </w:p>
    <w:p w14:paraId="2BF98921" w14:textId="77777777" w:rsidR="00084336" w:rsidRPr="00084336" w:rsidRDefault="00084336" w:rsidP="00084336">
      <w:r w:rsidRPr="00084336">
        <w:rPr>
          <w:b/>
          <w:bCs/>
        </w:rPr>
        <w:t>Lock-in hotspot:</w:t>
      </w:r>
      <w:r w:rsidRPr="00084336">
        <w:t xml:space="preserve"> </w:t>
      </w:r>
      <w:r w:rsidRPr="00084336">
        <w:rPr>
          <w:i/>
          <w:iCs/>
        </w:rPr>
        <w:t>“Tailoring” / subsets.</w:t>
      </w:r>
      <w:r w:rsidRPr="00084336">
        <w:t xml:space="preserve"> When the standard is intentionally tailorable, vendors can create “our 4607 </w:t>
      </w:r>
      <w:proofErr w:type="gramStart"/>
      <w:r w:rsidRPr="00084336">
        <w:t>profile</w:t>
      </w:r>
      <w:proofErr w:type="gramEnd"/>
      <w:r w:rsidRPr="00084336">
        <w:t xml:space="preserve">” with required fields, bespoke metadata, or assumptions that aren’t portable. MITRE explicitly highlights tailoring as a feature. </w:t>
      </w:r>
      <w:hyperlink r:id="rId88" w:tgtFrame="_blank" w:history="1">
        <w:r w:rsidRPr="00084336">
          <w:rPr>
            <w:rStyle w:val="Hyperlink"/>
          </w:rPr>
          <w:t>MITRE</w:t>
        </w:r>
      </w:hyperlink>
      <w:r w:rsidRPr="00084336">
        <w:br/>
        <w:t xml:space="preserve">Procurement mitigation: pin an </w:t>
      </w:r>
      <w:r w:rsidRPr="00084336">
        <w:rPr>
          <w:b/>
          <w:bCs/>
        </w:rPr>
        <w:t>exact edition + profile + required fields</w:t>
      </w:r>
      <w:r w:rsidRPr="00084336">
        <w:t xml:space="preserve"> and require replay/test vectors.</w:t>
      </w:r>
    </w:p>
    <w:p w14:paraId="1F0E79C0" w14:textId="77777777" w:rsidR="00084336" w:rsidRPr="00084336" w:rsidRDefault="00084336" w:rsidP="00084336">
      <w:r w:rsidRPr="00084336">
        <w:pict w14:anchorId="1119217F">
          <v:rect id="_x0000_i1169" style="width:0;height:1.5pt" o:hralign="center" o:hrstd="t" o:hr="t" fillcolor="#a0a0a0" stroked="f"/>
        </w:pict>
      </w:r>
    </w:p>
    <w:p w14:paraId="09618E86" w14:textId="77777777" w:rsidR="00084336" w:rsidRPr="00084336" w:rsidRDefault="00084336" w:rsidP="00084336">
      <w:pPr>
        <w:rPr>
          <w:b/>
          <w:bCs/>
        </w:rPr>
      </w:pPr>
      <w:r w:rsidRPr="00084336">
        <w:rPr>
          <w:b/>
          <w:bCs/>
        </w:rPr>
        <w:t>STANAG 4676 — NATO ISR Tracking Standard (NITS)</w:t>
      </w:r>
    </w:p>
    <w:p w14:paraId="7EA56100" w14:textId="77777777" w:rsidR="00084336" w:rsidRPr="00084336" w:rsidRDefault="00084336" w:rsidP="00084336">
      <w:r w:rsidRPr="00084336">
        <w:rPr>
          <w:b/>
          <w:bCs/>
        </w:rPr>
        <w:t>What it is:</w:t>
      </w:r>
      <w:r w:rsidRPr="00084336">
        <w:t xml:space="preserve"> NATO’s standard for exchanging </w:t>
      </w:r>
      <w:r w:rsidRPr="00084336">
        <w:rPr>
          <w:b/>
          <w:bCs/>
        </w:rPr>
        <w:t>track data</w:t>
      </w:r>
      <w:r w:rsidRPr="00084336">
        <w:t xml:space="preserve"> across ISR systems. </w:t>
      </w:r>
      <w:proofErr w:type="spellStart"/>
      <w:r w:rsidRPr="00084336">
        <w:t>GlobalSpec</w:t>
      </w:r>
      <w:proofErr w:type="spellEnd"/>
      <w:r w:rsidRPr="00084336">
        <w:t xml:space="preserve"> summarizes the aim as promoting interoperability for production/exchange/exploitation of tracking data among NATO ISR systems. </w:t>
      </w:r>
      <w:hyperlink r:id="rId89" w:tgtFrame="_blank" w:history="1">
        <w:r w:rsidRPr="00084336">
          <w:rPr>
            <w:rStyle w:val="Hyperlink"/>
          </w:rPr>
          <w:t>GlobalSpec+1</w:t>
        </w:r>
      </w:hyperlink>
      <w:r w:rsidRPr="00084336">
        <w:br/>
        <w:t xml:space="preserve">NISP ties STANAG 4676 to </w:t>
      </w:r>
      <w:r w:rsidRPr="00084336">
        <w:rPr>
          <w:b/>
          <w:bCs/>
        </w:rPr>
        <w:t>AEDP-12</w:t>
      </w:r>
      <w:r w:rsidRPr="00084336">
        <w:t xml:space="preserve"> (“NATO ISR Tracking Standard”). </w:t>
      </w:r>
      <w:hyperlink r:id="rId90" w:tgtFrame="_blank" w:history="1">
        <w:r w:rsidRPr="00084336">
          <w:rPr>
            <w:rStyle w:val="Hyperlink"/>
          </w:rPr>
          <w:t>NISP Nation+1</w:t>
        </w:r>
      </w:hyperlink>
      <w:r w:rsidRPr="00084336">
        <w:br/>
        <w:t xml:space="preserve">There’s also an </w:t>
      </w:r>
      <w:r w:rsidRPr="00084336">
        <w:rPr>
          <w:b/>
          <w:bCs/>
        </w:rPr>
        <w:t>implementation guide</w:t>
      </w:r>
      <w:r w:rsidRPr="00084336">
        <w:t xml:space="preserve"> AEDP-12.1 that exists specifically to clarify how to implement STANAG 4676 track data. </w:t>
      </w:r>
      <w:hyperlink r:id="rId91" w:tgtFrame="_blank" w:history="1">
        <w:r w:rsidRPr="00084336">
          <w:rPr>
            <w:rStyle w:val="Hyperlink"/>
          </w:rPr>
          <w:t>GlobalSpec+1</w:t>
        </w:r>
      </w:hyperlink>
    </w:p>
    <w:p w14:paraId="2987314A" w14:textId="77777777" w:rsidR="00084336" w:rsidRPr="00084336" w:rsidRDefault="00084336" w:rsidP="00084336">
      <w:r w:rsidRPr="00084336">
        <w:rPr>
          <w:b/>
          <w:bCs/>
        </w:rPr>
        <w:t>Where it fits:</w:t>
      </w:r>
      <w:r w:rsidRPr="00084336">
        <w:t xml:space="preserve"> This is the one that can most directly substitute for “track exchange” roles you might otherwise fill with </w:t>
      </w:r>
      <w:r w:rsidRPr="00084336">
        <w:rPr>
          <w:b/>
          <w:bCs/>
        </w:rPr>
        <w:t>ASTERIX CAT062</w:t>
      </w:r>
      <w:r w:rsidRPr="00084336">
        <w:t xml:space="preserve"> or “SAPIENT track objects,” especially in defense ISR fusion contexts (multi-sensor tracking, correlation, common operating picture).</w:t>
      </w:r>
    </w:p>
    <w:p w14:paraId="427ABA20" w14:textId="77777777" w:rsidR="00084336" w:rsidRPr="00084336" w:rsidRDefault="00084336" w:rsidP="00084336">
      <w:r w:rsidRPr="00084336">
        <w:rPr>
          <w:b/>
          <w:bCs/>
        </w:rPr>
        <w:t>Lock-in hotspot:</w:t>
      </w:r>
      <w:r w:rsidRPr="00084336">
        <w:t xml:space="preserve"> </w:t>
      </w:r>
      <w:r w:rsidRPr="00084336">
        <w:rPr>
          <w:i/>
          <w:iCs/>
        </w:rPr>
        <w:t>Implementation guide + version drift + semantic profiles.</w:t>
      </w:r>
      <w:r w:rsidRPr="00084336">
        <w:t xml:space="preserve"> The existence of AEDP-12.1 is a tell: two systems can claim “4676” and still not interoperate unless you align on the guide’s conventions. </w:t>
      </w:r>
      <w:hyperlink r:id="rId92" w:tgtFrame="_blank" w:history="1">
        <w:r w:rsidRPr="00084336">
          <w:rPr>
            <w:rStyle w:val="Hyperlink"/>
          </w:rPr>
          <w:t>GlobalSpec+1</w:t>
        </w:r>
      </w:hyperlink>
      <w:r w:rsidRPr="00084336">
        <w:br/>
        <w:t xml:space="preserve">Procurement mitigation: require </w:t>
      </w:r>
      <w:r w:rsidRPr="00084336">
        <w:rPr>
          <w:b/>
          <w:bCs/>
        </w:rPr>
        <w:t>STANAG 4676 edition</w:t>
      </w:r>
      <w:r w:rsidRPr="00084336">
        <w:t xml:space="preserve"> + </w:t>
      </w:r>
      <w:r w:rsidRPr="00084336">
        <w:rPr>
          <w:b/>
          <w:bCs/>
        </w:rPr>
        <w:t>AEDP-12/AEDP-12.1 compliance</w:t>
      </w:r>
      <w:r w:rsidRPr="00084336">
        <w:t xml:space="preserve"> + evidence (test vectors, conformance results).</w:t>
      </w:r>
    </w:p>
    <w:p w14:paraId="79433A15" w14:textId="77777777" w:rsidR="00084336" w:rsidRPr="00084336" w:rsidRDefault="00084336" w:rsidP="00084336">
      <w:r w:rsidRPr="00084336">
        <w:lastRenderedPageBreak/>
        <w:pict w14:anchorId="0C26CCC6">
          <v:rect id="_x0000_i1170" style="width:0;height:1.5pt" o:hralign="center" o:hrstd="t" o:hr="t" fillcolor="#a0a0a0" stroked="f"/>
        </w:pict>
      </w:r>
    </w:p>
    <w:p w14:paraId="23183D61" w14:textId="77777777" w:rsidR="00084336" w:rsidRPr="00084336" w:rsidRDefault="00084336" w:rsidP="00084336">
      <w:pPr>
        <w:rPr>
          <w:b/>
          <w:bCs/>
        </w:rPr>
      </w:pPr>
      <w:r w:rsidRPr="00084336">
        <w:rPr>
          <w:b/>
          <w:bCs/>
        </w:rPr>
        <w:t>STANAG 4586 — UAV control system interfaces (UCS ↔ UAV interoperability)</w:t>
      </w:r>
    </w:p>
    <w:p w14:paraId="73F76E8D" w14:textId="77777777" w:rsidR="00084336" w:rsidRPr="00084336" w:rsidRDefault="00084336" w:rsidP="00084336">
      <w:r w:rsidRPr="00084336">
        <w:rPr>
          <w:b/>
          <w:bCs/>
        </w:rPr>
        <w:t>What it is:</w:t>
      </w:r>
      <w:r w:rsidRPr="00084336">
        <w:t xml:space="preserve"> A NATO standard defining interfaces for </w:t>
      </w:r>
      <w:r w:rsidRPr="00084336">
        <w:rPr>
          <w:b/>
          <w:bCs/>
        </w:rPr>
        <w:t>unmanned aircraft control systems (UCS)</w:t>
      </w:r>
      <w:r w:rsidRPr="00084336">
        <w:t xml:space="preserve"> to achieve “levels of interoperability” between control stations and UAVs. A NATO STO educational note states the objective is to specify interfaces to achieve the required </w:t>
      </w:r>
      <w:r w:rsidRPr="00084336">
        <w:rPr>
          <w:b/>
          <w:bCs/>
        </w:rPr>
        <w:t>Level of Interoperability (LOI)</w:t>
      </w:r>
      <w:r w:rsidRPr="00084336">
        <w:t xml:space="preserve">. </w:t>
      </w:r>
      <w:hyperlink r:id="rId93" w:tgtFrame="_blank" w:history="1">
        <w:r w:rsidRPr="00084336">
          <w:rPr>
            <w:rStyle w:val="Hyperlink"/>
          </w:rPr>
          <w:t>publications.sto.nato.int+1</w:t>
        </w:r>
      </w:hyperlink>
      <w:r w:rsidRPr="00084336">
        <w:br/>
        <w:t xml:space="preserve">NISP cover docs tie STANAG 4586 to </w:t>
      </w:r>
      <w:r w:rsidRPr="00084336">
        <w:rPr>
          <w:b/>
          <w:bCs/>
        </w:rPr>
        <w:t>AEP-84</w:t>
      </w:r>
      <w:r w:rsidRPr="00084336">
        <w:t xml:space="preserve"> interface control documents. </w:t>
      </w:r>
      <w:hyperlink r:id="rId94" w:tgtFrame="_blank" w:history="1">
        <w:r w:rsidRPr="00084336">
          <w:rPr>
            <w:rStyle w:val="Hyperlink"/>
          </w:rPr>
          <w:t>NISP Nation</w:t>
        </w:r>
      </w:hyperlink>
    </w:p>
    <w:p w14:paraId="76591FE4" w14:textId="77777777" w:rsidR="00084336" w:rsidRPr="00084336" w:rsidRDefault="00084336" w:rsidP="00084336">
      <w:r w:rsidRPr="00084336">
        <w:rPr>
          <w:b/>
          <w:bCs/>
        </w:rPr>
        <w:t>Where it fits:</w:t>
      </w:r>
      <w:r w:rsidRPr="00084336">
        <w:t xml:space="preserve"> Not a sensor/track/video standard; it’s a </w:t>
      </w:r>
      <w:r w:rsidRPr="00084336">
        <w:rPr>
          <w:b/>
          <w:bCs/>
        </w:rPr>
        <w:t>command-and-control interface standard for friendly UAVs</w:t>
      </w:r>
      <w:r w:rsidRPr="00084336">
        <w:t>. In C-UAS, it can matter if your solution includes:</w:t>
      </w:r>
    </w:p>
    <w:p w14:paraId="542953A8" w14:textId="77777777" w:rsidR="00084336" w:rsidRPr="00084336" w:rsidRDefault="00084336" w:rsidP="00084336">
      <w:pPr>
        <w:numPr>
          <w:ilvl w:val="0"/>
          <w:numId w:val="47"/>
        </w:numPr>
      </w:pPr>
      <w:r w:rsidRPr="00084336">
        <w:rPr>
          <w:b/>
          <w:bCs/>
        </w:rPr>
        <w:t>interceptor drones</w:t>
      </w:r>
      <w:r w:rsidRPr="00084336">
        <w:t xml:space="preserve"> (as effectors),</w:t>
      </w:r>
    </w:p>
    <w:p w14:paraId="507B282D" w14:textId="77777777" w:rsidR="00084336" w:rsidRPr="00084336" w:rsidRDefault="00084336" w:rsidP="00084336">
      <w:pPr>
        <w:numPr>
          <w:ilvl w:val="0"/>
          <w:numId w:val="47"/>
        </w:numPr>
      </w:pPr>
      <w:r w:rsidRPr="00084336">
        <w:t>integration with friendly UAS ops (deconfliction / authority),</w:t>
      </w:r>
    </w:p>
    <w:p w14:paraId="1FC11F84" w14:textId="77777777" w:rsidR="00084336" w:rsidRPr="00084336" w:rsidRDefault="00084336" w:rsidP="00084336">
      <w:pPr>
        <w:numPr>
          <w:ilvl w:val="0"/>
          <w:numId w:val="47"/>
        </w:numPr>
      </w:pPr>
      <w:r w:rsidRPr="00084336">
        <w:t>or if your C2 must talk to UAV control stations.</w:t>
      </w:r>
    </w:p>
    <w:p w14:paraId="4EE2C446" w14:textId="77777777" w:rsidR="00084336" w:rsidRPr="00084336" w:rsidRDefault="00084336" w:rsidP="00084336">
      <w:r w:rsidRPr="00084336">
        <w:rPr>
          <w:b/>
          <w:bCs/>
        </w:rPr>
        <w:t>Lock-in hotspot:</w:t>
      </w:r>
      <w:r w:rsidRPr="00084336">
        <w:t xml:space="preserve"> </w:t>
      </w:r>
      <w:r w:rsidRPr="00084336">
        <w:rPr>
          <w:i/>
          <w:iCs/>
        </w:rPr>
        <w:t>Vehicle Specific Modules / adapters.</w:t>
      </w:r>
      <w:r w:rsidRPr="00084336">
        <w:t xml:space="preserve"> Real 4586 deployments often rely on a “vehicle-specific module” (VSM) translating a vehicle’s native protocol to standard messages—UAV Navigation describes VSMs exactly this way. </w:t>
      </w:r>
      <w:hyperlink r:id="rId95" w:tgtFrame="_blank" w:history="1">
        <w:r w:rsidRPr="00084336">
          <w:rPr>
            <w:rStyle w:val="Hyperlink"/>
          </w:rPr>
          <w:t>uavnavigation.com</w:t>
        </w:r>
      </w:hyperlink>
      <w:r w:rsidRPr="00084336">
        <w:br/>
        <w:t>If the VSM is proprietary/closed and only the vendor can update it, you are locked to that vendor’s integration pipeline even though the external interface is “4586.”</w:t>
      </w:r>
    </w:p>
    <w:p w14:paraId="6C90898B" w14:textId="77777777" w:rsidR="00084336" w:rsidRPr="00084336" w:rsidRDefault="00084336" w:rsidP="00084336">
      <w:r w:rsidRPr="00084336">
        <w:t xml:space="preserve">Procurement mitigation: require that the </w:t>
      </w:r>
      <w:r w:rsidRPr="00084336">
        <w:rPr>
          <w:b/>
          <w:bCs/>
        </w:rPr>
        <w:t>VSM/API adapter is deliverable to you</w:t>
      </w:r>
      <w:r w:rsidRPr="00084336">
        <w:t xml:space="preserve"> (ICD, source or escrow, test vectors), or at least licensable for third-party maintenance.</w:t>
      </w:r>
    </w:p>
    <w:p w14:paraId="7FF98AB6" w14:textId="77777777" w:rsidR="00084336" w:rsidRPr="00084336" w:rsidRDefault="00084336" w:rsidP="00084336">
      <w:r w:rsidRPr="00084336">
        <w:pict w14:anchorId="478A6DEB">
          <v:rect id="_x0000_i1171" style="width:0;height:1.5pt" o:hralign="center" o:hrstd="t" o:hr="t" fillcolor="#a0a0a0" stroked="f"/>
        </w:pict>
      </w:r>
    </w:p>
    <w:p w14:paraId="234B53A4" w14:textId="77777777" w:rsidR="00084336" w:rsidRPr="00084336" w:rsidRDefault="00084336" w:rsidP="00084336">
      <w:pPr>
        <w:rPr>
          <w:b/>
          <w:bCs/>
        </w:rPr>
      </w:pPr>
      <w:r w:rsidRPr="00084336">
        <w:rPr>
          <w:b/>
          <w:bCs/>
        </w:rPr>
        <w:t>Quick mapping to your ASTERIX/SAPIENT world</w:t>
      </w:r>
    </w:p>
    <w:p w14:paraId="1BD4873B" w14:textId="77777777" w:rsidR="00084336" w:rsidRPr="00084336" w:rsidRDefault="00084336" w:rsidP="00084336">
      <w:pPr>
        <w:numPr>
          <w:ilvl w:val="0"/>
          <w:numId w:val="48"/>
        </w:numPr>
      </w:pPr>
      <w:r w:rsidRPr="00084336">
        <w:rPr>
          <w:b/>
          <w:bCs/>
        </w:rPr>
        <w:t>ASTERIX</w:t>
      </w:r>
      <w:r w:rsidRPr="00084336">
        <w:t>: air-surveillance (tracks/video) in ATC/defense; common in C-UAS radars and track servers.</w:t>
      </w:r>
    </w:p>
    <w:p w14:paraId="4354B54E" w14:textId="77777777" w:rsidR="00084336" w:rsidRPr="00084336" w:rsidRDefault="00084336" w:rsidP="00084336">
      <w:pPr>
        <w:numPr>
          <w:ilvl w:val="0"/>
          <w:numId w:val="48"/>
        </w:numPr>
      </w:pPr>
      <w:r w:rsidRPr="00084336">
        <w:rPr>
          <w:b/>
          <w:bCs/>
        </w:rPr>
        <w:t>SAPIENT / STANREC/AEDP-4869</w:t>
      </w:r>
      <w:r w:rsidRPr="00084336">
        <w:t>: C-UAS sensor/effector integration and tasking/messaging.</w:t>
      </w:r>
    </w:p>
    <w:p w14:paraId="23BC4722" w14:textId="77777777" w:rsidR="00084336" w:rsidRPr="00084336" w:rsidRDefault="00084336" w:rsidP="00084336">
      <w:pPr>
        <w:numPr>
          <w:ilvl w:val="0"/>
          <w:numId w:val="48"/>
        </w:numPr>
      </w:pPr>
      <w:r w:rsidRPr="00084336">
        <w:rPr>
          <w:b/>
          <w:bCs/>
        </w:rPr>
        <w:t>STANAG 4676</w:t>
      </w:r>
      <w:r w:rsidRPr="00084336">
        <w:t xml:space="preserve">: </w:t>
      </w:r>
      <w:r w:rsidRPr="00084336">
        <w:rPr>
          <w:i/>
          <w:iCs/>
        </w:rPr>
        <w:t>track exchange</w:t>
      </w:r>
      <w:r w:rsidRPr="00084336">
        <w:t xml:space="preserve"> standard for ISR fusion (closest “alternative” to ASTERIX track exchange in defense ISR contexts).</w:t>
      </w:r>
    </w:p>
    <w:p w14:paraId="09019602" w14:textId="77777777" w:rsidR="00084336" w:rsidRPr="00084336" w:rsidRDefault="00084336" w:rsidP="00084336">
      <w:pPr>
        <w:numPr>
          <w:ilvl w:val="0"/>
          <w:numId w:val="48"/>
        </w:numPr>
      </w:pPr>
      <w:r w:rsidRPr="00084336">
        <w:rPr>
          <w:b/>
          <w:bCs/>
        </w:rPr>
        <w:t>STANAG 4607</w:t>
      </w:r>
      <w:r w:rsidRPr="00084336">
        <w:t>: GMTI radar products (less common for C-UAS).</w:t>
      </w:r>
    </w:p>
    <w:p w14:paraId="1CE4761D" w14:textId="77777777" w:rsidR="00084336" w:rsidRPr="00084336" w:rsidRDefault="00084336" w:rsidP="00084336">
      <w:pPr>
        <w:numPr>
          <w:ilvl w:val="0"/>
          <w:numId w:val="48"/>
        </w:numPr>
      </w:pPr>
      <w:r w:rsidRPr="00084336">
        <w:rPr>
          <w:b/>
          <w:bCs/>
        </w:rPr>
        <w:t>STANAG 4586</w:t>
      </w:r>
      <w:r w:rsidRPr="00084336">
        <w:t>: friendly UAV control interoperability (effector/UAS ops integration, not detection).</w:t>
      </w:r>
    </w:p>
    <w:p w14:paraId="0393F089" w14:textId="77777777" w:rsidR="00084336" w:rsidRPr="00084336" w:rsidRDefault="00084336" w:rsidP="00084336">
      <w:r w:rsidRPr="00084336">
        <w:lastRenderedPageBreak/>
        <w:pict w14:anchorId="24A7ADBC">
          <v:rect id="_x0000_i1172" style="width:0;height:1.5pt" o:hralign="center" o:hrstd="t" o:hr="t" fillcolor="#a0a0a0" stroked="f"/>
        </w:pict>
      </w:r>
    </w:p>
    <w:p w14:paraId="5D7F5B82" w14:textId="77777777" w:rsidR="00084336" w:rsidRPr="00084336" w:rsidRDefault="00084336" w:rsidP="00084336">
      <w:pPr>
        <w:rPr>
          <w:b/>
          <w:bCs/>
        </w:rPr>
      </w:pPr>
      <w:r w:rsidRPr="00084336">
        <w:rPr>
          <w:b/>
          <w:bCs/>
        </w:rPr>
        <w:t>Most common “slippery slope” across all three</w:t>
      </w:r>
    </w:p>
    <w:p w14:paraId="79E67CB7" w14:textId="77777777" w:rsidR="00084336" w:rsidRPr="00084336" w:rsidRDefault="00084336" w:rsidP="00084336">
      <w:r w:rsidRPr="00084336">
        <w:t xml:space="preserve">Even when you choose a NATO STANAG: </w:t>
      </w:r>
      <w:r w:rsidRPr="00084336">
        <w:rPr>
          <w:b/>
          <w:bCs/>
        </w:rPr>
        <w:t>edition + profile + implementation guidance + conformance evidence</w:t>
      </w:r>
      <w:r w:rsidRPr="00084336">
        <w:t xml:space="preserve"> is what decides whether you’re interoperable or vendor-tethered. Without that, you buy the </w:t>
      </w:r>
      <w:r w:rsidRPr="00084336">
        <w:rPr>
          <w:i/>
          <w:iCs/>
        </w:rPr>
        <w:t>label</w:t>
      </w:r>
      <w:r w:rsidRPr="00084336">
        <w:t>, not the interchangeability.</w:t>
      </w:r>
    </w:p>
    <w:p w14:paraId="679520D4" w14:textId="77777777" w:rsidR="009727E0" w:rsidRDefault="009727E0"/>
    <w:p w14:paraId="2F1BC394" w14:textId="77777777" w:rsidR="00084336" w:rsidRDefault="00084336"/>
    <w:p w14:paraId="1EFBDC67" w14:textId="77777777" w:rsidR="00084336" w:rsidRDefault="00084336">
      <w:pPr>
        <w:pBdr>
          <w:bottom w:val="single" w:sz="6" w:space="1" w:color="auto"/>
        </w:pBdr>
      </w:pPr>
    </w:p>
    <w:p w14:paraId="5DB2FE29" w14:textId="77777777" w:rsidR="00084336" w:rsidRDefault="00084336"/>
    <w:p w14:paraId="72A0440A" w14:textId="77777777" w:rsidR="00084336" w:rsidRDefault="00084336"/>
    <w:p w14:paraId="2112CFFF" w14:textId="77777777" w:rsidR="00084336" w:rsidRDefault="00084336"/>
    <w:p w14:paraId="17A05901" w14:textId="77777777" w:rsidR="00084336" w:rsidRPr="00084336" w:rsidRDefault="00084336" w:rsidP="00084336">
      <w:pPr>
        <w:rPr>
          <w:b/>
          <w:bCs/>
        </w:rPr>
      </w:pPr>
      <w:r w:rsidRPr="00084336">
        <w:rPr>
          <w:b/>
          <w:bCs/>
        </w:rPr>
        <w:t>Examples (with quotes) of “open standards used in ways that create leverage/lock-in”</w:t>
      </w:r>
    </w:p>
    <w:p w14:paraId="7D833C3F" w14:textId="77777777" w:rsidR="00084336" w:rsidRPr="00084336" w:rsidRDefault="00084336" w:rsidP="00084336">
      <w:pPr>
        <w:rPr>
          <w:b/>
          <w:bCs/>
        </w:rPr>
      </w:pPr>
      <w:r w:rsidRPr="00084336">
        <w:rPr>
          <w:b/>
          <w:bCs/>
        </w:rPr>
        <w:t>1) Rheinmetall SKYSPOTTER: SAPIENT + “seamlessly integrated” into their network</w:t>
      </w:r>
    </w:p>
    <w:p w14:paraId="2EAB48A1" w14:textId="77777777" w:rsidR="00084336" w:rsidRPr="00084336" w:rsidRDefault="00084336" w:rsidP="00084336">
      <w:r w:rsidRPr="00084336">
        <w:t xml:space="preserve">Rheinmetall’s SKYSPOTTER brochure lists </w:t>
      </w:r>
      <w:r w:rsidRPr="00084336">
        <w:rPr>
          <w:b/>
          <w:bCs/>
        </w:rPr>
        <w:t>SAPIENT</w:t>
      </w:r>
      <w:r w:rsidRPr="00084336">
        <w:t>, then immediately frames integration around their own ecosystem:</w:t>
      </w:r>
    </w:p>
    <w:p w14:paraId="7C0E192F" w14:textId="77777777" w:rsidR="00084336" w:rsidRPr="00084336" w:rsidRDefault="00084336" w:rsidP="00084336">
      <w:pPr>
        <w:numPr>
          <w:ilvl w:val="0"/>
          <w:numId w:val="49"/>
        </w:numPr>
      </w:pPr>
      <w:r w:rsidRPr="00084336">
        <w:t>Quote: “</w:t>
      </w:r>
      <w:r w:rsidRPr="00084336">
        <w:rPr>
          <w:b/>
          <w:bCs/>
        </w:rPr>
        <w:t>SAPIENT standard protocol</w:t>
      </w:r>
      <w:r w:rsidRPr="00084336">
        <w:t>” and “</w:t>
      </w:r>
      <w:r w:rsidRPr="00084336">
        <w:rPr>
          <w:b/>
          <w:bCs/>
        </w:rPr>
        <w:t xml:space="preserve">can be seamlessly integrated into the </w:t>
      </w:r>
      <w:proofErr w:type="spellStart"/>
      <w:r w:rsidRPr="00084336">
        <w:rPr>
          <w:b/>
          <w:bCs/>
        </w:rPr>
        <w:t>Skynex</w:t>
      </w:r>
      <w:proofErr w:type="spellEnd"/>
      <w:r w:rsidRPr="00084336">
        <w:rPr>
          <w:b/>
          <w:bCs/>
        </w:rPr>
        <w:t xml:space="preserve"> system/network via the modular Skymaster solution</w:t>
      </w:r>
      <w:r w:rsidRPr="00084336">
        <w:t xml:space="preserve">.” </w:t>
      </w:r>
      <w:hyperlink r:id="rId96" w:tgtFrame="_blank" w:history="1">
        <w:r w:rsidRPr="00084336">
          <w:rPr>
            <w:rStyle w:val="Hyperlink"/>
          </w:rPr>
          <w:t>rheinmetall.com</w:t>
        </w:r>
      </w:hyperlink>
      <w:r w:rsidRPr="00084336">
        <w:br/>
      </w:r>
      <w:r w:rsidRPr="00084336">
        <w:rPr>
          <w:b/>
          <w:bCs/>
        </w:rPr>
        <w:t>Lock-in mechanism:</w:t>
      </w:r>
      <w:r w:rsidRPr="00084336">
        <w:t xml:space="preserve"> you can meet “SAPIENT-compatible” requirements, yet the </w:t>
      </w:r>
      <w:r w:rsidRPr="00084336">
        <w:rPr>
          <w:i/>
          <w:iCs/>
        </w:rPr>
        <w:t>path of least resistance</w:t>
      </w:r>
      <w:r w:rsidRPr="00084336">
        <w:t xml:space="preserve"> (and often full capability) becomes </w:t>
      </w:r>
      <w:r w:rsidRPr="00084336">
        <w:rPr>
          <w:b/>
          <w:bCs/>
        </w:rPr>
        <w:t>Skymaster/</w:t>
      </w:r>
      <w:proofErr w:type="spellStart"/>
      <w:r w:rsidRPr="00084336">
        <w:rPr>
          <w:b/>
          <w:bCs/>
        </w:rPr>
        <w:t>Skynex</w:t>
      </w:r>
      <w:proofErr w:type="spellEnd"/>
      <w:r w:rsidRPr="00084336">
        <w:t>.</w:t>
      </w:r>
    </w:p>
    <w:p w14:paraId="43E911F7" w14:textId="77777777" w:rsidR="00084336" w:rsidRPr="00084336" w:rsidRDefault="00084336" w:rsidP="00084336">
      <w:pPr>
        <w:rPr>
          <w:b/>
          <w:bCs/>
        </w:rPr>
      </w:pPr>
      <w:r w:rsidRPr="00084336">
        <w:rPr>
          <w:b/>
          <w:bCs/>
        </w:rPr>
        <w:t>2) Kongsberg DR100: “Native (proprietary)… Asterix… Sapient (under implementation)”</w:t>
      </w:r>
    </w:p>
    <w:p w14:paraId="5F630E2A" w14:textId="77777777" w:rsidR="00084336" w:rsidRPr="00084336" w:rsidRDefault="00084336" w:rsidP="00084336">
      <w:pPr>
        <w:numPr>
          <w:ilvl w:val="0"/>
          <w:numId w:val="50"/>
        </w:numPr>
      </w:pPr>
      <w:r w:rsidRPr="00084336">
        <w:t xml:space="preserve">Quote: “Data protocol </w:t>
      </w:r>
      <w:r w:rsidRPr="00084336">
        <w:rPr>
          <w:b/>
          <w:bCs/>
        </w:rPr>
        <w:t>Native (proprietary), Asterix, Sapient (under implementation)</w:t>
      </w:r>
      <w:r w:rsidRPr="00084336">
        <w:t xml:space="preserve"> …” </w:t>
      </w:r>
      <w:hyperlink r:id="rId97" w:tgtFrame="_blank" w:history="1">
        <w:r w:rsidRPr="00084336">
          <w:rPr>
            <w:rStyle w:val="Hyperlink"/>
          </w:rPr>
          <w:t>kongsberg.com</w:t>
        </w:r>
      </w:hyperlink>
      <w:r w:rsidRPr="00084336">
        <w:br/>
      </w:r>
      <w:r w:rsidRPr="00084336">
        <w:rPr>
          <w:b/>
          <w:bCs/>
        </w:rPr>
        <w:t>Lock-in mechanism:</w:t>
      </w:r>
      <w:r w:rsidRPr="00084336">
        <w:t xml:space="preserve"> procurement hears “ASTERIX/SAPIENT”, but delivery reality is “native first”, with SAPIENT not yet complete.</w:t>
      </w:r>
    </w:p>
    <w:p w14:paraId="76234E80" w14:textId="77777777" w:rsidR="00084336" w:rsidRPr="00084336" w:rsidRDefault="00084336" w:rsidP="00084336">
      <w:pPr>
        <w:rPr>
          <w:b/>
          <w:bCs/>
        </w:rPr>
      </w:pPr>
      <w:r w:rsidRPr="00084336">
        <w:rPr>
          <w:b/>
          <w:bCs/>
        </w:rPr>
        <w:t>3) Robin Radar: SAPIENT is “easy”; deeper integration via native API</w:t>
      </w:r>
    </w:p>
    <w:p w14:paraId="43877E42" w14:textId="77777777" w:rsidR="00084336" w:rsidRPr="00084336" w:rsidRDefault="00084336" w:rsidP="00084336">
      <w:r w:rsidRPr="00084336">
        <w:t>Robin Radar explicitly contrasts SAPIENT with a deeper “native” path:</w:t>
      </w:r>
    </w:p>
    <w:p w14:paraId="40038A42" w14:textId="77777777" w:rsidR="00084336" w:rsidRPr="00084336" w:rsidRDefault="00084336" w:rsidP="00084336">
      <w:pPr>
        <w:numPr>
          <w:ilvl w:val="0"/>
          <w:numId w:val="51"/>
        </w:numPr>
      </w:pPr>
      <w:r w:rsidRPr="00084336">
        <w:t>Quote: “SAPIENT enables…” but “</w:t>
      </w:r>
      <w:r w:rsidRPr="00084336">
        <w:rPr>
          <w:b/>
          <w:bCs/>
        </w:rPr>
        <w:t>access to our native API offers lower-level data for an even deeper level of synergy</w:t>
      </w:r>
      <w:r w:rsidRPr="00084336">
        <w:t xml:space="preserve">.” </w:t>
      </w:r>
      <w:hyperlink r:id="rId98" w:tgtFrame="_blank" w:history="1">
        <w:r w:rsidRPr="00084336">
          <w:rPr>
            <w:rStyle w:val="Hyperlink"/>
          </w:rPr>
          <w:t>Robin Radar</w:t>
        </w:r>
      </w:hyperlink>
      <w:r w:rsidRPr="00084336">
        <w:br/>
      </w:r>
      <w:r w:rsidRPr="00084336">
        <w:rPr>
          <w:b/>
          <w:bCs/>
        </w:rPr>
        <w:t>Lock-in mechanism:</w:t>
      </w:r>
      <w:r w:rsidRPr="00084336">
        <w:t xml:space="preserve"> integrators start “open”, then discover performance/UX/features </w:t>
      </w:r>
      <w:r w:rsidRPr="00084336">
        <w:lastRenderedPageBreak/>
        <w:t xml:space="preserve">require </w:t>
      </w:r>
      <w:r w:rsidRPr="00084336">
        <w:rPr>
          <w:b/>
          <w:bCs/>
        </w:rPr>
        <w:t>native API</w:t>
      </w:r>
      <w:r w:rsidRPr="00084336">
        <w:t xml:space="preserve"> (and the vendor decides who gets it, how stable it is, and what it costs).</w:t>
      </w:r>
    </w:p>
    <w:p w14:paraId="62DBEF79" w14:textId="77777777" w:rsidR="00084336" w:rsidRPr="00084336" w:rsidRDefault="00084336" w:rsidP="00084336">
      <w:pPr>
        <w:rPr>
          <w:b/>
          <w:bCs/>
        </w:rPr>
      </w:pPr>
      <w:r w:rsidRPr="00084336">
        <w:rPr>
          <w:b/>
          <w:bCs/>
        </w:rPr>
        <w:t>4) Robin Radar ELVIRA: standard interface included; ASTERIX is “on request”</w:t>
      </w:r>
    </w:p>
    <w:p w14:paraId="2A7EEB92" w14:textId="77777777" w:rsidR="00084336" w:rsidRPr="00084336" w:rsidRDefault="00084336" w:rsidP="00084336">
      <w:pPr>
        <w:numPr>
          <w:ilvl w:val="0"/>
          <w:numId w:val="52"/>
        </w:numPr>
      </w:pPr>
      <w:r w:rsidRPr="00084336">
        <w:t xml:space="preserve">Quote: “A simple XML… interface is included… </w:t>
      </w:r>
      <w:r w:rsidRPr="00084336">
        <w:rPr>
          <w:b/>
          <w:bCs/>
        </w:rPr>
        <w:t>Other protocols, e.g. ASTERIX, are available on request</w:t>
      </w:r>
      <w:r w:rsidRPr="00084336">
        <w:t xml:space="preserve">.” </w:t>
      </w:r>
      <w:hyperlink r:id="rId99" w:tgtFrame="_blank" w:history="1">
        <w:proofErr w:type="spellStart"/>
        <w:r w:rsidRPr="00084336">
          <w:rPr>
            <w:rStyle w:val="Hyperlink"/>
          </w:rPr>
          <w:t>Epicos</w:t>
        </w:r>
        <w:proofErr w:type="spellEnd"/>
      </w:hyperlink>
      <w:r w:rsidRPr="00084336">
        <w:br/>
      </w:r>
      <w:r w:rsidRPr="00084336">
        <w:rPr>
          <w:b/>
          <w:bCs/>
        </w:rPr>
        <w:t>Lock-in mechanism:</w:t>
      </w:r>
      <w:r w:rsidRPr="00084336">
        <w:t xml:space="preserve"> the “open” interface becomes a commercial option, not a default deliverable.</w:t>
      </w:r>
    </w:p>
    <w:p w14:paraId="6220081E" w14:textId="77777777" w:rsidR="00084336" w:rsidRPr="00084336" w:rsidRDefault="00084336" w:rsidP="00084336">
      <w:pPr>
        <w:rPr>
          <w:b/>
          <w:bCs/>
        </w:rPr>
      </w:pPr>
      <w:r w:rsidRPr="00084336">
        <w:rPr>
          <w:b/>
          <w:bCs/>
        </w:rPr>
        <w:t xml:space="preserve">5) </w:t>
      </w:r>
      <w:proofErr w:type="spellStart"/>
      <w:r w:rsidRPr="00084336">
        <w:rPr>
          <w:b/>
          <w:bCs/>
        </w:rPr>
        <w:t>Echodyne</w:t>
      </w:r>
      <w:proofErr w:type="spellEnd"/>
      <w:r w:rsidRPr="00084336">
        <w:rPr>
          <w:b/>
          <w:bCs/>
        </w:rPr>
        <w:t>: standards exist, but the product center of gravity is still the vendor API</w:t>
      </w:r>
    </w:p>
    <w:p w14:paraId="01E45D11" w14:textId="77777777" w:rsidR="00084336" w:rsidRPr="00084336" w:rsidRDefault="00084336" w:rsidP="00084336">
      <w:pPr>
        <w:numPr>
          <w:ilvl w:val="0"/>
          <w:numId w:val="53"/>
        </w:numPr>
      </w:pPr>
      <w:r w:rsidRPr="00084336">
        <w:t xml:space="preserve">Quote: “Our radars output data through </w:t>
      </w:r>
      <w:proofErr w:type="spellStart"/>
      <w:r w:rsidRPr="00084336">
        <w:rPr>
          <w:b/>
          <w:bCs/>
        </w:rPr>
        <w:t>Echodyne’s</w:t>
      </w:r>
      <w:proofErr w:type="spellEnd"/>
      <w:r w:rsidRPr="00084336">
        <w:rPr>
          <w:b/>
          <w:bCs/>
        </w:rPr>
        <w:t xml:space="preserve"> API</w:t>
      </w:r>
      <w:r w:rsidRPr="00084336">
        <w:t xml:space="preserve"> … In some cases… </w:t>
      </w:r>
      <w:r w:rsidRPr="00084336">
        <w:rPr>
          <w:b/>
          <w:bCs/>
        </w:rPr>
        <w:t>Asterix</w:t>
      </w:r>
      <w:r w:rsidRPr="00084336">
        <w:t xml:space="preserve">… Europe… </w:t>
      </w:r>
      <w:r w:rsidRPr="00084336">
        <w:rPr>
          <w:b/>
          <w:bCs/>
        </w:rPr>
        <w:t>SAPIENT</w:t>
      </w:r>
      <w:r w:rsidRPr="00084336">
        <w:t>… ‘</w:t>
      </w:r>
      <w:r w:rsidRPr="00084336">
        <w:rPr>
          <w:b/>
          <w:bCs/>
        </w:rPr>
        <w:t>native API or a standard protocol</w:t>
      </w:r>
      <w:r w:rsidRPr="00084336">
        <w:t xml:space="preserve">’ …” </w:t>
      </w:r>
      <w:hyperlink r:id="rId100" w:tgtFrame="_blank" w:history="1">
        <w:r w:rsidRPr="00084336">
          <w:rPr>
            <w:rStyle w:val="Hyperlink"/>
          </w:rPr>
          <w:t>Defense Advancement</w:t>
        </w:r>
      </w:hyperlink>
      <w:r w:rsidRPr="00084336">
        <w:br/>
      </w:r>
      <w:r w:rsidRPr="00084336">
        <w:rPr>
          <w:b/>
          <w:bCs/>
        </w:rPr>
        <w:t>Lock-in mechanism:</w:t>
      </w:r>
      <w:r w:rsidRPr="00084336">
        <w:t xml:space="preserve"> integration teams optimize around the vendor API (richer, better supported), and the “standard protocol” path becomes a compatibility layer with fewer guarantees.</w:t>
      </w:r>
    </w:p>
    <w:p w14:paraId="30D2F373" w14:textId="77777777" w:rsidR="00084336" w:rsidRPr="00084336" w:rsidRDefault="00084336" w:rsidP="00084336">
      <w:pPr>
        <w:rPr>
          <w:b/>
          <w:bCs/>
        </w:rPr>
      </w:pPr>
      <w:r w:rsidRPr="00084336">
        <w:rPr>
          <w:b/>
          <w:bCs/>
        </w:rPr>
        <w:t xml:space="preserve">6) Elbit </w:t>
      </w:r>
      <w:proofErr w:type="spellStart"/>
      <w:r w:rsidRPr="00084336">
        <w:rPr>
          <w:b/>
          <w:bCs/>
        </w:rPr>
        <w:t>ReDrone</w:t>
      </w:r>
      <w:proofErr w:type="spellEnd"/>
      <w:r w:rsidRPr="00084336">
        <w:rPr>
          <w:b/>
          <w:bCs/>
        </w:rPr>
        <w:t>: “supports standard control protocols, such as Asterix and Sapient”</w:t>
      </w:r>
    </w:p>
    <w:p w14:paraId="27D244F1" w14:textId="77777777" w:rsidR="00084336" w:rsidRPr="00084336" w:rsidRDefault="00084336" w:rsidP="00084336">
      <w:pPr>
        <w:numPr>
          <w:ilvl w:val="0"/>
          <w:numId w:val="54"/>
        </w:numPr>
      </w:pPr>
      <w:r w:rsidRPr="00084336">
        <w:t xml:space="preserve">Quote: “supports </w:t>
      </w:r>
      <w:r w:rsidRPr="00084336">
        <w:rPr>
          <w:b/>
          <w:bCs/>
        </w:rPr>
        <w:t>standard control protocols</w:t>
      </w:r>
      <w:r w:rsidRPr="00084336">
        <w:t xml:space="preserve">, such as </w:t>
      </w:r>
      <w:r w:rsidRPr="00084336">
        <w:rPr>
          <w:b/>
          <w:bCs/>
        </w:rPr>
        <w:t>Asterix and Sapient</w:t>
      </w:r>
      <w:r w:rsidRPr="00084336">
        <w:t xml:space="preserve"> …” </w:t>
      </w:r>
      <w:hyperlink r:id="rId101" w:tgtFrame="_blank" w:history="1">
        <w:r w:rsidRPr="00084336">
          <w:rPr>
            <w:rStyle w:val="Hyperlink"/>
          </w:rPr>
          <w:t>Elbit Systems</w:t>
        </w:r>
      </w:hyperlink>
      <w:r w:rsidRPr="00084336">
        <w:br/>
      </w:r>
      <w:r w:rsidRPr="00084336">
        <w:rPr>
          <w:b/>
          <w:bCs/>
        </w:rPr>
        <w:t>Lock-in mechanism:</w:t>
      </w:r>
      <w:r w:rsidRPr="00084336">
        <w:t xml:space="preserve"> “supports” is not “fully interoperable”. Without a </w:t>
      </w:r>
      <w:r w:rsidRPr="00084336">
        <w:rPr>
          <w:b/>
          <w:bCs/>
        </w:rPr>
        <w:t>strict profile</w:t>
      </w:r>
      <w:r w:rsidRPr="00084336">
        <w:t xml:space="preserve"> + test vectors + required feature set, “Asterix/Sapient” can mean </w:t>
      </w:r>
      <w:r w:rsidRPr="00084336">
        <w:rPr>
          <w:i/>
          <w:iCs/>
        </w:rPr>
        <w:t>a subset that only works cleanly with the vendor’s own C2/integrations</w:t>
      </w:r>
      <w:r w:rsidRPr="00084336">
        <w:t>.</w:t>
      </w:r>
    </w:p>
    <w:p w14:paraId="48ABAAF1" w14:textId="77777777" w:rsidR="00084336" w:rsidRPr="00084336" w:rsidRDefault="00084336" w:rsidP="00084336">
      <w:pPr>
        <w:rPr>
          <w:b/>
          <w:bCs/>
        </w:rPr>
      </w:pPr>
      <w:r w:rsidRPr="00084336">
        <w:rPr>
          <w:b/>
          <w:bCs/>
        </w:rPr>
        <w:t>7) ASTERIX CAT253 (remote monitoring &amp; control): explicitly not standardized</w:t>
      </w:r>
    </w:p>
    <w:p w14:paraId="7CC9ADC6" w14:textId="77777777" w:rsidR="00084336" w:rsidRPr="00084336" w:rsidRDefault="00084336" w:rsidP="00084336">
      <w:r w:rsidRPr="00084336">
        <w:t>EUROCONTROL’s CAT253 spec basically describes a controlled-dialect situation:</w:t>
      </w:r>
    </w:p>
    <w:p w14:paraId="601C770B" w14:textId="77777777" w:rsidR="00084336" w:rsidRPr="00084336" w:rsidRDefault="00084336" w:rsidP="00084336">
      <w:pPr>
        <w:numPr>
          <w:ilvl w:val="0"/>
          <w:numId w:val="55"/>
        </w:numPr>
      </w:pPr>
      <w:r w:rsidRPr="00084336">
        <w:t>Quote: “</w:t>
      </w:r>
      <w:r w:rsidRPr="00084336">
        <w:rPr>
          <w:b/>
          <w:bCs/>
        </w:rPr>
        <w:t>Until now, no standard exists</w:t>
      </w:r>
      <w:r w:rsidRPr="00084336">
        <w:t xml:space="preserve">… The problem… is solved by defining </w:t>
      </w:r>
      <w:r w:rsidRPr="00084336">
        <w:rPr>
          <w:b/>
          <w:bCs/>
        </w:rPr>
        <w:t>different UAPs for each user</w:t>
      </w:r>
      <w:r w:rsidRPr="00084336">
        <w:t xml:space="preserve">…” </w:t>
      </w:r>
      <w:hyperlink r:id="rId102" w:tgtFrame="_blank" w:history="1">
        <w:r w:rsidRPr="00084336">
          <w:rPr>
            <w:rStyle w:val="Hyperlink"/>
          </w:rPr>
          <w:t>Eurocontrol</w:t>
        </w:r>
      </w:hyperlink>
      <w:r w:rsidRPr="00084336">
        <w:br/>
      </w:r>
      <w:r w:rsidRPr="00084336">
        <w:rPr>
          <w:b/>
          <w:bCs/>
        </w:rPr>
        <w:t>Why this matters to C-UAS:</w:t>
      </w:r>
      <w:r w:rsidRPr="00084336">
        <w:t xml:space="preserve"> surveillance output can be standardized (tracks/video), while </w:t>
      </w:r>
      <w:r w:rsidRPr="00084336">
        <w:rPr>
          <w:i/>
          <w:iCs/>
        </w:rPr>
        <w:t>control</w:t>
      </w:r>
      <w:r w:rsidRPr="00084336">
        <w:t xml:space="preserve"> (health, configuration, tasking) becomes </w:t>
      </w:r>
      <w:r w:rsidRPr="00084336">
        <w:rPr>
          <w:b/>
          <w:bCs/>
        </w:rPr>
        <w:t>per-user/per-vendor</w:t>
      </w:r>
      <w:r w:rsidRPr="00084336">
        <w:t>, recreating lock-in via “only vendor X supports our CAT253 flavor”.</w:t>
      </w:r>
    </w:p>
    <w:p w14:paraId="3F0FD369" w14:textId="77777777" w:rsidR="00084336" w:rsidRPr="00084336" w:rsidRDefault="00084336" w:rsidP="00084336">
      <w:pPr>
        <w:rPr>
          <w:b/>
          <w:bCs/>
        </w:rPr>
      </w:pPr>
      <w:r w:rsidRPr="00084336">
        <w:rPr>
          <w:b/>
          <w:bCs/>
        </w:rPr>
        <w:t>8) A concrete CAT240/CAT253 “open + proprietary” pairing in the wild (radar video/control)</w:t>
      </w:r>
    </w:p>
    <w:p w14:paraId="5D2E4AFE" w14:textId="77777777" w:rsidR="00084336" w:rsidRPr="00084336" w:rsidRDefault="00084336" w:rsidP="00084336">
      <w:r w:rsidRPr="00084336">
        <w:t xml:space="preserve">DSPNOR’s </w:t>
      </w:r>
      <w:proofErr w:type="spellStart"/>
      <w:r w:rsidRPr="00084336">
        <w:t>ScanStreamer</w:t>
      </w:r>
      <w:proofErr w:type="spellEnd"/>
      <w:r w:rsidRPr="00084336">
        <w:t xml:space="preserve"> II lists:</w:t>
      </w:r>
    </w:p>
    <w:p w14:paraId="53FFE909" w14:textId="77777777" w:rsidR="00084336" w:rsidRPr="00084336" w:rsidRDefault="00084336" w:rsidP="00084336">
      <w:pPr>
        <w:numPr>
          <w:ilvl w:val="0"/>
          <w:numId w:val="56"/>
        </w:numPr>
      </w:pPr>
      <w:r w:rsidRPr="00084336">
        <w:t xml:space="preserve">Quote: “Data: </w:t>
      </w:r>
      <w:r w:rsidRPr="00084336">
        <w:rPr>
          <w:b/>
          <w:bCs/>
        </w:rPr>
        <w:t xml:space="preserve">Asterix CAT-240 or </w:t>
      </w:r>
      <w:proofErr w:type="spellStart"/>
      <w:r w:rsidRPr="00084336">
        <w:rPr>
          <w:b/>
          <w:bCs/>
        </w:rPr>
        <w:t>dspnor</w:t>
      </w:r>
      <w:proofErr w:type="spellEnd"/>
      <w:r w:rsidRPr="00084336">
        <w:rPr>
          <w:b/>
          <w:bCs/>
        </w:rPr>
        <w:t xml:space="preserve"> proprietary</w:t>
      </w:r>
      <w:r w:rsidRPr="00084336">
        <w:t xml:space="preserve">” and “Control: </w:t>
      </w:r>
      <w:r w:rsidRPr="00084336">
        <w:rPr>
          <w:b/>
          <w:bCs/>
        </w:rPr>
        <w:t>Asterix CAT-253 or JSON over HTTP</w:t>
      </w:r>
      <w:r w:rsidRPr="00084336">
        <w:t xml:space="preserve">.” </w:t>
      </w:r>
      <w:hyperlink r:id="rId103" w:tgtFrame="_blank" w:history="1">
        <w:proofErr w:type="spellStart"/>
        <w:r w:rsidRPr="00084336">
          <w:rPr>
            <w:rStyle w:val="Hyperlink"/>
          </w:rPr>
          <w:t>dspnor</w:t>
        </w:r>
        <w:proofErr w:type="spellEnd"/>
      </w:hyperlink>
      <w:r w:rsidRPr="00084336">
        <w:br/>
      </w:r>
      <w:r w:rsidRPr="00084336">
        <w:rPr>
          <w:b/>
          <w:bCs/>
        </w:rPr>
        <w:t>Lock-in mechanism:</w:t>
      </w:r>
      <w:r w:rsidRPr="00084336">
        <w:t xml:space="preserve"> you can buy “ASTERIX CAT-240/CAT-253”, but the vendor also ships a </w:t>
      </w:r>
      <w:r w:rsidRPr="00084336">
        <w:rPr>
          <w:b/>
          <w:bCs/>
        </w:rPr>
        <w:t>proprietary</w:t>
      </w:r>
      <w:r w:rsidRPr="00084336">
        <w:t xml:space="preserve"> path and CAT253 itself is not globally standardized (see above).</w:t>
      </w:r>
    </w:p>
    <w:p w14:paraId="1B9BD44A" w14:textId="77777777" w:rsidR="00084336" w:rsidRPr="00084336" w:rsidRDefault="00084336" w:rsidP="00084336">
      <w:pPr>
        <w:rPr>
          <w:b/>
          <w:bCs/>
        </w:rPr>
      </w:pPr>
      <w:r w:rsidRPr="00084336">
        <w:rPr>
          <w:b/>
          <w:bCs/>
        </w:rPr>
        <w:lastRenderedPageBreak/>
        <w:t>9) MOSA guidance (DoD 2025): vendor lock happens through proprietary interfaces unless you manage data/rights</w:t>
      </w:r>
    </w:p>
    <w:p w14:paraId="442BE270" w14:textId="77777777" w:rsidR="00084336" w:rsidRPr="00084336" w:rsidRDefault="00084336" w:rsidP="00084336">
      <w:pPr>
        <w:numPr>
          <w:ilvl w:val="0"/>
          <w:numId w:val="57"/>
        </w:numPr>
      </w:pPr>
      <w:r w:rsidRPr="00084336">
        <w:t xml:space="preserve">Quote: “KOSS tool… evaluate… susceptible to </w:t>
      </w:r>
      <w:r w:rsidRPr="00084336">
        <w:rPr>
          <w:b/>
          <w:bCs/>
        </w:rPr>
        <w:t>vendor lock because of proprietary interfaces</w:t>
      </w:r>
      <w:r w:rsidRPr="00084336">
        <w:t xml:space="preserve">… If only one vendor can replace or upgrade… [they] exert… negotiating leverage…” </w:t>
      </w:r>
      <w:hyperlink r:id="rId104" w:tgtFrame="_blank" w:history="1">
        <w:r w:rsidRPr="00084336">
          <w:rPr>
            <w:rStyle w:val="Hyperlink"/>
          </w:rPr>
          <w:t>cto.mil</w:t>
        </w:r>
      </w:hyperlink>
      <w:r w:rsidRPr="00084336">
        <w:br/>
      </w:r>
      <w:r w:rsidRPr="00084336">
        <w:rPr>
          <w:b/>
          <w:bCs/>
        </w:rPr>
        <w:t>Lock-in mechanism:</w:t>
      </w:r>
      <w:r w:rsidRPr="00084336">
        <w:t xml:space="preserve"> MOSA language in requirements is not enough; you must demand </w:t>
      </w:r>
      <w:r w:rsidRPr="00084336">
        <w:rPr>
          <w:b/>
          <w:bCs/>
        </w:rPr>
        <w:t>interface data + license rights + verification</w:t>
      </w:r>
      <w:r w:rsidRPr="00084336">
        <w:t>.</w:t>
      </w:r>
    </w:p>
    <w:p w14:paraId="629ACE6F" w14:textId="77777777" w:rsidR="00084336" w:rsidRPr="00084336" w:rsidRDefault="00084336" w:rsidP="00084336">
      <w:pPr>
        <w:rPr>
          <w:b/>
          <w:bCs/>
        </w:rPr>
      </w:pPr>
      <w:r w:rsidRPr="00084336">
        <w:rPr>
          <w:b/>
          <w:bCs/>
        </w:rPr>
        <w:t>10) SOSA “aligned” vs actually conformant/certified</w:t>
      </w:r>
    </w:p>
    <w:p w14:paraId="67EE59CE" w14:textId="77777777" w:rsidR="00084336" w:rsidRPr="00084336" w:rsidRDefault="00084336" w:rsidP="00084336">
      <w:r w:rsidRPr="00084336">
        <w:t>Two key pieces:</w:t>
      </w:r>
    </w:p>
    <w:p w14:paraId="3DF819BD" w14:textId="77777777" w:rsidR="00084336" w:rsidRPr="00084336" w:rsidRDefault="00084336" w:rsidP="00084336">
      <w:pPr>
        <w:numPr>
          <w:ilvl w:val="0"/>
          <w:numId w:val="58"/>
        </w:numPr>
      </w:pPr>
      <w:r w:rsidRPr="00084336">
        <w:t>Quote: “</w:t>
      </w:r>
      <w:r w:rsidRPr="00084336">
        <w:rPr>
          <w:b/>
          <w:bCs/>
        </w:rPr>
        <w:t>Until the award of certification, no product can claim to be SOSA conformant</w:t>
      </w:r>
      <w:r w:rsidRPr="00084336">
        <w:t xml:space="preserve">.” </w:t>
      </w:r>
      <w:hyperlink r:id="rId105" w:tgtFrame="_blank" w:history="1">
        <w:r w:rsidRPr="00084336">
          <w:rPr>
            <w:rStyle w:val="Hyperlink"/>
          </w:rPr>
          <w:t>Mercury Systems+1</w:t>
        </w:r>
      </w:hyperlink>
    </w:p>
    <w:p w14:paraId="720042B2" w14:textId="77777777" w:rsidR="00084336" w:rsidRPr="00084336" w:rsidRDefault="00084336" w:rsidP="00084336">
      <w:pPr>
        <w:numPr>
          <w:ilvl w:val="0"/>
          <w:numId w:val="58"/>
        </w:numPr>
      </w:pPr>
      <w:r w:rsidRPr="00084336">
        <w:t xml:space="preserve">The Open Group: certification hinges on </w:t>
      </w:r>
      <w:r w:rsidRPr="00084336">
        <w:rPr>
          <w:b/>
          <w:bCs/>
        </w:rPr>
        <w:t>Conformance Sets</w:t>
      </w:r>
      <w:r w:rsidRPr="00084336">
        <w:t xml:space="preserve"> (not “SOSA” as one monolith). </w:t>
      </w:r>
      <w:hyperlink r:id="rId106" w:tgtFrame="_blank" w:history="1">
        <w:r w:rsidRPr="00084336">
          <w:rPr>
            <w:rStyle w:val="Hyperlink"/>
          </w:rPr>
          <w:t>certification.opengroup.org+1</w:t>
        </w:r>
      </w:hyperlink>
      <w:r w:rsidRPr="00084336">
        <w:br/>
      </w:r>
      <w:r w:rsidRPr="00084336">
        <w:rPr>
          <w:b/>
          <w:bCs/>
        </w:rPr>
        <w:t>Lock-in mechanism:</w:t>
      </w:r>
      <w:r w:rsidRPr="00084336">
        <w:t xml:space="preserve"> vendors sell “SOSA-aligned” (safe marketing), but your integration still depends on vendor-specific firmware/drivers/backplanes and whichever conformance set(s) they actually meet.</w:t>
      </w:r>
    </w:p>
    <w:p w14:paraId="0F0B9B1B" w14:textId="77777777" w:rsidR="00084336" w:rsidRPr="00084336" w:rsidRDefault="00084336" w:rsidP="00084336">
      <w:r w:rsidRPr="00084336">
        <w:pict w14:anchorId="2B272417">
          <v:rect id="_x0000_i1183" style="width:0;height:1.5pt" o:hralign="center" o:hrstd="t" o:hr="t" fillcolor="#a0a0a0" stroked="f"/>
        </w:pict>
      </w:r>
    </w:p>
    <w:p w14:paraId="4B4A18C6" w14:textId="77777777" w:rsidR="00084336" w:rsidRPr="00084336" w:rsidRDefault="00084336" w:rsidP="00084336">
      <w:pPr>
        <w:rPr>
          <w:b/>
          <w:bCs/>
        </w:rPr>
      </w:pPr>
      <w:r w:rsidRPr="00084336">
        <w:rPr>
          <w:b/>
          <w:bCs/>
        </w:rPr>
        <w:t>Evidence that buyers are explicitly worried about lock-in in C-UAS</w:t>
      </w:r>
    </w:p>
    <w:p w14:paraId="74A54615" w14:textId="77777777" w:rsidR="00084336" w:rsidRPr="00084336" w:rsidRDefault="00084336" w:rsidP="00084336">
      <w:pPr>
        <w:numPr>
          <w:ilvl w:val="0"/>
          <w:numId w:val="59"/>
        </w:numPr>
      </w:pPr>
      <w:r w:rsidRPr="00084336">
        <w:t>A C-UAS protection handbook states: “</w:t>
      </w:r>
      <w:r w:rsidRPr="00084336">
        <w:rPr>
          <w:b/>
          <w:bCs/>
        </w:rPr>
        <w:t>Avoiding a vendor lock-in</w:t>
      </w:r>
      <w:r w:rsidRPr="00084336">
        <w:t xml:space="preserve"> … make the systems’ core infrastructure as </w:t>
      </w:r>
      <w:r w:rsidRPr="00084336">
        <w:rPr>
          <w:b/>
          <w:bCs/>
        </w:rPr>
        <w:t>vendor agnostic</w:t>
      </w:r>
      <w:r w:rsidRPr="00084336">
        <w:t xml:space="preserve"> as possible…” </w:t>
      </w:r>
      <w:hyperlink r:id="rId107" w:tgtFrame="_blank" w:history="1">
        <w:proofErr w:type="spellStart"/>
        <w:r w:rsidRPr="00084336">
          <w:rPr>
            <w:rStyle w:val="Hyperlink"/>
          </w:rPr>
          <w:t>Wydział</w:t>
        </w:r>
        <w:proofErr w:type="spellEnd"/>
        <w:r w:rsidRPr="00084336">
          <w:rPr>
            <w:rStyle w:val="Hyperlink"/>
          </w:rPr>
          <w:t xml:space="preserve"> </w:t>
        </w:r>
        <w:proofErr w:type="spellStart"/>
        <w:r w:rsidRPr="00084336">
          <w:rPr>
            <w:rStyle w:val="Hyperlink"/>
          </w:rPr>
          <w:t>Prewencji</w:t>
        </w:r>
        <w:proofErr w:type="spellEnd"/>
        <w:r w:rsidRPr="00084336">
          <w:rPr>
            <w:rStyle w:val="Hyperlink"/>
          </w:rPr>
          <w:t xml:space="preserve"> </w:t>
        </w:r>
        <w:proofErr w:type="spellStart"/>
        <w:r w:rsidRPr="00084336">
          <w:rPr>
            <w:rStyle w:val="Hyperlink"/>
          </w:rPr>
          <w:t>Zagrożeń</w:t>
        </w:r>
        <w:proofErr w:type="spellEnd"/>
        <w:r w:rsidRPr="00084336">
          <w:rPr>
            <w:rStyle w:val="Hyperlink"/>
          </w:rPr>
          <w:t xml:space="preserve"> CAT ABW</w:t>
        </w:r>
      </w:hyperlink>
    </w:p>
    <w:p w14:paraId="037E91E3" w14:textId="77777777" w:rsidR="00084336" w:rsidRPr="00084336" w:rsidRDefault="00084336" w:rsidP="00084336">
      <w:pPr>
        <w:numPr>
          <w:ilvl w:val="0"/>
          <w:numId w:val="59"/>
        </w:numPr>
      </w:pPr>
      <w:r w:rsidRPr="00084336">
        <w:t xml:space="preserve">A CEN/CENELEC C-UAS draft requirements doc calls for: “The C-UAS system shall have an </w:t>
      </w:r>
      <w:r w:rsidRPr="00084336">
        <w:rPr>
          <w:b/>
          <w:bCs/>
        </w:rPr>
        <w:t>open API</w:t>
      </w:r>
      <w:r w:rsidRPr="00084336">
        <w:t xml:space="preserve">…” and notes: “Due to the </w:t>
      </w:r>
      <w:r w:rsidRPr="00084336">
        <w:rPr>
          <w:b/>
          <w:bCs/>
        </w:rPr>
        <w:t>proprietary nature</w:t>
      </w:r>
      <w:r w:rsidRPr="00084336">
        <w:t xml:space="preserve">… no … models are available…” </w:t>
      </w:r>
      <w:hyperlink r:id="rId108" w:tgtFrame="_blank" w:history="1">
        <w:r w:rsidRPr="00084336">
          <w:rPr>
            <w:rStyle w:val="Hyperlink"/>
          </w:rPr>
          <w:t>CEN-CENELEC</w:t>
        </w:r>
      </w:hyperlink>
    </w:p>
    <w:p w14:paraId="29AF677D" w14:textId="77777777" w:rsidR="00084336" w:rsidRPr="00084336" w:rsidRDefault="00084336" w:rsidP="00084336">
      <w:pPr>
        <w:numPr>
          <w:ilvl w:val="0"/>
          <w:numId w:val="59"/>
        </w:numPr>
      </w:pPr>
      <w:r w:rsidRPr="00084336">
        <w:t xml:space="preserve">NATO/NCIA interoperability work explicitly uses SAPIENT and ASTERIX in C-UAS interoperability exercises. </w:t>
      </w:r>
      <w:hyperlink r:id="rId109" w:tgtFrame="_blank" w:history="1">
        <w:r w:rsidRPr="00084336">
          <w:rPr>
            <w:rStyle w:val="Hyperlink"/>
          </w:rPr>
          <w:t>CS GROUP</w:t>
        </w:r>
      </w:hyperlink>
    </w:p>
    <w:p w14:paraId="58BDFDDE" w14:textId="77777777" w:rsidR="00084336" w:rsidRDefault="00084336"/>
    <w:p w14:paraId="65FBBEDF" w14:textId="77777777" w:rsidR="00084336" w:rsidRDefault="00084336"/>
    <w:p w14:paraId="0BFC1C99" w14:textId="77777777" w:rsidR="00084336" w:rsidRDefault="00084336">
      <w:pPr>
        <w:pBdr>
          <w:bottom w:val="single" w:sz="6" w:space="1" w:color="auto"/>
        </w:pBdr>
      </w:pPr>
    </w:p>
    <w:p w14:paraId="40D5F4E4" w14:textId="77777777" w:rsidR="009A1B4A" w:rsidRPr="009A1B4A" w:rsidRDefault="009A1B4A" w:rsidP="009A1B4A">
      <w:r w:rsidRPr="009A1B4A">
        <w:t xml:space="preserve">Here are </w:t>
      </w:r>
      <w:r w:rsidRPr="009A1B4A">
        <w:rPr>
          <w:b/>
          <w:bCs/>
        </w:rPr>
        <w:t>more concrete, citable “open-but-sticky” lock-in patterns</w:t>
      </w:r>
      <w:r w:rsidRPr="009A1B4A">
        <w:t xml:space="preserve"> in C-UAS, with </w:t>
      </w:r>
      <w:r w:rsidRPr="009A1B4A">
        <w:rPr>
          <w:b/>
          <w:bCs/>
        </w:rPr>
        <w:t>specific vendor/system examples and short quotes</w:t>
      </w:r>
      <w:r w:rsidRPr="009A1B4A">
        <w:t xml:space="preserve"> you can point to.</w:t>
      </w:r>
    </w:p>
    <w:p w14:paraId="6B20A0CC" w14:textId="77777777" w:rsidR="009A1B4A" w:rsidRPr="009A1B4A" w:rsidRDefault="009A1B4A" w:rsidP="009A1B4A">
      <w:pPr>
        <w:rPr>
          <w:b/>
          <w:bCs/>
        </w:rPr>
      </w:pPr>
      <w:r w:rsidRPr="009A1B4A">
        <w:rPr>
          <w:b/>
          <w:bCs/>
        </w:rPr>
        <w:lastRenderedPageBreak/>
        <w:t>1) “We support SAPIENT/ASTERIX” …but you still need the vendor to build the adapters</w:t>
      </w:r>
    </w:p>
    <w:p w14:paraId="5DC5A75F" w14:textId="77777777" w:rsidR="009A1B4A" w:rsidRPr="009A1B4A" w:rsidRDefault="009A1B4A" w:rsidP="009A1B4A">
      <w:r w:rsidRPr="009A1B4A">
        <w:rPr>
          <w:b/>
          <w:bCs/>
        </w:rPr>
        <w:t>L3Harris – Drone Guardian</w:t>
      </w:r>
    </w:p>
    <w:p w14:paraId="02B2CBB2" w14:textId="77777777" w:rsidR="009A1B4A" w:rsidRPr="009A1B4A" w:rsidRDefault="009A1B4A" w:rsidP="009A1B4A">
      <w:pPr>
        <w:numPr>
          <w:ilvl w:val="0"/>
          <w:numId w:val="60"/>
        </w:numPr>
      </w:pPr>
      <w:r w:rsidRPr="009A1B4A">
        <w:t>Marketing: “open architecture … compatible with … SAPIENT … and ASTERIX”</w:t>
      </w:r>
    </w:p>
    <w:p w14:paraId="203D1986" w14:textId="77777777" w:rsidR="009A1B4A" w:rsidRPr="009A1B4A" w:rsidRDefault="009A1B4A" w:rsidP="009A1B4A">
      <w:pPr>
        <w:numPr>
          <w:ilvl w:val="0"/>
          <w:numId w:val="60"/>
        </w:numPr>
      </w:pPr>
      <w:r w:rsidRPr="009A1B4A">
        <w:t xml:space="preserve">Lock-in lever: the same passage explicitly positions </w:t>
      </w:r>
      <w:r w:rsidRPr="009A1B4A">
        <w:rPr>
          <w:b/>
          <w:bCs/>
        </w:rPr>
        <w:t>L3Harris as the party who builds the needed interfaces</w:t>
      </w:r>
      <w:r w:rsidRPr="009A1B4A">
        <w:t>, which becomes a dependency for onboarding/refreshing sensors &amp; effectors.</w:t>
      </w:r>
    </w:p>
    <w:p w14:paraId="6308E373" w14:textId="77777777" w:rsidR="009A1B4A" w:rsidRPr="009A1B4A" w:rsidRDefault="009A1B4A" w:rsidP="009A1B4A">
      <w:pPr>
        <w:numPr>
          <w:ilvl w:val="0"/>
          <w:numId w:val="60"/>
        </w:numPr>
      </w:pPr>
      <w:r w:rsidRPr="009A1B4A">
        <w:t xml:space="preserve">Quote: “support in building </w:t>
      </w:r>
      <w:proofErr w:type="spellStart"/>
      <w:r w:rsidRPr="009A1B4A">
        <w:rPr>
          <w:b/>
          <w:bCs/>
        </w:rPr>
        <w:t>customised</w:t>
      </w:r>
      <w:proofErr w:type="spellEnd"/>
      <w:r w:rsidRPr="009A1B4A">
        <w:rPr>
          <w:b/>
          <w:bCs/>
        </w:rPr>
        <w:t xml:space="preserve"> software and hardware interfaces</w:t>
      </w:r>
      <w:r w:rsidRPr="009A1B4A">
        <w:t xml:space="preserve"> … compatible with … </w:t>
      </w:r>
      <w:r w:rsidRPr="009A1B4A">
        <w:rPr>
          <w:b/>
          <w:bCs/>
        </w:rPr>
        <w:t>SAPIENT … and ASTERIX</w:t>
      </w:r>
      <w:r w:rsidRPr="009A1B4A">
        <w:t xml:space="preserve">” </w:t>
      </w:r>
      <w:hyperlink r:id="rId110" w:tgtFrame="_blank" w:history="1">
        <w:r w:rsidRPr="009A1B4A">
          <w:rPr>
            <w:rStyle w:val="Hyperlink"/>
          </w:rPr>
          <w:t>L3Harris® Fast. Forward.</w:t>
        </w:r>
      </w:hyperlink>
    </w:p>
    <w:p w14:paraId="670AA557" w14:textId="77777777" w:rsidR="009A1B4A" w:rsidRPr="009A1B4A" w:rsidRDefault="009A1B4A" w:rsidP="009A1B4A">
      <w:pPr>
        <w:rPr>
          <w:b/>
          <w:bCs/>
        </w:rPr>
      </w:pPr>
      <w:r w:rsidRPr="009A1B4A">
        <w:rPr>
          <w:b/>
          <w:bCs/>
        </w:rPr>
        <w:t>2) “Open ecosystem” …implemented through a vendor’s own backbone API</w:t>
      </w:r>
    </w:p>
    <w:p w14:paraId="1E75F065" w14:textId="77777777" w:rsidR="009A1B4A" w:rsidRPr="009A1B4A" w:rsidRDefault="009A1B4A" w:rsidP="009A1B4A">
      <w:r w:rsidRPr="009A1B4A">
        <w:rPr>
          <w:b/>
          <w:bCs/>
        </w:rPr>
        <w:t>SAIC – Valkyrie CUAS “Open Architecture Ecosystem”</w:t>
      </w:r>
    </w:p>
    <w:p w14:paraId="2D941AD9" w14:textId="77777777" w:rsidR="009A1B4A" w:rsidRPr="009A1B4A" w:rsidRDefault="009A1B4A" w:rsidP="009A1B4A">
      <w:pPr>
        <w:numPr>
          <w:ilvl w:val="0"/>
          <w:numId w:val="61"/>
        </w:numPr>
      </w:pPr>
      <w:r w:rsidRPr="009A1B4A">
        <w:t>Marketing: open architecture ecosystem.</w:t>
      </w:r>
    </w:p>
    <w:p w14:paraId="25D6CD9A" w14:textId="77777777" w:rsidR="009A1B4A" w:rsidRPr="009A1B4A" w:rsidRDefault="009A1B4A" w:rsidP="009A1B4A">
      <w:pPr>
        <w:numPr>
          <w:ilvl w:val="0"/>
          <w:numId w:val="61"/>
        </w:numPr>
      </w:pPr>
      <w:r w:rsidRPr="009A1B4A">
        <w:t xml:space="preserve">Lock-in lever: the architecture is organized around a </w:t>
      </w:r>
      <w:r w:rsidRPr="009A1B4A">
        <w:rPr>
          <w:b/>
          <w:bCs/>
        </w:rPr>
        <w:t>vendor-defined “Valkyrie API (</w:t>
      </w:r>
      <w:proofErr w:type="spellStart"/>
      <w:r w:rsidRPr="009A1B4A">
        <w:rPr>
          <w:b/>
          <w:bCs/>
        </w:rPr>
        <w:t>gRPC</w:t>
      </w:r>
      <w:proofErr w:type="spellEnd"/>
      <w:r w:rsidRPr="009A1B4A">
        <w:rPr>
          <w:b/>
          <w:bCs/>
        </w:rPr>
        <w:t>/proto)”</w:t>
      </w:r>
      <w:r w:rsidRPr="009A1B4A">
        <w:t xml:space="preserve"> and a “Valkyrie Gateway”—so everyone integrates </w:t>
      </w:r>
      <w:r w:rsidRPr="009A1B4A">
        <w:rPr>
          <w:i/>
          <w:iCs/>
        </w:rPr>
        <w:t>to SAIC’s interface layer</w:t>
      </w:r>
      <w:r w:rsidRPr="009A1B4A">
        <w:t>, not to an independently governed profile.</w:t>
      </w:r>
    </w:p>
    <w:p w14:paraId="3C9A4D76" w14:textId="77777777" w:rsidR="009A1B4A" w:rsidRPr="009A1B4A" w:rsidRDefault="009A1B4A" w:rsidP="009A1B4A">
      <w:pPr>
        <w:numPr>
          <w:ilvl w:val="0"/>
          <w:numId w:val="61"/>
        </w:numPr>
      </w:pPr>
      <w:r w:rsidRPr="009A1B4A">
        <w:t>Quotes: “</w:t>
      </w:r>
      <w:r w:rsidRPr="009A1B4A">
        <w:rPr>
          <w:b/>
          <w:bCs/>
        </w:rPr>
        <w:t>Valkyrie API (</w:t>
      </w:r>
      <w:proofErr w:type="spellStart"/>
      <w:r w:rsidRPr="009A1B4A">
        <w:rPr>
          <w:b/>
          <w:bCs/>
        </w:rPr>
        <w:t>gRPC</w:t>
      </w:r>
      <w:proofErr w:type="spellEnd"/>
      <w:r w:rsidRPr="009A1B4A">
        <w:rPr>
          <w:b/>
          <w:bCs/>
        </w:rPr>
        <w:t>/proto)</w:t>
      </w:r>
      <w:r w:rsidRPr="009A1B4A">
        <w:t xml:space="preserve">” appears repeatedly in the architecture diagram. </w:t>
      </w:r>
      <w:hyperlink r:id="rId111" w:tgtFrame="_blank" w:history="1">
        <w:r w:rsidRPr="009A1B4A">
          <w:rPr>
            <w:rStyle w:val="Hyperlink"/>
          </w:rPr>
          <w:t>NDIA Conference Proceedings</w:t>
        </w:r>
      </w:hyperlink>
      <w:r w:rsidRPr="009A1B4A">
        <w:br/>
        <w:t>Also the deck itself is labeled “</w:t>
      </w:r>
      <w:r w:rsidRPr="009A1B4A">
        <w:rPr>
          <w:b/>
          <w:bCs/>
        </w:rPr>
        <w:t>SAIC PROPRIETARY INFORMATION</w:t>
      </w:r>
      <w:r w:rsidRPr="009A1B4A">
        <w:t xml:space="preserve">”. </w:t>
      </w:r>
      <w:hyperlink r:id="rId112" w:tgtFrame="_blank" w:history="1">
        <w:r w:rsidRPr="009A1B4A">
          <w:rPr>
            <w:rStyle w:val="Hyperlink"/>
          </w:rPr>
          <w:t>NDIA Conference Proceedings</w:t>
        </w:r>
      </w:hyperlink>
    </w:p>
    <w:p w14:paraId="069A6A68" w14:textId="77777777" w:rsidR="009A1B4A" w:rsidRPr="009A1B4A" w:rsidRDefault="009A1B4A" w:rsidP="009A1B4A">
      <w:pPr>
        <w:rPr>
          <w:b/>
          <w:bCs/>
        </w:rPr>
      </w:pPr>
      <w:r w:rsidRPr="009A1B4A">
        <w:rPr>
          <w:b/>
          <w:bCs/>
        </w:rPr>
        <w:t>3) “Interoperable with NATO standards” …while explicitly mixing in proprietary protocols</w:t>
      </w:r>
    </w:p>
    <w:p w14:paraId="6CF0D6A5" w14:textId="77777777" w:rsidR="009A1B4A" w:rsidRPr="009A1B4A" w:rsidRDefault="009A1B4A" w:rsidP="009A1B4A">
      <w:r w:rsidRPr="009A1B4A">
        <w:rPr>
          <w:b/>
          <w:bCs/>
        </w:rPr>
        <w:t>C4PER C-UAS Software (JISR Institute / ANDROMEDA)</w:t>
      </w:r>
    </w:p>
    <w:p w14:paraId="6E6760FD" w14:textId="77777777" w:rsidR="009A1B4A" w:rsidRPr="009A1B4A" w:rsidRDefault="009A1B4A" w:rsidP="009A1B4A">
      <w:pPr>
        <w:numPr>
          <w:ilvl w:val="0"/>
          <w:numId w:val="62"/>
        </w:numPr>
      </w:pPr>
      <w:r w:rsidRPr="009A1B4A">
        <w:t>Marketing: modular and open architecture + interoperable with NATO standards.</w:t>
      </w:r>
    </w:p>
    <w:p w14:paraId="0F00BD3A" w14:textId="77777777" w:rsidR="009A1B4A" w:rsidRPr="009A1B4A" w:rsidRDefault="009A1B4A" w:rsidP="009A1B4A">
      <w:pPr>
        <w:numPr>
          <w:ilvl w:val="0"/>
          <w:numId w:val="62"/>
        </w:numPr>
      </w:pPr>
      <w:r w:rsidRPr="009A1B4A">
        <w:t xml:space="preserve">Lock-in lever: they say outright they integrate </w:t>
      </w:r>
      <w:r w:rsidRPr="009A1B4A">
        <w:rPr>
          <w:b/>
          <w:bCs/>
        </w:rPr>
        <w:t>“standardized and proprietary protocols”</w:t>
      </w:r>
      <w:r w:rsidRPr="009A1B4A">
        <w:t>—that’s a recipe for “we meet the checkbox standard, but the real value flows through our proprietary bits.”</w:t>
      </w:r>
    </w:p>
    <w:p w14:paraId="2A682287" w14:textId="77777777" w:rsidR="009A1B4A" w:rsidRPr="009A1B4A" w:rsidRDefault="009A1B4A" w:rsidP="009A1B4A">
      <w:pPr>
        <w:numPr>
          <w:ilvl w:val="0"/>
          <w:numId w:val="62"/>
        </w:numPr>
      </w:pPr>
      <w:r w:rsidRPr="009A1B4A">
        <w:t xml:space="preserve">Quote: “Integration of </w:t>
      </w:r>
      <w:r w:rsidRPr="009A1B4A">
        <w:rPr>
          <w:b/>
          <w:bCs/>
        </w:rPr>
        <w:t>standardized and proprietary protocols</w:t>
      </w:r>
      <w:r w:rsidRPr="009A1B4A">
        <w:t>” + “Interoperable with NATO standards … (</w:t>
      </w:r>
      <w:r w:rsidRPr="009A1B4A">
        <w:rPr>
          <w:b/>
          <w:bCs/>
        </w:rPr>
        <w:t>SAPIENT, Asterix, Link-16…</w:t>
      </w:r>
      <w:r w:rsidRPr="009A1B4A">
        <w:t xml:space="preserve">)” </w:t>
      </w:r>
      <w:hyperlink r:id="rId113" w:tgtFrame="_blank" w:history="1">
        <w:r w:rsidRPr="009A1B4A">
          <w:rPr>
            <w:rStyle w:val="Hyperlink"/>
          </w:rPr>
          <w:t>jisr-institute.org</w:t>
        </w:r>
      </w:hyperlink>
    </w:p>
    <w:p w14:paraId="78016151" w14:textId="77777777" w:rsidR="009A1B4A" w:rsidRPr="009A1B4A" w:rsidRDefault="009A1B4A" w:rsidP="009A1B4A">
      <w:pPr>
        <w:rPr>
          <w:b/>
          <w:bCs/>
        </w:rPr>
      </w:pPr>
      <w:r w:rsidRPr="009A1B4A">
        <w:rPr>
          <w:b/>
          <w:bCs/>
        </w:rPr>
        <w:t>4) Standards output exists, but advanced control/telemetry lives in a proprietary API</w:t>
      </w:r>
    </w:p>
    <w:p w14:paraId="67FF5D2E" w14:textId="77777777" w:rsidR="009A1B4A" w:rsidRPr="009A1B4A" w:rsidRDefault="009A1B4A" w:rsidP="009A1B4A">
      <w:r w:rsidRPr="009A1B4A">
        <w:rPr>
          <w:b/>
          <w:bCs/>
        </w:rPr>
        <w:t>Robin Radar – IRIS (C-UAS radar)</w:t>
      </w:r>
    </w:p>
    <w:p w14:paraId="4AA6982F" w14:textId="77777777" w:rsidR="009A1B4A" w:rsidRPr="009A1B4A" w:rsidRDefault="009A1B4A" w:rsidP="009A1B4A">
      <w:pPr>
        <w:numPr>
          <w:ilvl w:val="0"/>
          <w:numId w:val="63"/>
        </w:numPr>
      </w:pPr>
      <w:r w:rsidRPr="009A1B4A">
        <w:lastRenderedPageBreak/>
        <w:t xml:space="preserve">Lock-in lever: they provide standard outputs, </w:t>
      </w:r>
      <w:r w:rsidRPr="009A1B4A">
        <w:rPr>
          <w:i/>
          <w:iCs/>
        </w:rPr>
        <w:t>and</w:t>
      </w:r>
      <w:r w:rsidRPr="009A1B4A">
        <w:t xml:space="preserve"> a proprietary interface. In practice vendors often put </w:t>
      </w:r>
      <w:r w:rsidRPr="009A1B4A">
        <w:rPr>
          <w:b/>
          <w:bCs/>
        </w:rPr>
        <w:t>“basic tracks”</w:t>
      </w:r>
      <w:r w:rsidRPr="009A1B4A">
        <w:t xml:space="preserve"> on ASTERIX/SAPIENT and keep </w:t>
      </w:r>
      <w:r w:rsidRPr="009A1B4A">
        <w:rPr>
          <w:b/>
          <w:bCs/>
        </w:rPr>
        <w:t>configuration, health, tuning, richer classification metadata</w:t>
      </w:r>
      <w:r w:rsidRPr="009A1B4A">
        <w:t xml:space="preserve"> in the proprietary API.</w:t>
      </w:r>
    </w:p>
    <w:p w14:paraId="7429212E" w14:textId="77777777" w:rsidR="009A1B4A" w:rsidRPr="009A1B4A" w:rsidRDefault="009A1B4A" w:rsidP="009A1B4A">
      <w:pPr>
        <w:numPr>
          <w:ilvl w:val="0"/>
          <w:numId w:val="63"/>
        </w:numPr>
      </w:pPr>
      <w:r w:rsidRPr="009A1B4A">
        <w:t xml:space="preserve">Quote (product sheet): “Data Interfaces … </w:t>
      </w:r>
      <w:r w:rsidRPr="009A1B4A">
        <w:rPr>
          <w:b/>
          <w:bCs/>
        </w:rPr>
        <w:t>Asterix, Sapient and proprietary XML-API</w:t>
      </w:r>
      <w:r w:rsidRPr="009A1B4A">
        <w:t xml:space="preserve">” </w:t>
      </w:r>
      <w:hyperlink r:id="rId114" w:tgtFrame="_blank" w:history="1">
        <w:r w:rsidRPr="009A1B4A">
          <w:rPr>
            <w:rStyle w:val="Hyperlink"/>
          </w:rPr>
          <w:t>Robin Radar</w:t>
        </w:r>
      </w:hyperlink>
    </w:p>
    <w:p w14:paraId="68EAE74E" w14:textId="77777777" w:rsidR="009A1B4A" w:rsidRPr="009A1B4A" w:rsidRDefault="009A1B4A" w:rsidP="009A1B4A">
      <w:pPr>
        <w:numPr>
          <w:ilvl w:val="0"/>
          <w:numId w:val="63"/>
        </w:numPr>
      </w:pPr>
      <w:r w:rsidRPr="009A1B4A">
        <w:t xml:space="preserve">Recent coverage repeats the same pattern: “including </w:t>
      </w:r>
      <w:r w:rsidRPr="009A1B4A">
        <w:rPr>
          <w:b/>
          <w:bCs/>
        </w:rPr>
        <w:t>ASTERIX, SAPIENT, and a proprietary XML API</w:t>
      </w:r>
      <w:r w:rsidRPr="009A1B4A">
        <w:t xml:space="preserve">” </w:t>
      </w:r>
      <w:hyperlink r:id="rId115" w:tgtFrame="_blank" w:history="1">
        <w:r w:rsidRPr="009A1B4A">
          <w:rPr>
            <w:rStyle w:val="Hyperlink"/>
          </w:rPr>
          <w:t>EDR Magazine</w:t>
        </w:r>
      </w:hyperlink>
    </w:p>
    <w:p w14:paraId="16B89672" w14:textId="77777777" w:rsidR="009A1B4A" w:rsidRPr="009A1B4A" w:rsidRDefault="009A1B4A" w:rsidP="009A1B4A">
      <w:pPr>
        <w:rPr>
          <w:b/>
          <w:bCs/>
        </w:rPr>
      </w:pPr>
      <w:r w:rsidRPr="009A1B4A">
        <w:rPr>
          <w:b/>
          <w:bCs/>
        </w:rPr>
        <w:t>5) “Open standards” are treated as optional add-ons</w:t>
      </w:r>
    </w:p>
    <w:p w14:paraId="42705799" w14:textId="77777777" w:rsidR="009A1B4A" w:rsidRPr="009A1B4A" w:rsidRDefault="009A1B4A" w:rsidP="009A1B4A">
      <w:r w:rsidRPr="009A1B4A">
        <w:rPr>
          <w:b/>
          <w:bCs/>
        </w:rPr>
        <w:t>Robin Radar – ELVIRA brochure (older but very explicit pattern)</w:t>
      </w:r>
    </w:p>
    <w:p w14:paraId="6ADD6DA8" w14:textId="77777777" w:rsidR="009A1B4A" w:rsidRPr="009A1B4A" w:rsidRDefault="009A1B4A" w:rsidP="009A1B4A">
      <w:pPr>
        <w:numPr>
          <w:ilvl w:val="0"/>
          <w:numId w:val="64"/>
        </w:numPr>
      </w:pPr>
      <w:r w:rsidRPr="009A1B4A">
        <w:t xml:space="preserve">Lock-in lever: the “standard” interface can be commercialized as an </w:t>
      </w:r>
      <w:r w:rsidRPr="009A1B4A">
        <w:rPr>
          <w:b/>
          <w:bCs/>
        </w:rPr>
        <w:t>option</w:t>
      </w:r>
      <w:r w:rsidRPr="009A1B4A">
        <w:t xml:space="preserve"> (“available on request”), which often means licensing + vendor professional services.</w:t>
      </w:r>
    </w:p>
    <w:p w14:paraId="4BC4C782" w14:textId="77777777" w:rsidR="009A1B4A" w:rsidRPr="009A1B4A" w:rsidRDefault="009A1B4A" w:rsidP="009A1B4A">
      <w:pPr>
        <w:numPr>
          <w:ilvl w:val="0"/>
          <w:numId w:val="64"/>
        </w:numPr>
      </w:pPr>
      <w:r w:rsidRPr="009A1B4A">
        <w:t xml:space="preserve">Quote: “A simple XML broadcast … included … </w:t>
      </w:r>
      <w:r w:rsidRPr="009A1B4A">
        <w:rPr>
          <w:b/>
          <w:bCs/>
        </w:rPr>
        <w:t>Other protocols, e.g. ASTERIX, are available on request.</w:t>
      </w:r>
      <w:r w:rsidRPr="009A1B4A">
        <w:t xml:space="preserve">” </w:t>
      </w:r>
      <w:hyperlink r:id="rId116" w:tgtFrame="_blank" w:history="1">
        <w:proofErr w:type="spellStart"/>
        <w:r w:rsidRPr="009A1B4A">
          <w:rPr>
            <w:rStyle w:val="Hyperlink"/>
          </w:rPr>
          <w:t>Epicos</w:t>
        </w:r>
        <w:proofErr w:type="spellEnd"/>
      </w:hyperlink>
    </w:p>
    <w:p w14:paraId="57269B45" w14:textId="77777777" w:rsidR="009A1B4A" w:rsidRPr="009A1B4A" w:rsidRDefault="009A1B4A" w:rsidP="009A1B4A">
      <w:pPr>
        <w:rPr>
          <w:b/>
          <w:bCs/>
        </w:rPr>
      </w:pPr>
      <w:r w:rsidRPr="009A1B4A">
        <w:rPr>
          <w:b/>
          <w:bCs/>
        </w:rPr>
        <w:t>6) “Open architecture + APIs” …but effectiveness depends on the vendor’s proprietary AI + their C2</w:t>
      </w:r>
    </w:p>
    <w:p w14:paraId="7F1F861F" w14:textId="77777777" w:rsidR="009A1B4A" w:rsidRPr="009A1B4A" w:rsidRDefault="009A1B4A" w:rsidP="009A1B4A">
      <w:proofErr w:type="spellStart"/>
      <w:r w:rsidRPr="009A1B4A">
        <w:rPr>
          <w:b/>
          <w:bCs/>
        </w:rPr>
        <w:t>DroneShield</w:t>
      </w:r>
      <w:proofErr w:type="spellEnd"/>
      <w:r w:rsidRPr="009A1B4A">
        <w:rPr>
          <w:b/>
          <w:bCs/>
        </w:rPr>
        <w:t xml:space="preserve"> – </w:t>
      </w:r>
      <w:proofErr w:type="spellStart"/>
      <w:r w:rsidRPr="009A1B4A">
        <w:rPr>
          <w:b/>
          <w:bCs/>
        </w:rPr>
        <w:t>DroneSentry</w:t>
      </w:r>
      <w:proofErr w:type="spellEnd"/>
      <w:r w:rsidRPr="009A1B4A">
        <w:rPr>
          <w:b/>
          <w:bCs/>
        </w:rPr>
        <w:t>-X / DroneSentry-C2</w:t>
      </w:r>
    </w:p>
    <w:p w14:paraId="77694E37" w14:textId="77777777" w:rsidR="009A1B4A" w:rsidRPr="009A1B4A" w:rsidRDefault="009A1B4A" w:rsidP="009A1B4A">
      <w:pPr>
        <w:numPr>
          <w:ilvl w:val="0"/>
          <w:numId w:val="65"/>
        </w:numPr>
      </w:pPr>
      <w:r w:rsidRPr="009A1B4A">
        <w:t xml:space="preserve">Lock-in lever A: </w:t>
      </w:r>
      <w:r w:rsidRPr="009A1B4A">
        <w:rPr>
          <w:b/>
          <w:bCs/>
        </w:rPr>
        <w:t>proprietary AI/ML engine</w:t>
      </w:r>
      <w:r w:rsidRPr="009A1B4A">
        <w:t xml:space="preserve"> is the differentiator (hard to replace without losing performance/history).</w:t>
      </w:r>
    </w:p>
    <w:p w14:paraId="1DEA9708" w14:textId="77777777" w:rsidR="009A1B4A" w:rsidRPr="009A1B4A" w:rsidRDefault="009A1B4A" w:rsidP="009A1B4A">
      <w:pPr>
        <w:numPr>
          <w:ilvl w:val="0"/>
          <w:numId w:val="65"/>
        </w:numPr>
      </w:pPr>
      <w:r w:rsidRPr="009A1B4A">
        <w:t xml:space="preserve">Lock-in lever B: product is positioned as </w:t>
      </w:r>
      <w:r w:rsidRPr="009A1B4A">
        <w:rPr>
          <w:b/>
          <w:bCs/>
        </w:rPr>
        <w:t>compatible with their own C2</w:t>
      </w:r>
      <w:r w:rsidRPr="009A1B4A">
        <w:t>, and “open architecture” is framed as “readiness to utilize APIs,” not “you own the integration profile.”</w:t>
      </w:r>
    </w:p>
    <w:p w14:paraId="4BB0DBE8" w14:textId="77777777" w:rsidR="009A1B4A" w:rsidRPr="009A1B4A" w:rsidRDefault="009A1B4A" w:rsidP="009A1B4A">
      <w:pPr>
        <w:numPr>
          <w:ilvl w:val="0"/>
          <w:numId w:val="65"/>
        </w:numPr>
      </w:pPr>
      <w:r w:rsidRPr="009A1B4A">
        <w:t xml:space="preserve">Quotes: “Updates to </w:t>
      </w:r>
      <w:proofErr w:type="spellStart"/>
      <w:r w:rsidRPr="009A1B4A">
        <w:rPr>
          <w:b/>
          <w:bCs/>
        </w:rPr>
        <w:t>DroneShield</w:t>
      </w:r>
      <w:proofErr w:type="spellEnd"/>
      <w:r w:rsidRPr="009A1B4A">
        <w:rPr>
          <w:b/>
          <w:bCs/>
        </w:rPr>
        <w:t xml:space="preserve"> proprietary AI/ML driven detection engine</w:t>
      </w:r>
      <w:r w:rsidRPr="009A1B4A">
        <w:t xml:space="preserve"> …” + “</w:t>
      </w:r>
      <w:r w:rsidRPr="009A1B4A">
        <w:rPr>
          <w:b/>
          <w:bCs/>
        </w:rPr>
        <w:t>Compatible with DroneSentry-C2</w:t>
      </w:r>
      <w:r w:rsidRPr="009A1B4A">
        <w:t xml:space="preserve">” + “Open architecture … readiness to utilize </w:t>
      </w:r>
      <w:r w:rsidRPr="009A1B4A">
        <w:rPr>
          <w:b/>
          <w:bCs/>
        </w:rPr>
        <w:t>APIs</w:t>
      </w:r>
      <w:r w:rsidRPr="009A1B4A">
        <w:t xml:space="preserve">” </w:t>
      </w:r>
      <w:hyperlink r:id="rId117" w:tgtFrame="_blank" w:history="1">
        <w:r w:rsidRPr="009A1B4A">
          <w:rPr>
            <w:rStyle w:val="Hyperlink"/>
          </w:rPr>
          <w:t>droneshield.com</w:t>
        </w:r>
      </w:hyperlink>
    </w:p>
    <w:p w14:paraId="5AF1307E" w14:textId="77777777" w:rsidR="009A1B4A" w:rsidRPr="009A1B4A" w:rsidRDefault="009A1B4A" w:rsidP="009A1B4A">
      <w:pPr>
        <w:numPr>
          <w:ilvl w:val="0"/>
          <w:numId w:val="65"/>
        </w:numPr>
      </w:pPr>
      <w:r w:rsidRPr="009A1B4A">
        <w:t xml:space="preserve">They also market SAPIENT as portfolio-wide interoperability: “Integration with </w:t>
      </w:r>
      <w:r w:rsidRPr="009A1B4A">
        <w:rPr>
          <w:b/>
          <w:bCs/>
        </w:rPr>
        <w:t xml:space="preserve">SAPIENT … supported across all </w:t>
      </w:r>
      <w:proofErr w:type="spellStart"/>
      <w:r w:rsidRPr="009A1B4A">
        <w:rPr>
          <w:b/>
          <w:bCs/>
        </w:rPr>
        <w:t>DroneShield’s</w:t>
      </w:r>
      <w:proofErr w:type="spellEnd"/>
      <w:r w:rsidRPr="009A1B4A">
        <w:rPr>
          <w:b/>
          <w:bCs/>
        </w:rPr>
        <w:t xml:space="preserve"> sensors</w:t>
      </w:r>
      <w:r w:rsidRPr="009A1B4A">
        <w:t xml:space="preserve">” </w:t>
      </w:r>
      <w:hyperlink r:id="rId118" w:tgtFrame="_blank" w:history="1">
        <w:r w:rsidRPr="009A1B4A">
          <w:rPr>
            <w:rStyle w:val="Hyperlink"/>
          </w:rPr>
          <w:t>droneshield.com</w:t>
        </w:r>
      </w:hyperlink>
      <w:r w:rsidRPr="009A1B4A">
        <w:br/>
        <w:t>(This is great interoperability… and also a great way to make your whole stack “snap together” best when you stay inside one vendor.)</w:t>
      </w:r>
    </w:p>
    <w:p w14:paraId="71DE2A1C" w14:textId="77777777" w:rsidR="009A1B4A" w:rsidRPr="009A1B4A" w:rsidRDefault="009A1B4A" w:rsidP="009A1B4A">
      <w:pPr>
        <w:rPr>
          <w:b/>
          <w:bCs/>
        </w:rPr>
      </w:pPr>
      <w:r w:rsidRPr="009A1B4A">
        <w:rPr>
          <w:b/>
          <w:bCs/>
        </w:rPr>
        <w:t xml:space="preserve">7) “Sensor-agnostic / open architecture” …but the </w:t>
      </w:r>
      <w:r w:rsidRPr="009A1B4A">
        <w:rPr>
          <w:b/>
          <w:bCs/>
          <w:i/>
          <w:iCs/>
        </w:rPr>
        <w:t>C2 brain</w:t>
      </w:r>
      <w:r w:rsidRPr="009A1B4A">
        <w:rPr>
          <w:b/>
          <w:bCs/>
        </w:rPr>
        <w:t xml:space="preserve"> is proprietary (and becomes the choke point)</w:t>
      </w:r>
    </w:p>
    <w:p w14:paraId="73027A4A" w14:textId="77777777" w:rsidR="009A1B4A" w:rsidRPr="009A1B4A" w:rsidRDefault="009A1B4A" w:rsidP="009A1B4A">
      <w:proofErr w:type="spellStart"/>
      <w:r w:rsidRPr="009A1B4A">
        <w:rPr>
          <w:b/>
          <w:bCs/>
        </w:rPr>
        <w:t>Dedrone</w:t>
      </w:r>
      <w:proofErr w:type="spellEnd"/>
      <w:r w:rsidRPr="009A1B4A">
        <w:rPr>
          <w:b/>
          <w:bCs/>
        </w:rPr>
        <w:t xml:space="preserve"> – DedroneTracker.AI</w:t>
      </w:r>
    </w:p>
    <w:p w14:paraId="411A6E7B" w14:textId="77777777" w:rsidR="009A1B4A" w:rsidRPr="009A1B4A" w:rsidRDefault="009A1B4A" w:rsidP="009A1B4A">
      <w:pPr>
        <w:numPr>
          <w:ilvl w:val="0"/>
          <w:numId w:val="66"/>
        </w:numPr>
      </w:pPr>
      <w:r w:rsidRPr="009A1B4A">
        <w:lastRenderedPageBreak/>
        <w:t xml:space="preserve">Lock-in lever: even if sensors are interchangeable, the </w:t>
      </w:r>
      <w:r w:rsidRPr="009A1B4A">
        <w:rPr>
          <w:b/>
          <w:bCs/>
        </w:rPr>
        <w:t>fusion/C2</w:t>
      </w:r>
      <w:r w:rsidRPr="009A1B4A">
        <w:t xml:space="preserve"> becomes the long-term dependency (data model, track fusion behavior, workflows, threat library, integrations).</w:t>
      </w:r>
    </w:p>
    <w:p w14:paraId="2E0D396E" w14:textId="77777777" w:rsidR="009A1B4A" w:rsidRPr="009A1B4A" w:rsidRDefault="009A1B4A" w:rsidP="009A1B4A">
      <w:pPr>
        <w:numPr>
          <w:ilvl w:val="0"/>
          <w:numId w:val="66"/>
        </w:numPr>
      </w:pPr>
      <w:r w:rsidRPr="009A1B4A">
        <w:t>Quote: “</w:t>
      </w:r>
      <w:proofErr w:type="spellStart"/>
      <w:r w:rsidRPr="009A1B4A">
        <w:t>Dedrone’s</w:t>
      </w:r>
      <w:proofErr w:type="spellEnd"/>
      <w:r w:rsidRPr="009A1B4A">
        <w:t xml:space="preserve"> </w:t>
      </w:r>
      <w:r w:rsidRPr="009A1B4A">
        <w:rPr>
          <w:b/>
          <w:bCs/>
        </w:rPr>
        <w:t>DedroneTracker.AI</w:t>
      </w:r>
      <w:r w:rsidRPr="009A1B4A">
        <w:t xml:space="preserve"> is a machine-learning </w:t>
      </w:r>
      <w:r w:rsidRPr="009A1B4A">
        <w:rPr>
          <w:b/>
          <w:bCs/>
        </w:rPr>
        <w:t>CUAS C2 solution</w:t>
      </w:r>
      <w:r w:rsidRPr="009A1B4A">
        <w:t xml:space="preserve"> …” </w:t>
      </w:r>
      <w:hyperlink r:id="rId119" w:tgtFrame="_blank" w:history="1">
        <w:r w:rsidRPr="009A1B4A">
          <w:rPr>
            <w:rStyle w:val="Hyperlink"/>
          </w:rPr>
          <w:t>dedrone.com</w:t>
        </w:r>
      </w:hyperlink>
    </w:p>
    <w:p w14:paraId="4C60F525" w14:textId="77777777" w:rsidR="009A1B4A" w:rsidRPr="009A1B4A" w:rsidRDefault="009A1B4A" w:rsidP="009A1B4A">
      <w:pPr>
        <w:rPr>
          <w:b/>
          <w:bCs/>
        </w:rPr>
      </w:pPr>
      <w:r w:rsidRPr="009A1B4A">
        <w:rPr>
          <w:b/>
          <w:bCs/>
        </w:rPr>
        <w:t>8) Buyer-side evidence: integration changes require vendor intervention (classic lock-in reality)</w:t>
      </w:r>
    </w:p>
    <w:p w14:paraId="3EA97185" w14:textId="77777777" w:rsidR="009A1B4A" w:rsidRPr="009A1B4A" w:rsidRDefault="009A1B4A" w:rsidP="009A1B4A">
      <w:r w:rsidRPr="009A1B4A">
        <w:rPr>
          <w:b/>
          <w:bCs/>
        </w:rPr>
        <w:t>APPRAISE (EU H2020) – Market Analysis, example system by ASTRIAL</w:t>
      </w:r>
    </w:p>
    <w:p w14:paraId="0574D66F" w14:textId="77777777" w:rsidR="009A1B4A" w:rsidRPr="009A1B4A" w:rsidRDefault="009A1B4A" w:rsidP="009A1B4A">
      <w:pPr>
        <w:numPr>
          <w:ilvl w:val="0"/>
          <w:numId w:val="67"/>
        </w:numPr>
      </w:pPr>
      <w:r w:rsidRPr="009A1B4A">
        <w:t>Lock-in lever: hardware/software coupling + vendor-controlled compatibility validation; swapping a component forces vendor involvement.</w:t>
      </w:r>
    </w:p>
    <w:p w14:paraId="6E530F01" w14:textId="77777777" w:rsidR="009A1B4A" w:rsidRPr="009A1B4A" w:rsidRDefault="009A1B4A" w:rsidP="009A1B4A">
      <w:pPr>
        <w:numPr>
          <w:ilvl w:val="0"/>
          <w:numId w:val="67"/>
        </w:numPr>
      </w:pPr>
      <w:r w:rsidRPr="009A1B4A">
        <w:t xml:space="preserve">Quote: “built with </w:t>
      </w:r>
      <w:r w:rsidRPr="009A1B4A">
        <w:rPr>
          <w:b/>
          <w:bCs/>
        </w:rPr>
        <w:t>specific microphones</w:t>
      </w:r>
      <w:r w:rsidRPr="009A1B4A">
        <w:t xml:space="preserve">. </w:t>
      </w:r>
      <w:r w:rsidRPr="009A1B4A">
        <w:rPr>
          <w:b/>
          <w:bCs/>
        </w:rPr>
        <w:t>Any change needs ASTRIAL intervention</w:t>
      </w:r>
      <w:r w:rsidRPr="009A1B4A">
        <w:t xml:space="preserve"> …” </w:t>
      </w:r>
      <w:hyperlink r:id="rId120" w:tgtFrame="_blank" w:history="1">
        <w:r w:rsidRPr="009A1B4A">
          <w:rPr>
            <w:rStyle w:val="Hyperlink"/>
          </w:rPr>
          <w:t>appraise-h2020.eu</w:t>
        </w:r>
      </w:hyperlink>
    </w:p>
    <w:p w14:paraId="0373796D" w14:textId="77777777" w:rsidR="009A1B4A" w:rsidRPr="009A1B4A" w:rsidRDefault="009A1B4A" w:rsidP="009A1B4A">
      <w:pPr>
        <w:numPr>
          <w:ilvl w:val="0"/>
          <w:numId w:val="67"/>
        </w:numPr>
      </w:pPr>
      <w:r w:rsidRPr="009A1B4A">
        <w:t xml:space="preserve">Same report notes NATO interoperability work where candidate standards include SAPIENT/ASTERIX—i.e., standards discussions don’t automatically prevent practical lock-in. </w:t>
      </w:r>
      <w:hyperlink r:id="rId121" w:tgtFrame="_blank" w:history="1">
        <w:r w:rsidRPr="009A1B4A">
          <w:rPr>
            <w:rStyle w:val="Hyperlink"/>
          </w:rPr>
          <w:t>appraise-h2020.eu</w:t>
        </w:r>
      </w:hyperlink>
    </w:p>
    <w:p w14:paraId="0005F8FC" w14:textId="77777777" w:rsidR="009A1B4A" w:rsidRPr="009A1B4A" w:rsidRDefault="009A1B4A" w:rsidP="009A1B4A">
      <w:pPr>
        <w:rPr>
          <w:b/>
          <w:bCs/>
        </w:rPr>
      </w:pPr>
      <w:r w:rsidRPr="009A1B4A">
        <w:rPr>
          <w:b/>
          <w:bCs/>
        </w:rPr>
        <w:t>9) Standards help move data, but core detection/ID models stay proprietary (limits real interchangeability)</w:t>
      </w:r>
    </w:p>
    <w:p w14:paraId="002D795F" w14:textId="77777777" w:rsidR="009A1B4A" w:rsidRPr="009A1B4A" w:rsidRDefault="009A1B4A" w:rsidP="009A1B4A">
      <w:r w:rsidRPr="009A1B4A">
        <w:rPr>
          <w:b/>
          <w:bCs/>
        </w:rPr>
        <w:t>CEN/CENELEC draft CWA (C-UAS testing/validation methodology)</w:t>
      </w:r>
    </w:p>
    <w:p w14:paraId="6B95F03A" w14:textId="77777777" w:rsidR="009A1B4A" w:rsidRPr="009A1B4A" w:rsidRDefault="009A1B4A" w:rsidP="009A1B4A">
      <w:pPr>
        <w:numPr>
          <w:ilvl w:val="0"/>
          <w:numId w:val="68"/>
        </w:numPr>
      </w:pPr>
      <w:r w:rsidRPr="009A1B4A">
        <w:t>Lock-in lever: the “DTI” (detection/tracking/identification) models are proprietary, limiting transparency, benchmarking, and replacement.</w:t>
      </w:r>
    </w:p>
    <w:p w14:paraId="722DC9D6" w14:textId="77777777" w:rsidR="009A1B4A" w:rsidRPr="009A1B4A" w:rsidRDefault="009A1B4A" w:rsidP="009A1B4A">
      <w:pPr>
        <w:numPr>
          <w:ilvl w:val="0"/>
          <w:numId w:val="68"/>
        </w:numPr>
      </w:pPr>
      <w:r w:rsidRPr="009A1B4A">
        <w:t xml:space="preserve">Quote: “Due to the </w:t>
      </w:r>
      <w:r w:rsidRPr="009A1B4A">
        <w:rPr>
          <w:b/>
          <w:bCs/>
        </w:rPr>
        <w:t>proprietary nature</w:t>
      </w:r>
      <w:r w:rsidRPr="009A1B4A">
        <w:t xml:space="preserve"> of the DTI systems, </w:t>
      </w:r>
      <w:r w:rsidRPr="009A1B4A">
        <w:rPr>
          <w:b/>
          <w:bCs/>
        </w:rPr>
        <w:t>no DTI models are available</w:t>
      </w:r>
      <w:r w:rsidRPr="009A1B4A">
        <w:t xml:space="preserve">.” </w:t>
      </w:r>
      <w:hyperlink r:id="rId122" w:tgtFrame="_blank" w:history="1">
        <w:r w:rsidRPr="009A1B4A">
          <w:rPr>
            <w:rStyle w:val="Hyperlink"/>
          </w:rPr>
          <w:t>CEN-CENELEC</w:t>
        </w:r>
      </w:hyperlink>
    </w:p>
    <w:p w14:paraId="61A509C1" w14:textId="77777777" w:rsidR="009A1B4A" w:rsidRPr="009A1B4A" w:rsidRDefault="009A1B4A" w:rsidP="009A1B4A">
      <w:pPr>
        <w:numPr>
          <w:ilvl w:val="0"/>
          <w:numId w:val="68"/>
        </w:numPr>
      </w:pPr>
      <w:r w:rsidRPr="009A1B4A">
        <w:t xml:space="preserve">Same doc praises SAPIENT for efficient integration (binary TCP) vs REST—but that efficiency doesn’t solve the proprietary-model problem. </w:t>
      </w:r>
      <w:hyperlink r:id="rId123" w:tgtFrame="_blank" w:history="1">
        <w:r w:rsidRPr="009A1B4A">
          <w:rPr>
            <w:rStyle w:val="Hyperlink"/>
          </w:rPr>
          <w:t>CEN-CENELEC</w:t>
        </w:r>
      </w:hyperlink>
    </w:p>
    <w:p w14:paraId="13742A6D" w14:textId="77777777" w:rsidR="009A1B4A" w:rsidRPr="009A1B4A" w:rsidRDefault="009A1B4A" w:rsidP="009A1B4A">
      <w:pPr>
        <w:rPr>
          <w:b/>
          <w:bCs/>
        </w:rPr>
      </w:pPr>
      <w:r w:rsidRPr="009A1B4A">
        <w:rPr>
          <w:b/>
          <w:bCs/>
        </w:rPr>
        <w:t>10) Even SOSA/SOSA-aligned components can hide proprietary “value”</w:t>
      </w:r>
    </w:p>
    <w:p w14:paraId="6A8C4DFE" w14:textId="77777777" w:rsidR="009A1B4A" w:rsidRPr="009A1B4A" w:rsidRDefault="009A1B4A" w:rsidP="009A1B4A">
      <w:r w:rsidRPr="009A1B4A">
        <w:rPr>
          <w:b/>
          <w:bCs/>
        </w:rPr>
        <w:t>Vicor – SOSA-aligned power supply</w:t>
      </w:r>
    </w:p>
    <w:p w14:paraId="23990488" w14:textId="77777777" w:rsidR="009A1B4A" w:rsidRPr="009A1B4A" w:rsidRDefault="009A1B4A" w:rsidP="009A1B4A">
      <w:pPr>
        <w:numPr>
          <w:ilvl w:val="0"/>
          <w:numId w:val="69"/>
        </w:numPr>
      </w:pPr>
      <w:r w:rsidRPr="009A1B4A">
        <w:t>Lock-in lever: “SOSA-aligned” doesn’t mean “fully commodity interchangeable.” Vendors still differentiate with proprietary behaviors (which can become dependencies at system level).</w:t>
      </w:r>
    </w:p>
    <w:p w14:paraId="404FA787" w14:textId="77777777" w:rsidR="009A1B4A" w:rsidRPr="009A1B4A" w:rsidRDefault="009A1B4A" w:rsidP="009A1B4A">
      <w:pPr>
        <w:numPr>
          <w:ilvl w:val="0"/>
          <w:numId w:val="69"/>
        </w:numPr>
        <w:pBdr>
          <w:bottom w:val="single" w:sz="6" w:space="1" w:color="auto"/>
        </w:pBdr>
      </w:pPr>
      <w:r w:rsidRPr="009A1B4A">
        <w:t xml:space="preserve">Quote: “module utilizes Vicor </w:t>
      </w:r>
      <w:r w:rsidRPr="009A1B4A">
        <w:rPr>
          <w:b/>
          <w:bCs/>
        </w:rPr>
        <w:t>proprietary technology</w:t>
      </w:r>
      <w:r w:rsidRPr="009A1B4A">
        <w:t xml:space="preserve"> … with </w:t>
      </w:r>
      <w:r w:rsidRPr="009A1B4A">
        <w:rPr>
          <w:b/>
          <w:bCs/>
        </w:rPr>
        <w:t>proprietary wireless current sharing</w:t>
      </w:r>
      <w:r w:rsidRPr="009A1B4A">
        <w:t xml:space="preserve">” </w:t>
      </w:r>
      <w:hyperlink r:id="rId124" w:tgtFrame="_blank" w:history="1">
        <w:r w:rsidRPr="009A1B4A">
          <w:rPr>
            <w:rStyle w:val="Hyperlink"/>
          </w:rPr>
          <w:t>vicorpower.com</w:t>
        </w:r>
      </w:hyperlink>
    </w:p>
    <w:p w14:paraId="610E8E5D" w14:textId="77777777" w:rsidR="00295351" w:rsidRPr="00295351" w:rsidRDefault="00295351" w:rsidP="00295351">
      <w:pPr>
        <w:rPr>
          <w:b/>
          <w:bCs/>
        </w:rPr>
      </w:pPr>
      <w:r w:rsidRPr="00295351">
        <w:rPr>
          <w:b/>
          <w:bCs/>
        </w:rPr>
        <w:lastRenderedPageBreak/>
        <w:t>Pattern 1: “We support ASTERIX/</w:t>
      </w:r>
      <w:proofErr w:type="gramStart"/>
      <w:r w:rsidRPr="00295351">
        <w:rPr>
          <w:b/>
          <w:bCs/>
        </w:rPr>
        <w:t>SAPIENT”…</w:t>
      </w:r>
      <w:proofErr w:type="gramEnd"/>
      <w:r w:rsidRPr="00295351">
        <w:rPr>
          <w:b/>
          <w:bCs/>
        </w:rPr>
        <w:t xml:space="preserve"> and also a richer proprietary interface</w:t>
      </w:r>
    </w:p>
    <w:p w14:paraId="06786193" w14:textId="77777777" w:rsidR="00295351" w:rsidRPr="00295351" w:rsidRDefault="00295351" w:rsidP="00295351">
      <w:r w:rsidRPr="00295351">
        <w:t xml:space="preserve">This is the cleanest lock-in: the </w:t>
      </w:r>
      <w:r w:rsidRPr="00295351">
        <w:rPr>
          <w:i/>
          <w:iCs/>
        </w:rPr>
        <w:t>standard</w:t>
      </w:r>
      <w:r w:rsidRPr="00295351">
        <w:t xml:space="preserve"> exists, but the </w:t>
      </w:r>
      <w:r w:rsidRPr="00295351">
        <w:rPr>
          <w:i/>
          <w:iCs/>
        </w:rPr>
        <w:t>full feature set</w:t>
      </w:r>
      <w:r w:rsidRPr="00295351">
        <w:t xml:space="preserve"> lives behind the vendor’s “native/XML/API”.</w:t>
      </w:r>
    </w:p>
    <w:p w14:paraId="53440B6F" w14:textId="77777777" w:rsidR="00295351" w:rsidRPr="00295351" w:rsidRDefault="00295351" w:rsidP="00295351">
      <w:pPr>
        <w:numPr>
          <w:ilvl w:val="0"/>
          <w:numId w:val="70"/>
        </w:numPr>
      </w:pPr>
      <w:r w:rsidRPr="00295351">
        <w:rPr>
          <w:b/>
          <w:bCs/>
        </w:rPr>
        <w:t>Kongsberg DR 100 (C-UAS radar):</w:t>
      </w:r>
      <w:r w:rsidRPr="00295351">
        <w:t xml:space="preserve"> datasheet lists </w:t>
      </w:r>
      <w:r w:rsidRPr="00295351">
        <w:rPr>
          <w:b/>
          <w:bCs/>
        </w:rPr>
        <w:t>“Data protocol Native (proprietary), Asterix, Sapient (under implementation)”</w:t>
      </w:r>
      <w:r w:rsidRPr="00295351">
        <w:t xml:space="preserve"> </w:t>
      </w:r>
      <w:hyperlink r:id="rId125" w:tgtFrame="_blank" w:history="1">
        <w:r w:rsidRPr="00295351">
          <w:rPr>
            <w:rStyle w:val="Hyperlink"/>
          </w:rPr>
          <w:t>kongsberg.com</w:t>
        </w:r>
      </w:hyperlink>
      <w:r w:rsidRPr="00295351">
        <w:br/>
        <w:t xml:space="preserve">Lock-in lever: integrators end up using </w:t>
      </w:r>
      <w:r w:rsidRPr="00295351">
        <w:rPr>
          <w:i/>
          <w:iCs/>
        </w:rPr>
        <w:t>Native</w:t>
      </w:r>
      <w:r w:rsidRPr="00295351">
        <w:t xml:space="preserve"> because that’s what is complete/first/most supported (and “under implementation” often means schedule risk for the standard path).</w:t>
      </w:r>
    </w:p>
    <w:p w14:paraId="747782A7" w14:textId="77777777" w:rsidR="00295351" w:rsidRPr="00295351" w:rsidRDefault="00295351" w:rsidP="00295351">
      <w:pPr>
        <w:numPr>
          <w:ilvl w:val="0"/>
          <w:numId w:val="70"/>
        </w:numPr>
      </w:pPr>
      <w:r w:rsidRPr="00295351">
        <w:rPr>
          <w:b/>
          <w:bCs/>
        </w:rPr>
        <w:t>Robin Radar IRIS:</w:t>
      </w:r>
      <w:r w:rsidRPr="00295351">
        <w:t xml:space="preserve"> datasheet states </w:t>
      </w:r>
      <w:r w:rsidRPr="00295351">
        <w:rPr>
          <w:b/>
          <w:bCs/>
        </w:rPr>
        <w:t>“Data Interfaces Available Include: … Asterix, … Sapient and proprietary XML-API”</w:t>
      </w:r>
      <w:r w:rsidRPr="00295351">
        <w:t xml:space="preserve"> </w:t>
      </w:r>
      <w:hyperlink r:id="rId126" w:tgtFrame="_blank" w:history="1">
        <w:r w:rsidRPr="00295351">
          <w:rPr>
            <w:rStyle w:val="Hyperlink"/>
          </w:rPr>
          <w:t>Robin Radar</w:t>
        </w:r>
      </w:hyperlink>
      <w:r w:rsidRPr="00295351">
        <w:br/>
        <w:t>Lock-in lever: the proprietary XML-API typically exposes configuration, richer metadata, health, and vendor-specific classification details that don’t fit neatly into a standard profile.</w:t>
      </w:r>
    </w:p>
    <w:p w14:paraId="27DC3F00" w14:textId="77777777" w:rsidR="00295351" w:rsidRPr="00295351" w:rsidRDefault="00295351" w:rsidP="00295351">
      <w:pPr>
        <w:rPr>
          <w:b/>
          <w:bCs/>
        </w:rPr>
      </w:pPr>
      <w:r w:rsidRPr="00295351">
        <w:rPr>
          <w:b/>
          <w:bCs/>
        </w:rPr>
        <w:t>Pattern 2: ASTERIX “</w:t>
      </w:r>
      <w:proofErr w:type="gramStart"/>
      <w:r w:rsidRPr="00295351">
        <w:rPr>
          <w:b/>
          <w:bCs/>
        </w:rPr>
        <w:t>standard”…</w:t>
      </w:r>
      <w:proofErr w:type="gramEnd"/>
      <w:r w:rsidRPr="00295351">
        <w:rPr>
          <w:b/>
          <w:bCs/>
        </w:rPr>
        <w:t xml:space="preserve"> but extended/typed in a vendor-specific way</w:t>
      </w:r>
    </w:p>
    <w:p w14:paraId="4769A011" w14:textId="77777777" w:rsidR="00295351" w:rsidRPr="00295351" w:rsidRDefault="00295351" w:rsidP="00295351">
      <w:r w:rsidRPr="00295351">
        <w:t>You can comply and still fork the universe.</w:t>
      </w:r>
    </w:p>
    <w:p w14:paraId="3A2E8770" w14:textId="77777777" w:rsidR="00295351" w:rsidRPr="00295351" w:rsidRDefault="00295351" w:rsidP="00295351">
      <w:pPr>
        <w:numPr>
          <w:ilvl w:val="0"/>
          <w:numId w:val="71"/>
        </w:numPr>
      </w:pPr>
      <w:r w:rsidRPr="00295351">
        <w:rPr>
          <w:b/>
          <w:bCs/>
        </w:rPr>
        <w:t xml:space="preserve">Terma SCANTER </w:t>
      </w:r>
      <w:proofErr w:type="spellStart"/>
      <w:r w:rsidRPr="00295351">
        <w:rPr>
          <w:b/>
          <w:bCs/>
        </w:rPr>
        <w:t>Sphera</w:t>
      </w:r>
      <w:proofErr w:type="spellEnd"/>
      <w:r w:rsidRPr="00295351">
        <w:rPr>
          <w:b/>
          <w:bCs/>
        </w:rPr>
        <w:t xml:space="preserve"> (3D C-UAS radar):</w:t>
      </w:r>
      <w:r w:rsidRPr="00295351">
        <w:t xml:space="preserve"> brochure lists </w:t>
      </w:r>
      <w:r w:rsidRPr="00295351">
        <w:rPr>
          <w:b/>
          <w:bCs/>
        </w:rPr>
        <w:t>“Data interface ASTERIX CAT48 (extended with classification)”</w:t>
      </w:r>
      <w:r w:rsidRPr="00295351">
        <w:t xml:space="preserve"> </w:t>
      </w:r>
      <w:hyperlink r:id="rId127" w:tgtFrame="_blank" w:history="1">
        <w:r w:rsidRPr="00295351">
          <w:rPr>
            <w:rStyle w:val="Hyperlink"/>
          </w:rPr>
          <w:t>terma.com</w:t>
        </w:r>
      </w:hyperlink>
      <w:r w:rsidRPr="00295351">
        <w:br/>
        <w:t xml:space="preserve">Lock-in lever: “extended with classification” is exactly where </w:t>
      </w:r>
      <w:r w:rsidRPr="00295351">
        <w:rPr>
          <w:b/>
          <w:bCs/>
        </w:rPr>
        <w:t>dialects</w:t>
      </w:r>
      <w:r w:rsidRPr="00295351">
        <w:t xml:space="preserve"> happen—your downstream fusion/C2 must implement </w:t>
      </w:r>
      <w:r w:rsidRPr="00295351">
        <w:rPr>
          <w:i/>
          <w:iCs/>
        </w:rPr>
        <w:t>Terma’s</w:t>
      </w:r>
      <w:r w:rsidRPr="00295351">
        <w:t xml:space="preserve"> extension, not just CAT048.</w:t>
      </w:r>
    </w:p>
    <w:p w14:paraId="260EB6AB" w14:textId="77777777" w:rsidR="00295351" w:rsidRPr="00295351" w:rsidRDefault="00295351" w:rsidP="00295351">
      <w:pPr>
        <w:rPr>
          <w:b/>
          <w:bCs/>
        </w:rPr>
      </w:pPr>
      <w:r w:rsidRPr="00295351">
        <w:rPr>
          <w:b/>
          <w:bCs/>
        </w:rPr>
        <w:t xml:space="preserve">Pattern 3: “Open </w:t>
      </w:r>
      <w:proofErr w:type="gramStart"/>
      <w:r w:rsidRPr="00295351">
        <w:rPr>
          <w:b/>
          <w:bCs/>
        </w:rPr>
        <w:t>interfaces”…</w:t>
      </w:r>
      <w:proofErr w:type="gramEnd"/>
      <w:r w:rsidRPr="00295351">
        <w:rPr>
          <w:b/>
          <w:bCs/>
        </w:rPr>
        <w:t xml:space="preserve"> but the value is bundled into the vendor’s C2/battle manager</w:t>
      </w:r>
    </w:p>
    <w:p w14:paraId="1D8295F1" w14:textId="77777777" w:rsidR="00295351" w:rsidRPr="00295351" w:rsidRDefault="00295351" w:rsidP="00295351">
      <w:r w:rsidRPr="00295351">
        <w:t>Standards carry tracks/events. The real glue—correlation, workflows, permissions, evidence, reporting—sits in the C2.</w:t>
      </w:r>
    </w:p>
    <w:p w14:paraId="35BEED88" w14:textId="77777777" w:rsidR="00295351" w:rsidRPr="00295351" w:rsidRDefault="00295351" w:rsidP="00295351">
      <w:pPr>
        <w:numPr>
          <w:ilvl w:val="0"/>
          <w:numId w:val="72"/>
        </w:numPr>
      </w:pPr>
      <w:r w:rsidRPr="00295351">
        <w:rPr>
          <w:b/>
          <w:bCs/>
        </w:rPr>
        <w:t xml:space="preserve">Terma SCANTER </w:t>
      </w:r>
      <w:proofErr w:type="spellStart"/>
      <w:r w:rsidRPr="00295351">
        <w:rPr>
          <w:b/>
          <w:bCs/>
        </w:rPr>
        <w:t>Sphera</w:t>
      </w:r>
      <w:proofErr w:type="spellEnd"/>
      <w:r w:rsidRPr="00295351">
        <w:rPr>
          <w:b/>
          <w:bCs/>
        </w:rPr>
        <w:t xml:space="preserve"> + Terma C2:</w:t>
      </w:r>
      <w:r w:rsidRPr="00295351">
        <w:t xml:space="preserve"> brochure says it can be </w:t>
      </w:r>
      <w:r w:rsidRPr="00295351">
        <w:rPr>
          <w:b/>
          <w:bCs/>
        </w:rPr>
        <w:t xml:space="preserve">“fully integrated into your C2 system… or into our own C2 system, </w:t>
      </w:r>
      <w:proofErr w:type="spellStart"/>
      <w:r w:rsidRPr="00295351">
        <w:rPr>
          <w:b/>
          <w:bCs/>
        </w:rPr>
        <w:t>T.react</w:t>
      </w:r>
      <w:proofErr w:type="spellEnd"/>
      <w:r w:rsidRPr="00295351">
        <w:rPr>
          <w:b/>
          <w:bCs/>
        </w:rPr>
        <w:t xml:space="preserve"> CIP”</w:t>
      </w:r>
      <w:r w:rsidRPr="00295351">
        <w:t xml:space="preserve"> </w:t>
      </w:r>
      <w:hyperlink r:id="rId128" w:tgtFrame="_blank" w:history="1">
        <w:r w:rsidRPr="00295351">
          <w:rPr>
            <w:rStyle w:val="Hyperlink"/>
          </w:rPr>
          <w:t>terma.com</w:t>
        </w:r>
      </w:hyperlink>
      <w:r w:rsidRPr="00295351">
        <w:br/>
        <w:t xml:space="preserve">Lock-in lever: once the site SOPs, reporting, evidence chain, and automation live in </w:t>
      </w:r>
      <w:proofErr w:type="spellStart"/>
      <w:r w:rsidRPr="00295351">
        <w:t>T.react</w:t>
      </w:r>
      <w:proofErr w:type="spellEnd"/>
      <w:r w:rsidRPr="00295351">
        <w:t xml:space="preserve"> CIP, replacing it is the expensive part—even if the radar speaks ASTERIX.</w:t>
      </w:r>
    </w:p>
    <w:p w14:paraId="78AB4FF9" w14:textId="77777777" w:rsidR="00295351" w:rsidRPr="00295351" w:rsidRDefault="00295351" w:rsidP="00295351">
      <w:pPr>
        <w:numPr>
          <w:ilvl w:val="0"/>
          <w:numId w:val="72"/>
        </w:numPr>
      </w:pPr>
      <w:r w:rsidRPr="00295351">
        <w:rPr>
          <w:b/>
          <w:bCs/>
        </w:rPr>
        <w:t xml:space="preserve">Northrop Grumman </w:t>
      </w:r>
      <w:proofErr w:type="spellStart"/>
      <w:r w:rsidRPr="00295351">
        <w:rPr>
          <w:b/>
          <w:bCs/>
        </w:rPr>
        <w:t>AiON</w:t>
      </w:r>
      <w:proofErr w:type="spellEnd"/>
      <w:r w:rsidRPr="00295351">
        <w:rPr>
          <w:b/>
          <w:bCs/>
        </w:rPr>
        <w:t>:</w:t>
      </w:r>
      <w:r w:rsidRPr="00295351">
        <w:t xml:space="preserve"> marketed as modular/open, but explicitly positioned around a proprietary “battle manager”: </w:t>
      </w:r>
      <w:r w:rsidRPr="00295351">
        <w:rPr>
          <w:b/>
          <w:bCs/>
        </w:rPr>
        <w:t>“</w:t>
      </w:r>
      <w:proofErr w:type="spellStart"/>
      <w:r w:rsidRPr="00295351">
        <w:rPr>
          <w:b/>
          <w:bCs/>
        </w:rPr>
        <w:t>AiON</w:t>
      </w:r>
      <w:proofErr w:type="spellEnd"/>
      <w:r w:rsidRPr="00295351">
        <w:rPr>
          <w:b/>
          <w:bCs/>
        </w:rPr>
        <w:t xml:space="preserve"> Advanced Battle Manager…”</w:t>
      </w:r>
      <w:r w:rsidRPr="00295351">
        <w:t xml:space="preserve"> plus </w:t>
      </w:r>
      <w:r w:rsidRPr="00295351">
        <w:rPr>
          <w:b/>
          <w:bCs/>
        </w:rPr>
        <w:t>open architecture</w:t>
      </w:r>
      <w:r w:rsidRPr="00295351">
        <w:t xml:space="preserve"> integration claims. </w:t>
      </w:r>
      <w:hyperlink r:id="rId129" w:tgtFrame="_blank" w:history="1">
        <w:r w:rsidRPr="00295351">
          <w:rPr>
            <w:rStyle w:val="Hyperlink"/>
          </w:rPr>
          <w:t>cdn-uat.northropgrumman.com</w:t>
        </w:r>
      </w:hyperlink>
      <w:r w:rsidRPr="00295351">
        <w:br/>
        <w:t>Lock-in lever: the battle manager becomes the “integration gravity well”; everyone builds to its quirks and licensing model.</w:t>
      </w:r>
    </w:p>
    <w:p w14:paraId="5F27EDEE" w14:textId="77777777" w:rsidR="00295351" w:rsidRPr="00295351" w:rsidRDefault="00295351" w:rsidP="00295351">
      <w:pPr>
        <w:numPr>
          <w:ilvl w:val="0"/>
          <w:numId w:val="72"/>
        </w:numPr>
      </w:pPr>
      <w:r w:rsidRPr="00295351">
        <w:rPr>
          <w:b/>
          <w:bCs/>
        </w:rPr>
        <w:t xml:space="preserve">HENSOLDT </w:t>
      </w:r>
      <w:proofErr w:type="spellStart"/>
      <w:r w:rsidRPr="00295351">
        <w:rPr>
          <w:b/>
          <w:bCs/>
        </w:rPr>
        <w:t>Xpeller</w:t>
      </w:r>
      <w:proofErr w:type="spellEnd"/>
      <w:r w:rsidRPr="00295351">
        <w:rPr>
          <w:b/>
          <w:bCs/>
        </w:rPr>
        <w:t>:</w:t>
      </w:r>
      <w:r w:rsidRPr="00295351">
        <w:t xml:space="preserve"> press release describes an </w:t>
      </w:r>
      <w:r w:rsidRPr="00295351">
        <w:rPr>
          <w:b/>
          <w:bCs/>
        </w:rPr>
        <w:t>“open interface architecture”</w:t>
      </w:r>
      <w:r w:rsidRPr="00295351">
        <w:t xml:space="preserve"> but also that the solution includes </w:t>
      </w:r>
      <w:r w:rsidRPr="00295351">
        <w:rPr>
          <w:b/>
          <w:bCs/>
        </w:rPr>
        <w:t>“</w:t>
      </w:r>
      <w:proofErr w:type="spellStart"/>
      <w:r w:rsidRPr="00295351">
        <w:rPr>
          <w:b/>
          <w:bCs/>
        </w:rPr>
        <w:t>CXEye</w:t>
      </w:r>
      <w:proofErr w:type="spellEnd"/>
      <w:r w:rsidRPr="00295351">
        <w:rPr>
          <w:b/>
          <w:bCs/>
        </w:rPr>
        <w:t xml:space="preserve"> software as the C2 backbone”</w:t>
      </w:r>
      <w:r w:rsidRPr="00295351">
        <w:t xml:space="preserve"> and that </w:t>
      </w:r>
      <w:r w:rsidRPr="00295351">
        <w:rPr>
          <w:b/>
          <w:bCs/>
        </w:rPr>
        <w:t xml:space="preserve">additional </w:t>
      </w:r>
      <w:r w:rsidRPr="00295351">
        <w:rPr>
          <w:b/>
          <w:bCs/>
        </w:rPr>
        <w:lastRenderedPageBreak/>
        <w:t>sensors… are integrated upon customer request</w:t>
      </w:r>
      <w:r w:rsidRPr="00295351">
        <w:t xml:space="preserve"> </w:t>
      </w:r>
      <w:hyperlink r:id="rId130" w:tgtFrame="_blank" w:history="1">
        <w:r w:rsidRPr="00295351">
          <w:rPr>
            <w:rStyle w:val="Hyperlink"/>
          </w:rPr>
          <w:t>HENSOLDT</w:t>
        </w:r>
      </w:hyperlink>
      <w:r w:rsidRPr="00295351">
        <w:br/>
        <w:t>Lock-in lever: when the vendor owns the C2 backbone and the integration work, you’re locked into their roadmap + professional services cadence.</w:t>
      </w:r>
    </w:p>
    <w:p w14:paraId="19DFA1A6" w14:textId="77777777" w:rsidR="00295351" w:rsidRPr="00295351" w:rsidRDefault="00295351" w:rsidP="00295351">
      <w:pPr>
        <w:rPr>
          <w:b/>
          <w:bCs/>
        </w:rPr>
      </w:pPr>
      <w:r w:rsidRPr="00295351">
        <w:rPr>
          <w:b/>
          <w:bCs/>
        </w:rPr>
        <w:t xml:space="preserve">Pattern 4: “Open standards </w:t>
      </w:r>
      <w:proofErr w:type="gramStart"/>
      <w:r w:rsidRPr="00295351">
        <w:rPr>
          <w:b/>
          <w:bCs/>
        </w:rPr>
        <w:t>supported”…</w:t>
      </w:r>
      <w:proofErr w:type="gramEnd"/>
      <w:r w:rsidRPr="00295351">
        <w:rPr>
          <w:b/>
          <w:bCs/>
        </w:rPr>
        <w:t xml:space="preserve"> but the vendor keeps a proprietary threat library / knowledge base</w:t>
      </w:r>
    </w:p>
    <w:p w14:paraId="33491D25" w14:textId="77777777" w:rsidR="00295351" w:rsidRPr="00295351" w:rsidRDefault="00295351" w:rsidP="00295351">
      <w:r w:rsidRPr="00295351">
        <w:t>That library becomes a subscription/upgrade choke point.</w:t>
      </w:r>
    </w:p>
    <w:p w14:paraId="16EFE4FE" w14:textId="77777777" w:rsidR="00295351" w:rsidRPr="00295351" w:rsidRDefault="00295351" w:rsidP="00295351">
      <w:pPr>
        <w:numPr>
          <w:ilvl w:val="0"/>
          <w:numId w:val="73"/>
        </w:numPr>
      </w:pPr>
      <w:r w:rsidRPr="00295351">
        <w:rPr>
          <w:b/>
          <w:bCs/>
        </w:rPr>
        <w:t xml:space="preserve">Elbit </w:t>
      </w:r>
      <w:proofErr w:type="spellStart"/>
      <w:r w:rsidRPr="00295351">
        <w:rPr>
          <w:b/>
          <w:bCs/>
        </w:rPr>
        <w:t>ReDrone</w:t>
      </w:r>
      <w:proofErr w:type="spellEnd"/>
      <w:r w:rsidRPr="00295351">
        <w:rPr>
          <w:b/>
          <w:bCs/>
        </w:rPr>
        <w:t>:</w:t>
      </w:r>
      <w:r w:rsidRPr="00295351">
        <w:t xml:space="preserve"> product PDF snippet explicitly ties “standard control protocols” to internal IP: </w:t>
      </w:r>
      <w:r w:rsidRPr="00295351">
        <w:rPr>
          <w:b/>
          <w:bCs/>
        </w:rPr>
        <w:t>“supports standard control protocols, such as Asterix and Sapient…”</w:t>
      </w:r>
      <w:r w:rsidRPr="00295351">
        <w:t xml:space="preserve"> and </w:t>
      </w:r>
      <w:r w:rsidRPr="00295351">
        <w:rPr>
          <w:b/>
          <w:bCs/>
        </w:rPr>
        <w:t>“the C2 allows updates of the internal drone threat database during operations”</w:t>
      </w:r>
      <w:r w:rsidRPr="00295351">
        <w:t xml:space="preserve"> </w:t>
      </w:r>
      <w:hyperlink r:id="rId131" w:tgtFrame="_blank" w:history="1">
        <w:r w:rsidRPr="00295351">
          <w:rPr>
            <w:rStyle w:val="Hyperlink"/>
          </w:rPr>
          <w:t>Elbit Systems</w:t>
        </w:r>
      </w:hyperlink>
      <w:r w:rsidRPr="00295351">
        <w:br/>
        <w:t>Lock-in lever: database updates + classifier logic become “the product”. Your “open interface” just carries alerts that depend on vendor IP.</w:t>
      </w:r>
    </w:p>
    <w:p w14:paraId="0C30A1DE" w14:textId="77777777" w:rsidR="00295351" w:rsidRPr="00295351" w:rsidRDefault="00295351" w:rsidP="00295351">
      <w:pPr>
        <w:rPr>
          <w:b/>
          <w:bCs/>
        </w:rPr>
      </w:pPr>
      <w:r w:rsidRPr="00295351">
        <w:rPr>
          <w:b/>
          <w:bCs/>
        </w:rPr>
        <w:t>Pattern 5: Standards are optional, proprietary links are “tailorable”</w:t>
      </w:r>
    </w:p>
    <w:p w14:paraId="40BE80F7" w14:textId="77777777" w:rsidR="00295351" w:rsidRPr="00295351" w:rsidRDefault="00295351" w:rsidP="00295351">
      <w:r w:rsidRPr="00295351">
        <w:t xml:space="preserve">Procurements drift into proprietary because it’s “easier for </w:t>
      </w:r>
      <w:r w:rsidRPr="00295351">
        <w:rPr>
          <w:i/>
          <w:iCs/>
        </w:rPr>
        <w:t>this</w:t>
      </w:r>
      <w:r w:rsidRPr="00295351">
        <w:t xml:space="preserve"> integration.”</w:t>
      </w:r>
    </w:p>
    <w:p w14:paraId="676649DC" w14:textId="77777777" w:rsidR="00295351" w:rsidRPr="00295351" w:rsidRDefault="00295351" w:rsidP="00295351">
      <w:pPr>
        <w:numPr>
          <w:ilvl w:val="0"/>
          <w:numId w:val="74"/>
        </w:numPr>
      </w:pPr>
      <w:r w:rsidRPr="00295351">
        <w:rPr>
          <w:b/>
          <w:bCs/>
        </w:rPr>
        <w:t>Kongsberg (NASAMS) TCC interview/article:</w:t>
      </w:r>
      <w:r w:rsidRPr="00295351">
        <w:t xml:space="preserve"> </w:t>
      </w:r>
      <w:r w:rsidRPr="00295351">
        <w:rPr>
          <w:b/>
          <w:bCs/>
        </w:rPr>
        <w:t>“could… implement and handle proprietary data links – and potential emerging (NATO) standards as the SAPIENT, if needed.”</w:t>
      </w:r>
      <w:r w:rsidRPr="00295351">
        <w:t xml:space="preserve"> </w:t>
      </w:r>
      <w:hyperlink r:id="rId132" w:tgtFrame="_blank" w:history="1">
        <w:r w:rsidRPr="00295351">
          <w:rPr>
            <w:rStyle w:val="Hyperlink"/>
          </w:rPr>
          <w:t>bin.yhdistysavain.fi</w:t>
        </w:r>
      </w:hyperlink>
      <w:r w:rsidRPr="00295351">
        <w:br/>
        <w:t>Lock-in lever: “if needed” is how proprietary becomes default: urgent integration picks the vendor link; standards are deferred.</w:t>
      </w:r>
    </w:p>
    <w:p w14:paraId="5A2C7DB9" w14:textId="77777777" w:rsidR="00295351" w:rsidRPr="00295351" w:rsidRDefault="00295351" w:rsidP="00295351">
      <w:pPr>
        <w:rPr>
          <w:b/>
          <w:bCs/>
        </w:rPr>
      </w:pPr>
      <w:r w:rsidRPr="00295351">
        <w:rPr>
          <w:b/>
          <w:bCs/>
        </w:rPr>
        <w:t>Pattern 6: The standards themselves allow “it’s standard… but only with our ICD”</w:t>
      </w:r>
    </w:p>
    <w:p w14:paraId="77E00542" w14:textId="77777777" w:rsidR="00295351" w:rsidRPr="00295351" w:rsidRDefault="00295351" w:rsidP="00295351">
      <w:r w:rsidRPr="00295351">
        <w:t>Two particularly slippery technical traps:</w:t>
      </w:r>
    </w:p>
    <w:p w14:paraId="6836BA1F" w14:textId="77777777" w:rsidR="00295351" w:rsidRPr="00295351" w:rsidRDefault="00295351" w:rsidP="00295351">
      <w:pPr>
        <w:numPr>
          <w:ilvl w:val="0"/>
          <w:numId w:val="75"/>
        </w:numPr>
      </w:pPr>
      <w:r w:rsidRPr="00295351">
        <w:rPr>
          <w:b/>
          <w:bCs/>
        </w:rPr>
        <w:t>ASTERIX CAT240 trap (video):</w:t>
      </w:r>
      <w:r w:rsidRPr="00295351">
        <w:t xml:space="preserve"> Cambridge Pixel’s guide spells it out: CAT240 allows compression but </w:t>
      </w:r>
      <w:r w:rsidRPr="00295351">
        <w:rPr>
          <w:b/>
          <w:bCs/>
        </w:rPr>
        <w:t>does not specify the compression</w:t>
      </w:r>
      <w:r w:rsidRPr="00295351">
        <w:t xml:space="preserve">, which </w:t>
      </w:r>
      <w:r w:rsidRPr="00295351">
        <w:rPr>
          <w:b/>
          <w:bCs/>
        </w:rPr>
        <w:t>“permits a proprietary compression scheme… rendering the use of a standard meaningless… [sender/receiver] would need to agree through an Interface Control Document (ICD)”</w:t>
      </w:r>
      <w:r w:rsidRPr="00295351">
        <w:t xml:space="preserve"> </w:t>
      </w:r>
      <w:hyperlink r:id="rId133" w:tgtFrame="_blank" w:history="1">
        <w:r w:rsidRPr="00295351">
          <w:rPr>
            <w:rStyle w:val="Hyperlink"/>
          </w:rPr>
          <w:t>Cambridge Pixel</w:t>
        </w:r>
      </w:hyperlink>
      <w:r w:rsidRPr="00295351">
        <w:br/>
        <w:t>Lock-in lever: “we output CAT240” can still mean “you need our proprietary ICD and decoder.”</w:t>
      </w:r>
    </w:p>
    <w:p w14:paraId="168F2EED" w14:textId="77777777" w:rsidR="00295351" w:rsidRPr="00295351" w:rsidRDefault="00295351" w:rsidP="00295351">
      <w:pPr>
        <w:numPr>
          <w:ilvl w:val="0"/>
          <w:numId w:val="75"/>
        </w:numPr>
      </w:pPr>
      <w:r w:rsidRPr="00295351">
        <w:rPr>
          <w:b/>
          <w:bCs/>
        </w:rPr>
        <w:t>SAPIENT extensibility trap:</w:t>
      </w:r>
      <w:r w:rsidRPr="00295351">
        <w:t xml:space="preserve"> the UK SAPIENT ICD states SAPIENT </w:t>
      </w:r>
      <w:r w:rsidRPr="00295351">
        <w:rPr>
          <w:b/>
          <w:bCs/>
        </w:rPr>
        <w:t>specifies message content rather than constraining the means of communication</w:t>
      </w:r>
      <w:r w:rsidRPr="00295351">
        <w:t xml:space="preserve">, and uses </w:t>
      </w:r>
      <w:proofErr w:type="spellStart"/>
      <w:r w:rsidRPr="00295351">
        <w:t>Protobuf</w:t>
      </w:r>
      <w:proofErr w:type="spellEnd"/>
      <w:r w:rsidRPr="00295351">
        <w:t xml:space="preserve"> which is </w:t>
      </w:r>
      <w:r w:rsidRPr="00295351">
        <w:rPr>
          <w:b/>
          <w:bCs/>
        </w:rPr>
        <w:t>extendable</w:t>
      </w:r>
      <w:r w:rsidRPr="00295351">
        <w:t xml:space="preserve"> </w:t>
      </w:r>
      <w:hyperlink r:id="rId134" w:tgtFrame="_blank" w:history="1">
        <w:r w:rsidRPr="00295351">
          <w:rPr>
            <w:rStyle w:val="Hyperlink"/>
          </w:rPr>
          <w:t>assets.publishing.service.gov.uk</w:t>
        </w:r>
      </w:hyperlink>
      <w:r w:rsidRPr="00295351">
        <w:br/>
        <w:t xml:space="preserve">Lock-in lever: vendors can add optional/extended fields (or make “optional” fields operationally mandatory). You get </w:t>
      </w:r>
      <w:r w:rsidRPr="00295351">
        <w:rPr>
          <w:b/>
          <w:bCs/>
        </w:rPr>
        <w:t>SAPIENT-</w:t>
      </w:r>
      <w:proofErr w:type="spellStart"/>
      <w:r w:rsidRPr="00295351">
        <w:rPr>
          <w:b/>
          <w:bCs/>
        </w:rPr>
        <w:t>ish</w:t>
      </w:r>
      <w:proofErr w:type="spellEnd"/>
      <w:r w:rsidRPr="00295351">
        <w:rPr>
          <w:b/>
          <w:bCs/>
        </w:rPr>
        <w:t xml:space="preserve"> dialects</w:t>
      </w:r>
      <w:r w:rsidRPr="00295351">
        <w:t>.</w:t>
      </w:r>
    </w:p>
    <w:p w14:paraId="0E07F0A6" w14:textId="77777777" w:rsidR="00295351" w:rsidRPr="00295351" w:rsidRDefault="00295351" w:rsidP="00295351">
      <w:pPr>
        <w:rPr>
          <w:b/>
          <w:bCs/>
        </w:rPr>
      </w:pPr>
      <w:r w:rsidRPr="00295351">
        <w:rPr>
          <w:b/>
          <w:bCs/>
        </w:rPr>
        <w:lastRenderedPageBreak/>
        <w:t>One C-UAS vendor example that shows the “platform API” lock-in shape very clearly</w:t>
      </w:r>
    </w:p>
    <w:p w14:paraId="61A7CCC5" w14:textId="77777777" w:rsidR="00295351" w:rsidRPr="00295351" w:rsidRDefault="00295351" w:rsidP="00295351">
      <w:pPr>
        <w:numPr>
          <w:ilvl w:val="0"/>
          <w:numId w:val="76"/>
        </w:numPr>
      </w:pPr>
      <w:proofErr w:type="spellStart"/>
      <w:r w:rsidRPr="00295351">
        <w:rPr>
          <w:b/>
          <w:bCs/>
        </w:rPr>
        <w:t>MyDefence</w:t>
      </w:r>
      <w:proofErr w:type="spellEnd"/>
      <w:r w:rsidRPr="00295351">
        <w:rPr>
          <w:b/>
          <w:bCs/>
        </w:rPr>
        <w:t xml:space="preserve"> Situational Awareness System:</w:t>
      </w:r>
      <w:r w:rsidRPr="00295351">
        <w:t xml:space="preserve"> says it’s </w:t>
      </w:r>
      <w:r w:rsidRPr="00295351">
        <w:rPr>
          <w:b/>
          <w:bCs/>
        </w:rPr>
        <w:t>TAK/</w:t>
      </w:r>
      <w:proofErr w:type="spellStart"/>
      <w:r w:rsidRPr="00295351">
        <w:rPr>
          <w:b/>
          <w:bCs/>
        </w:rPr>
        <w:t>CoT</w:t>
      </w:r>
      <w:proofErr w:type="spellEnd"/>
      <w:r w:rsidRPr="00295351">
        <w:rPr>
          <w:b/>
          <w:bCs/>
        </w:rPr>
        <w:t xml:space="preserve"> interoperable</w:t>
      </w:r>
      <w:r w:rsidRPr="00295351">
        <w:t xml:space="preserve"> and </w:t>
      </w:r>
      <w:r w:rsidRPr="00295351">
        <w:rPr>
          <w:b/>
          <w:bCs/>
        </w:rPr>
        <w:t>“compliant with the NATO Sapient protocol”</w:t>
      </w:r>
      <w:r w:rsidRPr="00295351">
        <w:t xml:space="preserve"> </w:t>
      </w:r>
      <w:hyperlink r:id="rId135" w:tgtFrame="_blank" w:history="1">
        <w:proofErr w:type="spellStart"/>
        <w:r w:rsidRPr="00295351">
          <w:rPr>
            <w:rStyle w:val="Hyperlink"/>
          </w:rPr>
          <w:t>MyDefence</w:t>
        </w:r>
        <w:proofErr w:type="spellEnd"/>
      </w:hyperlink>
      <w:r w:rsidRPr="00295351">
        <w:t xml:space="preserve"> while also describing an </w:t>
      </w:r>
      <w:r w:rsidRPr="00295351">
        <w:rPr>
          <w:b/>
          <w:bCs/>
        </w:rPr>
        <w:t>API-first integration posture</w:t>
      </w:r>
      <w:r w:rsidRPr="00295351">
        <w:t xml:space="preserve"> with detailed internal message/interface handling </w:t>
      </w:r>
      <w:hyperlink r:id="rId136" w:tgtFrame="_blank" w:history="1">
        <w:proofErr w:type="spellStart"/>
        <w:r w:rsidRPr="00295351">
          <w:rPr>
            <w:rStyle w:val="Hyperlink"/>
          </w:rPr>
          <w:t>MyDefence</w:t>
        </w:r>
        <w:proofErr w:type="spellEnd"/>
      </w:hyperlink>
      <w:r w:rsidRPr="00295351">
        <w:br/>
        <w:t xml:space="preserve">Lock-in lever: if your integration is built around </w:t>
      </w:r>
      <w:r w:rsidRPr="00295351">
        <w:rPr>
          <w:i/>
          <w:iCs/>
        </w:rPr>
        <w:t>their</w:t>
      </w:r>
      <w:r w:rsidRPr="00295351">
        <w:t xml:space="preserve"> API/event model and their UI/forensics/replay workflow, swapping “just one sensor” stops being the real decision—you’re swapping the platform.</w:t>
      </w:r>
    </w:p>
    <w:p w14:paraId="5EC7F39E" w14:textId="77777777" w:rsidR="00295351" w:rsidRDefault="00295351"/>
    <w:p w14:paraId="00C85B20" w14:textId="77777777" w:rsidR="00295351" w:rsidRDefault="00295351">
      <w:pPr>
        <w:pBdr>
          <w:bottom w:val="single" w:sz="6" w:space="1" w:color="auto"/>
        </w:pBdr>
      </w:pPr>
    </w:p>
    <w:p w14:paraId="6415C6EE" w14:textId="77777777" w:rsidR="00295351" w:rsidRDefault="00295351"/>
    <w:sectPr w:rsidR="002953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608"/>
    <w:multiLevelType w:val="multilevel"/>
    <w:tmpl w:val="3706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81D2E"/>
    <w:multiLevelType w:val="multilevel"/>
    <w:tmpl w:val="3596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D237C"/>
    <w:multiLevelType w:val="multilevel"/>
    <w:tmpl w:val="EA94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D302D"/>
    <w:multiLevelType w:val="multilevel"/>
    <w:tmpl w:val="C7D61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A3135"/>
    <w:multiLevelType w:val="multilevel"/>
    <w:tmpl w:val="F8C6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E3F70"/>
    <w:multiLevelType w:val="multilevel"/>
    <w:tmpl w:val="E38E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02E7D"/>
    <w:multiLevelType w:val="multilevel"/>
    <w:tmpl w:val="66D6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DA2900"/>
    <w:multiLevelType w:val="multilevel"/>
    <w:tmpl w:val="289E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3061B"/>
    <w:multiLevelType w:val="multilevel"/>
    <w:tmpl w:val="F734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259B9"/>
    <w:multiLevelType w:val="multilevel"/>
    <w:tmpl w:val="D238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A40A4"/>
    <w:multiLevelType w:val="multilevel"/>
    <w:tmpl w:val="31E8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0532E4"/>
    <w:multiLevelType w:val="multilevel"/>
    <w:tmpl w:val="361400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7E53EC"/>
    <w:multiLevelType w:val="multilevel"/>
    <w:tmpl w:val="86C8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A03519"/>
    <w:multiLevelType w:val="multilevel"/>
    <w:tmpl w:val="69AA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9F338C1"/>
    <w:multiLevelType w:val="multilevel"/>
    <w:tmpl w:val="18C6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D04552"/>
    <w:multiLevelType w:val="multilevel"/>
    <w:tmpl w:val="20D8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086BC8"/>
    <w:multiLevelType w:val="multilevel"/>
    <w:tmpl w:val="4D5E74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EF03D2"/>
    <w:multiLevelType w:val="multilevel"/>
    <w:tmpl w:val="9B56C7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7723DC"/>
    <w:multiLevelType w:val="multilevel"/>
    <w:tmpl w:val="ED64B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8445A4"/>
    <w:multiLevelType w:val="multilevel"/>
    <w:tmpl w:val="D148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BB60AC"/>
    <w:multiLevelType w:val="multilevel"/>
    <w:tmpl w:val="D66A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8E3910"/>
    <w:multiLevelType w:val="multilevel"/>
    <w:tmpl w:val="AB7C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2E0BEA"/>
    <w:multiLevelType w:val="multilevel"/>
    <w:tmpl w:val="A814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A02628"/>
    <w:multiLevelType w:val="multilevel"/>
    <w:tmpl w:val="EAD8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2406C9"/>
    <w:multiLevelType w:val="multilevel"/>
    <w:tmpl w:val="D54A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9E2484"/>
    <w:multiLevelType w:val="multilevel"/>
    <w:tmpl w:val="1FBA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B3565A"/>
    <w:multiLevelType w:val="multilevel"/>
    <w:tmpl w:val="DF46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8F4945"/>
    <w:multiLevelType w:val="multilevel"/>
    <w:tmpl w:val="34C0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BC750B"/>
    <w:multiLevelType w:val="multilevel"/>
    <w:tmpl w:val="DB76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BA281B"/>
    <w:multiLevelType w:val="multilevel"/>
    <w:tmpl w:val="9362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231BFB"/>
    <w:multiLevelType w:val="multilevel"/>
    <w:tmpl w:val="4768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F40018"/>
    <w:multiLevelType w:val="multilevel"/>
    <w:tmpl w:val="9F20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4A6340"/>
    <w:multiLevelType w:val="multilevel"/>
    <w:tmpl w:val="AA82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FD3451"/>
    <w:multiLevelType w:val="multilevel"/>
    <w:tmpl w:val="8E9C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C93F55"/>
    <w:multiLevelType w:val="multilevel"/>
    <w:tmpl w:val="C7DA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5C20B5"/>
    <w:multiLevelType w:val="multilevel"/>
    <w:tmpl w:val="FE42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645F4C"/>
    <w:multiLevelType w:val="multilevel"/>
    <w:tmpl w:val="68E8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6B60C4"/>
    <w:multiLevelType w:val="multilevel"/>
    <w:tmpl w:val="21481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0413921"/>
    <w:multiLevelType w:val="multilevel"/>
    <w:tmpl w:val="C696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341066"/>
    <w:multiLevelType w:val="multilevel"/>
    <w:tmpl w:val="A2F0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4A3324"/>
    <w:multiLevelType w:val="multilevel"/>
    <w:tmpl w:val="364A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DA32D1"/>
    <w:multiLevelType w:val="multilevel"/>
    <w:tmpl w:val="8DF0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1D588D"/>
    <w:multiLevelType w:val="multilevel"/>
    <w:tmpl w:val="BE1A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2F577C"/>
    <w:multiLevelType w:val="multilevel"/>
    <w:tmpl w:val="0494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5CF5828"/>
    <w:multiLevelType w:val="multilevel"/>
    <w:tmpl w:val="8010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4A378E"/>
    <w:multiLevelType w:val="multilevel"/>
    <w:tmpl w:val="27EC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B0431E"/>
    <w:multiLevelType w:val="multilevel"/>
    <w:tmpl w:val="2ED2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B85D5A"/>
    <w:multiLevelType w:val="multilevel"/>
    <w:tmpl w:val="039C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D65335"/>
    <w:multiLevelType w:val="multilevel"/>
    <w:tmpl w:val="9A02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09E0569"/>
    <w:multiLevelType w:val="multilevel"/>
    <w:tmpl w:val="9E64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ED3AA0"/>
    <w:multiLevelType w:val="multilevel"/>
    <w:tmpl w:val="BDB4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B40C6F"/>
    <w:multiLevelType w:val="multilevel"/>
    <w:tmpl w:val="554A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30153E"/>
    <w:multiLevelType w:val="multilevel"/>
    <w:tmpl w:val="58D2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420C11"/>
    <w:multiLevelType w:val="multilevel"/>
    <w:tmpl w:val="2F4E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751338"/>
    <w:multiLevelType w:val="multilevel"/>
    <w:tmpl w:val="1CCC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1D3E52"/>
    <w:multiLevelType w:val="multilevel"/>
    <w:tmpl w:val="0506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560155"/>
    <w:multiLevelType w:val="multilevel"/>
    <w:tmpl w:val="B054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300B2C"/>
    <w:multiLevelType w:val="multilevel"/>
    <w:tmpl w:val="79506D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D3873C6"/>
    <w:multiLevelType w:val="multilevel"/>
    <w:tmpl w:val="713E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B116D0"/>
    <w:multiLevelType w:val="multilevel"/>
    <w:tmpl w:val="DB66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6E5024"/>
    <w:multiLevelType w:val="multilevel"/>
    <w:tmpl w:val="8C4E14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28E1A7D"/>
    <w:multiLevelType w:val="multilevel"/>
    <w:tmpl w:val="DD883D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3AA4A39"/>
    <w:multiLevelType w:val="multilevel"/>
    <w:tmpl w:val="7CBE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194803"/>
    <w:multiLevelType w:val="multilevel"/>
    <w:tmpl w:val="B9E4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E07D99"/>
    <w:multiLevelType w:val="multilevel"/>
    <w:tmpl w:val="3F06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8C224D"/>
    <w:multiLevelType w:val="multilevel"/>
    <w:tmpl w:val="37DE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930B11"/>
    <w:multiLevelType w:val="multilevel"/>
    <w:tmpl w:val="899A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B66953"/>
    <w:multiLevelType w:val="multilevel"/>
    <w:tmpl w:val="A9AA4E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DD838AB"/>
    <w:multiLevelType w:val="multilevel"/>
    <w:tmpl w:val="5CE0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F81781"/>
    <w:multiLevelType w:val="multilevel"/>
    <w:tmpl w:val="E824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8C13F7"/>
    <w:multiLevelType w:val="multilevel"/>
    <w:tmpl w:val="2814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A142D9"/>
    <w:multiLevelType w:val="multilevel"/>
    <w:tmpl w:val="5EA6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2D4D9D"/>
    <w:multiLevelType w:val="multilevel"/>
    <w:tmpl w:val="759C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D73BCE"/>
    <w:multiLevelType w:val="multilevel"/>
    <w:tmpl w:val="0644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757E6A"/>
    <w:multiLevelType w:val="multilevel"/>
    <w:tmpl w:val="1764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97297B"/>
    <w:multiLevelType w:val="multilevel"/>
    <w:tmpl w:val="379E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415919">
    <w:abstractNumId w:val="36"/>
  </w:num>
  <w:num w:numId="2" w16cid:durableId="966928750">
    <w:abstractNumId w:val="65"/>
  </w:num>
  <w:num w:numId="3" w16cid:durableId="557205983">
    <w:abstractNumId w:val="15"/>
  </w:num>
  <w:num w:numId="4" w16cid:durableId="958996269">
    <w:abstractNumId w:val="33"/>
  </w:num>
  <w:num w:numId="5" w16cid:durableId="1729760921">
    <w:abstractNumId w:val="44"/>
  </w:num>
  <w:num w:numId="6" w16cid:durableId="356122841">
    <w:abstractNumId w:val="21"/>
  </w:num>
  <w:num w:numId="7" w16cid:durableId="1157066351">
    <w:abstractNumId w:val="19"/>
  </w:num>
  <w:num w:numId="8" w16cid:durableId="41711828">
    <w:abstractNumId w:val="69"/>
  </w:num>
  <w:num w:numId="9" w16cid:durableId="1059089474">
    <w:abstractNumId w:val="3"/>
  </w:num>
  <w:num w:numId="10" w16cid:durableId="2029941350">
    <w:abstractNumId w:val="71"/>
  </w:num>
  <w:num w:numId="11" w16cid:durableId="1764956193">
    <w:abstractNumId w:val="49"/>
  </w:num>
  <w:num w:numId="12" w16cid:durableId="1393499579">
    <w:abstractNumId w:val="14"/>
  </w:num>
  <w:num w:numId="13" w16cid:durableId="1113330713">
    <w:abstractNumId w:val="46"/>
  </w:num>
  <w:num w:numId="14" w16cid:durableId="1032266424">
    <w:abstractNumId w:val="30"/>
  </w:num>
  <w:num w:numId="15" w16cid:durableId="701705830">
    <w:abstractNumId w:val="31"/>
  </w:num>
  <w:num w:numId="16" w16cid:durableId="162166670">
    <w:abstractNumId w:val="37"/>
  </w:num>
  <w:num w:numId="17" w16cid:durableId="1801678974">
    <w:abstractNumId w:val="39"/>
  </w:num>
  <w:num w:numId="18" w16cid:durableId="937518790">
    <w:abstractNumId w:val="60"/>
  </w:num>
  <w:num w:numId="19" w16cid:durableId="449666620">
    <w:abstractNumId w:val="8"/>
  </w:num>
  <w:num w:numId="20" w16cid:durableId="687216949">
    <w:abstractNumId w:val="67"/>
  </w:num>
  <w:num w:numId="21" w16cid:durableId="1775587685">
    <w:abstractNumId w:val="27"/>
  </w:num>
  <w:num w:numId="22" w16cid:durableId="299194298">
    <w:abstractNumId w:val="61"/>
  </w:num>
  <w:num w:numId="23" w16cid:durableId="1354309249">
    <w:abstractNumId w:val="35"/>
  </w:num>
  <w:num w:numId="24" w16cid:durableId="242615880">
    <w:abstractNumId w:val="70"/>
  </w:num>
  <w:num w:numId="25" w16cid:durableId="2088845469">
    <w:abstractNumId w:val="43"/>
  </w:num>
  <w:num w:numId="26" w16cid:durableId="791634794">
    <w:abstractNumId w:val="13"/>
  </w:num>
  <w:num w:numId="27" w16cid:durableId="824052344">
    <w:abstractNumId w:val="10"/>
  </w:num>
  <w:num w:numId="28" w16cid:durableId="1509558435">
    <w:abstractNumId w:val="48"/>
  </w:num>
  <w:num w:numId="29" w16cid:durableId="1271744608">
    <w:abstractNumId w:val="42"/>
  </w:num>
  <w:num w:numId="30" w16cid:durableId="1671251952">
    <w:abstractNumId w:val="52"/>
  </w:num>
  <w:num w:numId="31" w16cid:durableId="761338054">
    <w:abstractNumId w:val="7"/>
  </w:num>
  <w:num w:numId="32" w16cid:durableId="1670863909">
    <w:abstractNumId w:val="18"/>
  </w:num>
  <w:num w:numId="33" w16cid:durableId="2114473315">
    <w:abstractNumId w:val="38"/>
  </w:num>
  <w:num w:numId="34" w16cid:durableId="2033067453">
    <w:abstractNumId w:val="11"/>
  </w:num>
  <w:num w:numId="35" w16cid:durableId="1542666951">
    <w:abstractNumId w:val="5"/>
  </w:num>
  <w:num w:numId="36" w16cid:durableId="1196699796">
    <w:abstractNumId w:val="17"/>
  </w:num>
  <w:num w:numId="37" w16cid:durableId="1632520362">
    <w:abstractNumId w:val="47"/>
  </w:num>
  <w:num w:numId="38" w16cid:durableId="1671593391">
    <w:abstractNumId w:val="57"/>
  </w:num>
  <w:num w:numId="39" w16cid:durableId="343747137">
    <w:abstractNumId w:val="2"/>
  </w:num>
  <w:num w:numId="40" w16cid:durableId="889532048">
    <w:abstractNumId w:val="41"/>
  </w:num>
  <w:num w:numId="41" w16cid:durableId="1364550251">
    <w:abstractNumId w:val="75"/>
  </w:num>
  <w:num w:numId="42" w16cid:durableId="240795161">
    <w:abstractNumId w:val="58"/>
  </w:num>
  <w:num w:numId="43" w16cid:durableId="1755125803">
    <w:abstractNumId w:val="12"/>
  </w:num>
  <w:num w:numId="44" w16cid:durableId="479462565">
    <w:abstractNumId w:val="63"/>
  </w:num>
  <w:num w:numId="45" w16cid:durableId="467557409">
    <w:abstractNumId w:val="55"/>
  </w:num>
  <w:num w:numId="46" w16cid:durableId="1690792464">
    <w:abstractNumId w:val="16"/>
  </w:num>
  <w:num w:numId="47" w16cid:durableId="638731240">
    <w:abstractNumId w:val="40"/>
  </w:num>
  <w:num w:numId="48" w16cid:durableId="2090345042">
    <w:abstractNumId w:val="54"/>
  </w:num>
  <w:num w:numId="49" w16cid:durableId="886844137">
    <w:abstractNumId w:val="72"/>
  </w:num>
  <w:num w:numId="50" w16cid:durableId="910387057">
    <w:abstractNumId w:val="64"/>
  </w:num>
  <w:num w:numId="51" w16cid:durableId="1697536582">
    <w:abstractNumId w:val="26"/>
  </w:num>
  <w:num w:numId="52" w16cid:durableId="1931963003">
    <w:abstractNumId w:val="68"/>
  </w:num>
  <w:num w:numId="53" w16cid:durableId="1002853192">
    <w:abstractNumId w:val="28"/>
  </w:num>
  <w:num w:numId="54" w16cid:durableId="215505781">
    <w:abstractNumId w:val="24"/>
  </w:num>
  <w:num w:numId="55" w16cid:durableId="2065325132">
    <w:abstractNumId w:val="59"/>
  </w:num>
  <w:num w:numId="56" w16cid:durableId="433136228">
    <w:abstractNumId w:val="4"/>
  </w:num>
  <w:num w:numId="57" w16cid:durableId="667489282">
    <w:abstractNumId w:val="9"/>
  </w:num>
  <w:num w:numId="58" w16cid:durableId="1683778895">
    <w:abstractNumId w:val="50"/>
  </w:num>
  <w:num w:numId="59" w16cid:durableId="1787583383">
    <w:abstractNumId w:val="22"/>
  </w:num>
  <w:num w:numId="60" w16cid:durableId="1930917802">
    <w:abstractNumId w:val="51"/>
  </w:num>
  <w:num w:numId="61" w16cid:durableId="361637525">
    <w:abstractNumId w:val="6"/>
  </w:num>
  <w:num w:numId="62" w16cid:durableId="1513616">
    <w:abstractNumId w:val="62"/>
  </w:num>
  <w:num w:numId="63" w16cid:durableId="660085595">
    <w:abstractNumId w:val="0"/>
  </w:num>
  <w:num w:numId="64" w16cid:durableId="2113088541">
    <w:abstractNumId w:val="20"/>
  </w:num>
  <w:num w:numId="65" w16cid:durableId="1033729728">
    <w:abstractNumId w:val="74"/>
  </w:num>
  <w:num w:numId="66" w16cid:durableId="1155485895">
    <w:abstractNumId w:val="66"/>
  </w:num>
  <w:num w:numId="67" w16cid:durableId="1607420493">
    <w:abstractNumId w:val="29"/>
  </w:num>
  <w:num w:numId="68" w16cid:durableId="912735984">
    <w:abstractNumId w:val="32"/>
  </w:num>
  <w:num w:numId="69" w16cid:durableId="1339962140">
    <w:abstractNumId w:val="45"/>
  </w:num>
  <w:num w:numId="70" w16cid:durableId="1639451244">
    <w:abstractNumId w:val="25"/>
  </w:num>
  <w:num w:numId="71" w16cid:durableId="890385336">
    <w:abstractNumId w:val="1"/>
  </w:num>
  <w:num w:numId="72" w16cid:durableId="1406685361">
    <w:abstractNumId w:val="56"/>
  </w:num>
  <w:num w:numId="73" w16cid:durableId="1805387326">
    <w:abstractNumId w:val="53"/>
  </w:num>
  <w:num w:numId="74" w16cid:durableId="853810679">
    <w:abstractNumId w:val="23"/>
  </w:num>
  <w:num w:numId="75" w16cid:durableId="1436173329">
    <w:abstractNumId w:val="34"/>
  </w:num>
  <w:num w:numId="76" w16cid:durableId="992759715">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F0D"/>
    <w:rsid w:val="00070F50"/>
    <w:rsid w:val="00084336"/>
    <w:rsid w:val="00295351"/>
    <w:rsid w:val="00501E6B"/>
    <w:rsid w:val="00561618"/>
    <w:rsid w:val="00581DBC"/>
    <w:rsid w:val="00590F0D"/>
    <w:rsid w:val="0068050D"/>
    <w:rsid w:val="007F5710"/>
    <w:rsid w:val="009727E0"/>
    <w:rsid w:val="00977BBE"/>
    <w:rsid w:val="009A1B4A"/>
    <w:rsid w:val="00A13927"/>
    <w:rsid w:val="00A474A1"/>
    <w:rsid w:val="00A84ABC"/>
    <w:rsid w:val="00AF22A7"/>
    <w:rsid w:val="00B16D1E"/>
    <w:rsid w:val="00C87175"/>
    <w:rsid w:val="00D44660"/>
    <w:rsid w:val="00F67E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D1E8A"/>
  <w15:chartTrackingRefBased/>
  <w15:docId w15:val="{3837B3B6-0FC0-49D7-AF16-7F5B36DE5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F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0F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0F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0F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0F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0F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F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F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F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F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0F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0F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0F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0F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0F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F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F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F0D"/>
    <w:rPr>
      <w:rFonts w:eastAsiaTheme="majorEastAsia" w:cstheme="majorBidi"/>
      <w:color w:val="272727" w:themeColor="text1" w:themeTint="D8"/>
    </w:rPr>
  </w:style>
  <w:style w:type="paragraph" w:styleId="Title">
    <w:name w:val="Title"/>
    <w:basedOn w:val="Normal"/>
    <w:next w:val="Normal"/>
    <w:link w:val="TitleChar"/>
    <w:uiPriority w:val="10"/>
    <w:qFormat/>
    <w:rsid w:val="00590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F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F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F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F0D"/>
    <w:pPr>
      <w:spacing w:before="160"/>
      <w:jc w:val="center"/>
    </w:pPr>
    <w:rPr>
      <w:i/>
      <w:iCs/>
      <w:color w:val="404040" w:themeColor="text1" w:themeTint="BF"/>
    </w:rPr>
  </w:style>
  <w:style w:type="character" w:customStyle="1" w:styleId="QuoteChar">
    <w:name w:val="Quote Char"/>
    <w:basedOn w:val="DefaultParagraphFont"/>
    <w:link w:val="Quote"/>
    <w:uiPriority w:val="29"/>
    <w:rsid w:val="00590F0D"/>
    <w:rPr>
      <w:i/>
      <w:iCs/>
      <w:color w:val="404040" w:themeColor="text1" w:themeTint="BF"/>
    </w:rPr>
  </w:style>
  <w:style w:type="paragraph" w:styleId="ListParagraph">
    <w:name w:val="List Paragraph"/>
    <w:basedOn w:val="Normal"/>
    <w:uiPriority w:val="34"/>
    <w:qFormat/>
    <w:rsid w:val="00590F0D"/>
    <w:pPr>
      <w:ind w:left="720"/>
      <w:contextualSpacing/>
    </w:pPr>
  </w:style>
  <w:style w:type="character" w:styleId="IntenseEmphasis">
    <w:name w:val="Intense Emphasis"/>
    <w:basedOn w:val="DefaultParagraphFont"/>
    <w:uiPriority w:val="21"/>
    <w:qFormat/>
    <w:rsid w:val="00590F0D"/>
    <w:rPr>
      <w:i/>
      <w:iCs/>
      <w:color w:val="2F5496" w:themeColor="accent1" w:themeShade="BF"/>
    </w:rPr>
  </w:style>
  <w:style w:type="paragraph" w:styleId="IntenseQuote">
    <w:name w:val="Intense Quote"/>
    <w:basedOn w:val="Normal"/>
    <w:next w:val="Normal"/>
    <w:link w:val="IntenseQuoteChar"/>
    <w:uiPriority w:val="30"/>
    <w:qFormat/>
    <w:rsid w:val="00590F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0F0D"/>
    <w:rPr>
      <w:i/>
      <w:iCs/>
      <w:color w:val="2F5496" w:themeColor="accent1" w:themeShade="BF"/>
    </w:rPr>
  </w:style>
  <w:style w:type="character" w:styleId="IntenseReference">
    <w:name w:val="Intense Reference"/>
    <w:basedOn w:val="DefaultParagraphFont"/>
    <w:uiPriority w:val="32"/>
    <w:qFormat/>
    <w:rsid w:val="00590F0D"/>
    <w:rPr>
      <w:b/>
      <w:bCs/>
      <w:smallCaps/>
      <w:color w:val="2F5496" w:themeColor="accent1" w:themeShade="BF"/>
      <w:spacing w:val="5"/>
    </w:rPr>
  </w:style>
  <w:style w:type="character" w:styleId="Hyperlink">
    <w:name w:val="Hyperlink"/>
    <w:basedOn w:val="DefaultParagraphFont"/>
    <w:uiPriority w:val="99"/>
    <w:unhideWhenUsed/>
    <w:rsid w:val="00590F0D"/>
    <w:rPr>
      <w:color w:val="0563C1" w:themeColor="hyperlink"/>
      <w:u w:val="single"/>
    </w:rPr>
  </w:style>
  <w:style w:type="character" w:styleId="UnresolvedMention">
    <w:name w:val="Unresolved Mention"/>
    <w:basedOn w:val="DefaultParagraphFont"/>
    <w:uiPriority w:val="99"/>
    <w:semiHidden/>
    <w:unhideWhenUsed/>
    <w:rsid w:val="00590F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droneshield.com/products-on-the-move" TargetMode="External"/><Relationship Id="rId21" Type="http://schemas.openxmlformats.org/officeDocument/2006/relationships/hyperlink" Target="https://www.skyradar.com/blog/the-role-of-ai-in-air-traffic-control-a-framework-for-efficiency-scalability-and-security" TargetMode="External"/><Relationship Id="rId42" Type="http://schemas.openxmlformats.org/officeDocument/2006/relationships/hyperlink" Target="https://www.osltechnology.com/resources/how-to-choose-the-right-c2-for-drone-detection-purpose-built-vs-bundled-solutions" TargetMode="External"/><Relationship Id="rId63" Type="http://schemas.openxmlformats.org/officeDocument/2006/relationships/hyperlink" Target="https://assets.publishing.service.gov.uk/media/6419a2068fa8f547c68029d3/SAPIENT_Interface_Control_Document_v7_FINAL__fixed2_.pdf?utm_source=chatgpt.com" TargetMode="External"/><Relationship Id="rId84" Type="http://schemas.openxmlformats.org/officeDocument/2006/relationships/hyperlink" Target="https://www.eurocontrol.int/sites/default/files/2019-09/cat-048-09_2019-asterix-spec-0149-4.pdf?utm_source=chatgpt.com" TargetMode="External"/><Relationship Id="rId138" Type="http://schemas.openxmlformats.org/officeDocument/2006/relationships/theme" Target="theme/theme1.xml"/><Relationship Id="rId16" Type="http://schemas.openxmlformats.org/officeDocument/2006/relationships/hyperlink" Target="https://www.dsp.dla.mil/Programs/MOSA/" TargetMode="External"/><Relationship Id="rId107" Type="http://schemas.openxmlformats.org/officeDocument/2006/relationships/hyperlink" Target="https://tpcoe.gov.pl/download/11/634/Protectionagainstunmannedaircraftsystems.pdf?utm_source=chatgpt.com" TargetMode="External"/><Relationship Id="rId11" Type="http://schemas.openxmlformats.org/officeDocument/2006/relationships/hyperlink" Target="https://www.eurocontrol.int/sites/default/files/2021-03/cat020-asterix-mlt-messages-part-14-ed110.pdf" TargetMode="External"/><Relationship Id="rId32" Type="http://schemas.openxmlformats.org/officeDocument/2006/relationships/hyperlink" Target="https://dspnor.com/products/destreamer-lan-to-analog-legacy-format/" TargetMode="External"/><Relationship Id="rId37" Type="http://schemas.openxmlformats.org/officeDocument/2006/relationships/hyperlink" Target="https://airsentinel.ai/top-mistakes-selecting-drone-detection-vendor/" TargetMode="External"/><Relationship Id="rId53" Type="http://schemas.openxmlformats.org/officeDocument/2006/relationships/hyperlink" Target="https://www.rheinmetall.com/Rheinmetall%20Group/brochure-download/Air-Defence/D1100e0125-skyspotter-C-UAS-mobile-drone-defence.pdf" TargetMode="External"/><Relationship Id="rId58" Type="http://schemas.openxmlformats.org/officeDocument/2006/relationships/hyperlink" Target="https://www.cto.mil/wp-content/uploads/2025/03/MOSA-Implementation-Guidebook-27Feb2025-Cleared.pdf" TargetMode="External"/><Relationship Id="rId74" Type="http://schemas.openxmlformats.org/officeDocument/2006/relationships/hyperlink" Target="https://www.eurocontrol.int/sites/default/files/2019-06/asterix-part1-structure-v1.26-112000.pdf?utm_source=chatgpt.com" TargetMode="External"/><Relationship Id="rId79" Type="http://schemas.openxmlformats.org/officeDocument/2006/relationships/hyperlink" Target="https://www.eurocontrol.int/sites/default/files/2025-01/eurocontrol-asterix-cat253-v12_0.pdf?utm_source=chatgpt.com" TargetMode="External"/><Relationship Id="rId102" Type="http://schemas.openxmlformats.org/officeDocument/2006/relationships/hyperlink" Target="https://www.eurocontrol.int/publication/cat253-asterix-category-253-specification?utm_source=chatgpt.com" TargetMode="External"/><Relationship Id="rId123" Type="http://schemas.openxmlformats.org/officeDocument/2006/relationships/hyperlink" Target="https://www.cencenelec.eu/media/draft-cwa-courageous_public-enquiry.pdf" TargetMode="External"/><Relationship Id="rId128" Type="http://schemas.openxmlformats.org/officeDocument/2006/relationships/hyperlink" Target="https://www.terma.com/media/2gynbo0x/brochure-scanter-sphera-drone-detection-for-critical-infrastructure-a4.pdf" TargetMode="External"/><Relationship Id="rId5" Type="http://schemas.openxmlformats.org/officeDocument/2006/relationships/hyperlink" Target="https://www.cto.mil/wp-content/uploads/2025/03/MOSA-Implementation-Guidebook-27Feb2025-Cleared.pdf" TargetMode="External"/><Relationship Id="rId90" Type="http://schemas.openxmlformats.org/officeDocument/2006/relationships/hyperlink" Target="https://nisp.nw3.dk/coverdoc/nato-stanag4676ed1.html?utm_source=chatgpt.com" TargetMode="External"/><Relationship Id="rId95" Type="http://schemas.openxmlformats.org/officeDocument/2006/relationships/hyperlink" Target="https://www.uavnavigation.com/company/blog/interoperability-and-stanag-4586-flight-control-systems-uav-navigation-grupo-oesia?utm_source=chatgpt.com" TargetMode="External"/><Relationship Id="rId22" Type="http://schemas.openxmlformats.org/officeDocument/2006/relationships/hyperlink" Target="https://www.faa.gov/sites/faa.gov/files/Service-Based-Ref-Architecture-NAS-Automation.pdf" TargetMode="External"/><Relationship Id="rId27" Type="http://schemas.openxmlformats.org/officeDocument/2006/relationships/hyperlink" Target="https://cambridgepixel.com/products/tracking-fusion-distribution/spx-tracker-3d/?utm_source=chatgpt.com" TargetMode="External"/><Relationship Id="rId43" Type="http://schemas.openxmlformats.org/officeDocument/2006/relationships/hyperlink" Target="https://www.eurocontrol.int/sites/default/files/2020-06/eurocontrol-lssip-2019-denmark-level1.pdf?utm_source=chatgpt.com" TargetMode="External"/><Relationship Id="rId48" Type="http://schemas.openxmlformats.org/officeDocument/2006/relationships/hyperlink" Target="https://www.kongsberg.com/globalassets/kongsberg-discovery/surveillance--monitoring/dr/110-0089315c_datasheet_dr100_c-uas_feb25.pdf?utm_source=chatgpt.com" TargetMode="External"/><Relationship Id="rId64" Type="http://schemas.openxmlformats.org/officeDocument/2006/relationships/hyperlink" Target="https://github.com/mydefence/argos_api/releases?utm_source=chatgpt.com" TargetMode="External"/><Relationship Id="rId69" Type="http://schemas.openxmlformats.org/officeDocument/2006/relationships/hyperlink" Target="https://www.mindev.gov.gr/wp-content/uploads/2024/04/MS-CO-423252-C-UAS.pdf" TargetMode="External"/><Relationship Id="rId113" Type="http://schemas.openxmlformats.org/officeDocument/2006/relationships/hyperlink" Target="https://jisr-institute.org/solutions/andromeda/c4per" TargetMode="External"/><Relationship Id="rId118" Type="http://schemas.openxmlformats.org/officeDocument/2006/relationships/hyperlink" Target="https://www.droneshield.com/media/press-releases/landmark-4q25-ai-software-release" TargetMode="External"/><Relationship Id="rId134" Type="http://schemas.openxmlformats.org/officeDocument/2006/relationships/hyperlink" Target="https://assets.publishing.service.gov.uk/media/6419a2068fa8f547c68029d3/SAPIENT_Interface_Control_Document_v7_FINAL__fixed2_.pdf?utm_source=chatgpt.com" TargetMode="External"/><Relationship Id="rId80" Type="http://schemas.openxmlformats.org/officeDocument/2006/relationships/hyperlink" Target="https://certification.opengroup.org/sosa?utm_source=chatgpt.com" TargetMode="External"/><Relationship Id="rId85" Type="http://schemas.openxmlformats.org/officeDocument/2006/relationships/hyperlink" Target="https://github.com/dstl/BSI-Flex-335-v2-Test-Harness?utm_source=chatgpt.com" TargetMode="External"/><Relationship Id="rId12" Type="http://schemas.openxmlformats.org/officeDocument/2006/relationships/hyperlink" Target="https://www.eurocontrol.int/sites/default/files/content/documents/nm/asterix/20150513-asterix-cat240-v1.3.pdf" TargetMode="External"/><Relationship Id="rId17" Type="http://schemas.openxmlformats.org/officeDocument/2006/relationships/hyperlink" Target="https://assets.publishing.service.gov.uk/media/6419a2068fa8f547c68029d3/SAPIENT_Interface_Control_Document_v7_FINAL__fixed2_.pdf" TargetMode="External"/><Relationship Id="rId33" Type="http://schemas.openxmlformats.org/officeDocument/2006/relationships/hyperlink" Target="https://www.airsight.com/blog/drone-detection-solution-open-architecture-airsight" TargetMode="External"/><Relationship Id="rId38" Type="http://schemas.openxmlformats.org/officeDocument/2006/relationships/hyperlink" Target="https://d-fendsolutions.com/blog/interoperability-and-open-architecture-in-counter-uav-systems/" TargetMode="External"/><Relationship Id="rId59" Type="http://schemas.openxmlformats.org/officeDocument/2006/relationships/hyperlink" Target="https://www.gov.uk/guidance/uk-involvement-in-nato-science-and-technology-activities" TargetMode="External"/><Relationship Id="rId103" Type="http://schemas.openxmlformats.org/officeDocument/2006/relationships/hyperlink" Target="https://dspnor.com/products/scanstreamer/scanstreamer-technical-data/?utm_source=chatgpt.com" TargetMode="External"/><Relationship Id="rId108" Type="http://schemas.openxmlformats.org/officeDocument/2006/relationships/hyperlink" Target="https://www.cencenelec.eu/media/draft-cwa-courageous_public-enquiry.pdf?utm_source=chatgpt.com" TargetMode="External"/><Relationship Id="rId124" Type="http://schemas.openxmlformats.org/officeDocument/2006/relationships/hyperlink" Target="https://www.vicorpower.com/documents/datasheets/ds-SOS028x3U451y00z-VICOR.pdf" TargetMode="External"/><Relationship Id="rId129" Type="http://schemas.openxmlformats.org/officeDocument/2006/relationships/hyperlink" Target="https://cdn-uat.northropgrumman.com/-/media/Project/Northrop-Grumman/ngc/what-we-do/land/c-uas/AiON-Datasheet.pdf?rev=95f627f154a64832a061f2c5eb029d5d" TargetMode="External"/><Relationship Id="rId54" Type="http://schemas.openxmlformats.org/officeDocument/2006/relationships/hyperlink" Target="https://www.saab.com/contentassets/807c9fd369ee4baf8815fe86a0eb4c09/saab-counter-uas-solution.pdf" TargetMode="External"/><Relationship Id="rId70" Type="http://schemas.openxmlformats.org/officeDocument/2006/relationships/hyperlink" Target="https://www.eurocontrol.int/sites/default/files/2024-11/eurocontrol-2024-cuas-workshop-s4-coman.pdf?utm_source=chatgpt.com" TargetMode="External"/><Relationship Id="rId75" Type="http://schemas.openxmlformats.org/officeDocument/2006/relationships/hyperlink" Target="https://www.eurocontrol.int/sites/default/files/2019-09/cat-048-09_2019-asterix-spec-0149-4.pdf?utm_source=chatgpt.com" TargetMode="External"/><Relationship Id="rId91" Type="http://schemas.openxmlformats.org/officeDocument/2006/relationships/hyperlink" Target="https://standards.globalspec.com/std/14507140/aedp-12-1?utm_source=chatgpt.com" TargetMode="External"/><Relationship Id="rId96" Type="http://schemas.openxmlformats.org/officeDocument/2006/relationships/hyperlink" Target="https://www.rheinmetall.com/Rheinmetall%20Group/brochure-download/Air-Defence/D1100e0125-skyspotter-C-UAS-mobile-drone-defence.pdf?utm_source=chatgpt.com" TargetMode="External"/><Relationship Id="rId1" Type="http://schemas.openxmlformats.org/officeDocument/2006/relationships/numbering" Target="numbering.xml"/><Relationship Id="rId6" Type="http://schemas.openxmlformats.org/officeDocument/2006/relationships/hyperlink" Target="https://assets.publishing.service.gov.uk/media/6419a2068fa8f547c68029d3/SAPIENT_Interface_Control_Document_v7_FINAL__fixed2_.pdf" TargetMode="External"/><Relationship Id="rId23" Type="http://schemas.openxmlformats.org/officeDocument/2006/relationships/hyperlink" Target="https://www.osltechnology.com/resources/how-to-choose-the-right-c2-for-drone-detection-purpose-built-vs-bundled-solutions" TargetMode="External"/><Relationship Id="rId28" Type="http://schemas.openxmlformats.org/officeDocument/2006/relationships/hyperlink" Target="https://mydefence.com/wp-content/uploads/2024/12/Pdf-Catalog.pdf?utm_source=chatgpt.com" TargetMode="External"/><Relationship Id="rId49" Type="http://schemas.openxmlformats.org/officeDocument/2006/relationships/hyperlink" Target="https://www.unmannedairspace.info/wp-content/uploads/2022/04/Counter-UAS-directory.-April-2022.v5.pdf" TargetMode="External"/><Relationship Id="rId114" Type="http://schemas.openxmlformats.org/officeDocument/2006/relationships/hyperlink" Target="https://www.robinradar.com/hubfs/New%20Website%202024/Resources/Datasheet/IRIS%20Productsheet_070624.pdf" TargetMode="External"/><Relationship Id="rId119" Type="http://schemas.openxmlformats.org/officeDocument/2006/relationships/hyperlink" Target="https://www.dedrone.com/white-papers/counter-uas" TargetMode="External"/><Relationship Id="rId44" Type="http://schemas.openxmlformats.org/officeDocument/2006/relationships/hyperlink" Target="https://www.icao.int/sites/default/files/EURNAT/MeetingDocs/AVSEC-FAL%20workshops/2025%20Webinar%20on%20Counter%20UAS%20Guidance%20and%20State%20Challenges%20to%20Protect%20Critical%20Infrastructure/4_Counter-UAS-Webinar-Poland.pdf?utm_source=chatgpt.com" TargetMode="External"/><Relationship Id="rId60" Type="http://schemas.openxmlformats.org/officeDocument/2006/relationships/hyperlink" Target="https://www.eurocontrol.int/sites/default/files/2024-11/eurocontrol-2024-cuas-workshop-s4-coman.pdf" TargetMode="External"/><Relationship Id="rId65" Type="http://schemas.openxmlformats.org/officeDocument/2006/relationships/hyperlink" Target="https://www.eurocontrol.int/sites/default/files/2024-11/eurocontrol-2024-cuas-workshop-s4-coman.pdf" TargetMode="External"/><Relationship Id="rId81" Type="http://schemas.openxmlformats.org/officeDocument/2006/relationships/hyperlink" Target="https://certification.opengroup.org/sosa/conformance-sets?utm_source=chatgpt.com" TargetMode="External"/><Relationship Id="rId86" Type="http://schemas.openxmlformats.org/officeDocument/2006/relationships/hyperlink" Target="https://www.mitre.org/news-insights/publication/evolution-standard-stanag-4607-nato-gmti-format?utm_source=chatgpt.com" TargetMode="External"/><Relationship Id="rId130" Type="http://schemas.openxmlformats.org/officeDocument/2006/relationships/hyperlink" Target="https://www.hensoldt.net/news/first-order-for-hensoldts-in-house-ai-and-cyber-solutions" TargetMode="External"/><Relationship Id="rId135" Type="http://schemas.openxmlformats.org/officeDocument/2006/relationships/hyperlink" Target="https://mydefence.com/products/situational-awareness-system/?utm_source=chatgpt.com" TargetMode="External"/><Relationship Id="rId13" Type="http://schemas.openxmlformats.org/officeDocument/2006/relationships/hyperlink" Target="https://www.eurocontrol.int/sites/default/files/2020-12/appendixcat020pt14aed14.pdf" TargetMode="External"/><Relationship Id="rId18" Type="http://schemas.openxmlformats.org/officeDocument/2006/relationships/hyperlink" Target="https://www.eurocontrol.int/sites/default/files/2022-12/eurocontrol-cat048-pt4-ed131.pdf" TargetMode="External"/><Relationship Id="rId39" Type="http://schemas.openxmlformats.org/officeDocument/2006/relationships/hyperlink" Target="https://www.osltechnology.com/resources/how-to-choose-the-right-c2-for-drone-detection-purpose-built-vs-bundled-solutions" TargetMode="External"/><Relationship Id="rId109" Type="http://schemas.openxmlformats.org/officeDocument/2006/relationships/hyperlink" Target="https://www.cs-soprasteria.com/en/news/cs-group-successfully-participates-in-the-ncia-tie-21-counter-drone-c-uas-technical-interoperability-exercise/?utm_source=chatgpt.com" TargetMode="External"/><Relationship Id="rId34" Type="http://schemas.openxmlformats.org/officeDocument/2006/relationships/hyperlink" Target="https://d-fendsolutions.com/blog/interoperability-and-open-architecture-in-counter-uav-systems/" TargetMode="External"/><Relationship Id="rId50" Type="http://schemas.openxmlformats.org/officeDocument/2006/relationships/hyperlink" Target="https://www.vorpal-corp.com/wp-content/uploads/2018/11/The-VigilAir-Solution-for-Airports-Whitepaper-Oct-2018-V3.pdf?utm_source=chatgpt.com" TargetMode="External"/><Relationship Id="rId55" Type="http://schemas.openxmlformats.org/officeDocument/2006/relationships/hyperlink" Target="https://www.saab.com/contentassets/807c9fd369ee4baf8815fe86a0eb4c09/saab-counter-uas-solution.pdf" TargetMode="External"/><Relationship Id="rId76" Type="http://schemas.openxmlformats.org/officeDocument/2006/relationships/hyperlink" Target="https://www.eurocontrol.int/publication/cat253-asterix-category-253-specification?utm_source=chatgpt.com" TargetMode="External"/><Relationship Id="rId97" Type="http://schemas.openxmlformats.org/officeDocument/2006/relationships/hyperlink" Target="https://www.kongsberg.com/globalassets/kongsberg-discovery/surveillance--monitoring/dr/110-018818a_datasheet_dr100_s-uas_feb25.pdf?utm_source=chatgpt.com" TargetMode="External"/><Relationship Id="rId104" Type="http://schemas.openxmlformats.org/officeDocument/2006/relationships/hyperlink" Target="https://www.cto.mil/wp-content/uploads/2025/03/MOSA-Implementation-Guidebook-27Feb2025-Cleared.pdf?utm_source=chatgpt.com" TargetMode="External"/><Relationship Id="rId120" Type="http://schemas.openxmlformats.org/officeDocument/2006/relationships/hyperlink" Target="https://appraise-h2020.eu/sites/default/files/2024-01/D10.4%20Market%20Analysis.pdf" TargetMode="External"/><Relationship Id="rId125" Type="http://schemas.openxmlformats.org/officeDocument/2006/relationships/hyperlink" Target="https://www.kongsberg.com/globalassets/kongsberg-discovery/surveillance--monitoring/dr/110-0089315c_datasheet_dr100_c-uas_feb25.pdf" TargetMode="External"/><Relationship Id="rId7" Type="http://schemas.openxmlformats.org/officeDocument/2006/relationships/hyperlink" Target="https://assets.publishing.service.gov.uk/media/6419a2068fa8f547c68029d3/SAPIENT_Interface_Control_Document_v7_FINAL__fixed2_.pdf" TargetMode="External"/><Relationship Id="rId71" Type="http://schemas.openxmlformats.org/officeDocument/2006/relationships/hyperlink" Target="https://www.bsigroup.com/en-US/insights-and-media/insights/brochures/bsi-flex-335-interface-of-the-sapient-sensor-management-specification/?utm_source=chatgpt.com" TargetMode="External"/><Relationship Id="rId92" Type="http://schemas.openxmlformats.org/officeDocument/2006/relationships/hyperlink" Target="https://standards.globalspec.com/std/14507140/aedp-12-1?utm_source=chatgpt.com" TargetMode="External"/><Relationship Id="rId2" Type="http://schemas.openxmlformats.org/officeDocument/2006/relationships/styles" Target="styles.xml"/><Relationship Id="rId29" Type="http://schemas.openxmlformats.org/officeDocument/2006/relationships/hyperlink" Target="https://www.advancedradartechnologies.com/products/art-hmi?utm_source=chatgpt.com" TargetMode="External"/><Relationship Id="rId24" Type="http://schemas.openxmlformats.org/officeDocument/2006/relationships/hyperlink" Target="https://dspnor.com/products/dronnur-2d/?utm_source=chatgpt.com" TargetMode="External"/><Relationship Id="rId40" Type="http://schemas.openxmlformats.org/officeDocument/2006/relationships/hyperlink" Target="https://www.airsight.com/blog/drone-detection-solution-open-architecture-airsight" TargetMode="External"/><Relationship Id="rId45" Type="http://schemas.openxmlformats.org/officeDocument/2006/relationships/hyperlink" Target="https://www.mindev.gov.gr/wp-content/uploads/2024/04/MS-CO-423252-C-UAS.pdf?utm_source=chatgpt.com" TargetMode="External"/><Relationship Id="rId66" Type="http://schemas.openxmlformats.org/officeDocument/2006/relationships/hyperlink" Target="https://www.mindev.gov.gr/wp-content/uploads/2024/04/MS-CO-423252-C-UAS.pdf" TargetMode="External"/><Relationship Id="rId87" Type="http://schemas.openxmlformats.org/officeDocument/2006/relationships/hyperlink" Target="https://nisp.nw3.dk/coverdoc/nato-stanag4607ed3.html?utm_source=chatgpt.com" TargetMode="External"/><Relationship Id="rId110" Type="http://schemas.openxmlformats.org/officeDocument/2006/relationships/hyperlink" Target="https://www.l3harris.com/sites/default/files/2023-10/l3harris-countering-the-uav-threat-to-military-airbases.pdf" TargetMode="External"/><Relationship Id="rId115" Type="http://schemas.openxmlformats.org/officeDocument/2006/relationships/hyperlink" Target="https://www.edrmagazine.eu/dsei-2025-robin-radar-systems-deploys-the-lrm-module-for-iris-radar" TargetMode="External"/><Relationship Id="rId131" Type="http://schemas.openxmlformats.org/officeDocument/2006/relationships/hyperlink" Target="https://www.elbitsystems.com/sites/default/files/2025-02/redrone-2024_0.pdf?utm_source=chatgpt.com" TargetMode="External"/><Relationship Id="rId136" Type="http://schemas.openxmlformats.org/officeDocument/2006/relationships/hyperlink" Target="https://mydefence.com/products/situational-awareness-system/" TargetMode="External"/><Relationship Id="rId61" Type="http://schemas.openxmlformats.org/officeDocument/2006/relationships/hyperlink" Target="https://www.act.nato.int/wp-content/uploads/2025/10/rfi025102_qa-txt.pdf" TargetMode="External"/><Relationship Id="rId82" Type="http://schemas.openxmlformats.org/officeDocument/2006/relationships/hyperlink" Target="https://standards.globalspec.com/std/14474804/stanag-4676?utm_source=chatgpt.com" TargetMode="External"/><Relationship Id="rId19" Type="http://schemas.openxmlformats.org/officeDocument/2006/relationships/hyperlink" Target="https://www.eurocontrol.int/sites/default/files/2020-12/appendixcat020pt14aed14.pdf" TargetMode="External"/><Relationship Id="rId14" Type="http://schemas.openxmlformats.org/officeDocument/2006/relationships/hyperlink" Target="https://www.eurocontrol.int/sites/default/files/content/documents/nm/asterix/20150513-asterix-cat240-v1.3.pdf" TargetMode="External"/><Relationship Id="rId30" Type="http://schemas.openxmlformats.org/officeDocument/2006/relationships/hyperlink" Target="https://cambridgepixel.com/site/assets/files/7755/open-standards-for-the-provision-of-radar-video-and-tracks-white-paper.pdf" TargetMode="External"/><Relationship Id="rId35" Type="http://schemas.openxmlformats.org/officeDocument/2006/relationships/hyperlink" Target="https://www.osltechnology.com/resources/how-to-choose-the-right-c2-for-drone-detection-purpose-built-vs-bundled-solutions" TargetMode="External"/><Relationship Id="rId56" Type="http://schemas.openxmlformats.org/officeDocument/2006/relationships/hyperlink" Target="https://www.eurocontrol.int/sites/default/files/2019-06/20121016-asterix-spec-v2.0.pdf" TargetMode="External"/><Relationship Id="rId77" Type="http://schemas.openxmlformats.org/officeDocument/2006/relationships/hyperlink" Target="https://www.eurocontrol.int/publication/cat253-asterix-category-253-specification?utm_source=chatgpt.com" TargetMode="External"/><Relationship Id="rId100" Type="http://schemas.openxmlformats.org/officeDocument/2006/relationships/hyperlink" Target="https://www.defenseadvancement.com/feature/echodyne-highlights-mesa-radar-technology-at-dsei-2025/?utm_source=chatgpt.com" TargetMode="External"/><Relationship Id="rId105" Type="http://schemas.openxmlformats.org/officeDocument/2006/relationships/hyperlink" Target="https://www.mrcy.com/company/blogs/why-sosa-driving-future-course-embedded-military-electronics?utm_source=chatgpt.com" TargetMode="External"/><Relationship Id="rId126" Type="http://schemas.openxmlformats.org/officeDocument/2006/relationships/hyperlink" Target="https://www.robinradar.com/hubfs/New%20Website%202024/Resources/Datasheet/IRIS%20Productsheet_070624.pdf" TargetMode="External"/><Relationship Id="rId8" Type="http://schemas.openxmlformats.org/officeDocument/2006/relationships/hyperlink" Target="https://www.eurocontrol.int/sites/default/files/2020-12/appendixcat020pt14aed14.pdf" TargetMode="External"/><Relationship Id="rId51" Type="http://schemas.openxmlformats.org/officeDocument/2006/relationships/hyperlink" Target="https://cambridgepixel.com/site/assets/files/7476/cambridge-pixel-product-summary-brochure-cp-16-110-103.pdf?utm_source=chatgpt.com" TargetMode="External"/><Relationship Id="rId72" Type="http://schemas.openxmlformats.org/officeDocument/2006/relationships/hyperlink" Target="https://github.com/dstl/BSI-Flex-335-v2-Test-Harness?utm_source=chatgpt.com" TargetMode="External"/><Relationship Id="rId93" Type="http://schemas.openxmlformats.org/officeDocument/2006/relationships/hyperlink" Target="https://publications.sto.nato.int/publications/STO%20Educational%20Notes/STO-EN-SCI-271/EN-SCI-271-03.pdf?utm_source=chatgpt.com" TargetMode="External"/><Relationship Id="rId98" Type="http://schemas.openxmlformats.org/officeDocument/2006/relationships/hyperlink" Target="https://www.robinradar.com/news-events/the-power-of-a-complete-counter-drone-solution-natotie23?utm_source=chatgpt.com" TargetMode="External"/><Relationship Id="rId121" Type="http://schemas.openxmlformats.org/officeDocument/2006/relationships/hyperlink" Target="https://appraise-h2020.eu/sites/default/files/2024-01/D10.4%20Market%20Analysis.pdf" TargetMode="External"/><Relationship Id="rId3" Type="http://schemas.openxmlformats.org/officeDocument/2006/relationships/settings" Target="settings.xml"/><Relationship Id="rId25" Type="http://schemas.openxmlformats.org/officeDocument/2006/relationships/hyperlink" Target="https://www.kongsberg.com/globalassets/kongsberg-discovery/surveillance--monitoring/dr/110-0089315c_datasheet_dr100_c-uas_feb25.pdf?utm_source=chatgpt.com" TargetMode="External"/><Relationship Id="rId46" Type="http://schemas.openxmlformats.org/officeDocument/2006/relationships/hyperlink" Target="https://www.ncia.nato.int/systems/file_download.ashx?pg=2524&amp;ver=1&amp;utm_source=chatgpt.com" TargetMode="External"/><Relationship Id="rId67" Type="http://schemas.openxmlformats.org/officeDocument/2006/relationships/hyperlink" Target="https://www.act.nato.int/wp-content/uploads/2025/10/rfi025102_qa-txt.pdf" TargetMode="External"/><Relationship Id="rId116" Type="http://schemas.openxmlformats.org/officeDocument/2006/relationships/hyperlink" Target="https://www.epicos.com/sites/default/files/robinradar-brochure-dronedetectie-lr-nov-2018.pdf?utm_source=chatgpt.com" TargetMode="External"/><Relationship Id="rId137" Type="http://schemas.openxmlformats.org/officeDocument/2006/relationships/fontTable" Target="fontTable.xml"/><Relationship Id="rId20" Type="http://schemas.openxmlformats.org/officeDocument/2006/relationships/hyperlink" Target="https://euro-sd.com/2024/10/articles/40766/moving-the-mountain/" TargetMode="External"/><Relationship Id="rId41" Type="http://schemas.openxmlformats.org/officeDocument/2006/relationships/hyperlink" Target="https://airsentinel.ai/top-mistakes-selecting-drone-detection-vendor/" TargetMode="External"/><Relationship Id="rId62" Type="http://schemas.openxmlformats.org/officeDocument/2006/relationships/hyperlink" Target="https://www.belspo.be/belspo/defra/call_2025_fr.stm?utm_source=chatgpt.com" TargetMode="External"/><Relationship Id="rId83" Type="http://schemas.openxmlformats.org/officeDocument/2006/relationships/hyperlink" Target="https://www.bsigroup.com/en-GB/insights-and-media/insights/brochures/bsi-flex-335-interface-of-the-sapient-sensor-management-specification/?utm_source=chatgpt.com" TargetMode="External"/><Relationship Id="rId88" Type="http://schemas.openxmlformats.org/officeDocument/2006/relationships/hyperlink" Target="https://www.mitre.org/news-insights/publication/evolution-standard-stanag-4607-nato-gmti-format?utm_source=chatgpt.com" TargetMode="External"/><Relationship Id="rId111" Type="http://schemas.openxmlformats.org/officeDocument/2006/relationships/hyperlink" Target="https://ndia.dtic.mil/wp-content/uploads/2024/eti/Supplee.pdf" TargetMode="External"/><Relationship Id="rId132" Type="http://schemas.openxmlformats.org/officeDocument/2006/relationships/hyperlink" Target="https://bin.yhdistysavain.fi/1601152/a4IsOxN7EZk9MuFo1n6c0bjm5l/Ilmatorjunta_3-2024.pdf" TargetMode="External"/><Relationship Id="rId15" Type="http://schemas.openxmlformats.org/officeDocument/2006/relationships/hyperlink" Target="https://www.dsp.dla.mil/Programs/MOSA/" TargetMode="External"/><Relationship Id="rId36" Type="http://schemas.openxmlformats.org/officeDocument/2006/relationships/hyperlink" Target="https://www.osltechnology.com/resources/how-to-choose-the-right-c2-for-drone-detection-purpose-built-vs-bundled-solutions" TargetMode="External"/><Relationship Id="rId57" Type="http://schemas.openxmlformats.org/officeDocument/2006/relationships/hyperlink" Target="https://www.eurocontrol.int/sites/default/files/2025-01/eurocontrol-asterix-cat253-v12_0.pdf?utm_source=chatgpt.com" TargetMode="External"/><Relationship Id="rId106" Type="http://schemas.openxmlformats.org/officeDocument/2006/relationships/hyperlink" Target="https://certification.opengroup.org/sosa/conformance-sets?utm_source=chatgpt.com" TargetMode="External"/><Relationship Id="rId127" Type="http://schemas.openxmlformats.org/officeDocument/2006/relationships/hyperlink" Target="https://www.terma.com/media/jn1losy5/brochure-scanter-sphera-bases-and-borders-a4.pdf" TargetMode="External"/><Relationship Id="rId10" Type="http://schemas.openxmlformats.org/officeDocument/2006/relationships/hyperlink" Target="https://www.eurocontrol.int/sites/default/files/2025-06/asterix-cat062-system-track-data-p9-ed1-21.pdf" TargetMode="External"/><Relationship Id="rId31" Type="http://schemas.openxmlformats.org/officeDocument/2006/relationships/hyperlink" Target="https://cambridgepixel.com/site/assets/files/7755/open-standards-for-the-provision-of-radar-video-and-tracks-white-paper.pdf" TargetMode="External"/><Relationship Id="rId52" Type="http://schemas.openxmlformats.org/officeDocument/2006/relationships/hyperlink" Target="https://cambridgepixel.com/site/assets/files/7469/spx-tracker-3d-datasheet-cp-16-502-01.pdf?utm_source=chatgpt.com" TargetMode="External"/><Relationship Id="rId73" Type="http://schemas.openxmlformats.org/officeDocument/2006/relationships/hyperlink" Target="https://www.act.nato.int/wp-content/uploads/2025/10/rfi025102_qa-txt.pdf?utm_source=chatgpt.com" TargetMode="External"/><Relationship Id="rId78" Type="http://schemas.openxmlformats.org/officeDocument/2006/relationships/hyperlink" Target="https://www.eurocontrol.int/sites/default/files/2019-09/cat-048-09_2019-asterix-spec-0149-4.pdf?utm_source=chatgpt.com" TargetMode="External"/><Relationship Id="rId94" Type="http://schemas.openxmlformats.org/officeDocument/2006/relationships/hyperlink" Target="https://nisp.nw3.dk/coverdoc/nato-stanag4586ed4.html?utm_source=chatgpt.com" TargetMode="External"/><Relationship Id="rId99" Type="http://schemas.openxmlformats.org/officeDocument/2006/relationships/hyperlink" Target="https://www.epicos.com/sites/default/files/robinradar-brochure-dronedetectie-lr-nov-2018.pdf?utm_source=chatgpt.com" TargetMode="External"/><Relationship Id="rId101" Type="http://schemas.openxmlformats.org/officeDocument/2006/relationships/hyperlink" Target="https://www.elbitsystems.com/sites/default/files/2025-02/redrone-2024_0.pdf?utm_source=chatgpt.com" TargetMode="External"/><Relationship Id="rId122" Type="http://schemas.openxmlformats.org/officeDocument/2006/relationships/hyperlink" Target="https://www.cencenelec.eu/media/draft-cwa-courageous_public-enquiry.pdf" TargetMode="External"/><Relationship Id="rId4" Type="http://schemas.openxmlformats.org/officeDocument/2006/relationships/webSettings" Target="webSettings.xml"/><Relationship Id="rId9" Type="http://schemas.openxmlformats.org/officeDocument/2006/relationships/hyperlink" Target="https://www.eurocontrol.int/sites/default/files/2022-12/eurocontrol-cat048-pt4-ed131.pdf" TargetMode="External"/><Relationship Id="rId26" Type="http://schemas.openxmlformats.org/officeDocument/2006/relationships/hyperlink" Target="https://navtechradar.com/innovation_lab/ia-autonomous-vessel-small-object-detection/?utm_source=chatgpt.com" TargetMode="External"/><Relationship Id="rId47" Type="http://schemas.openxmlformats.org/officeDocument/2006/relationships/hyperlink" Target="https://www.act.nato.int/wp-content/uploads/2025/10/rfi025102_qa-txt.pdf?utm_source=chatgpt.com" TargetMode="External"/><Relationship Id="rId68" Type="http://schemas.openxmlformats.org/officeDocument/2006/relationships/hyperlink" Target="https://github.com/mydefence/argos_api/releases?utm_source=chatgpt.com" TargetMode="External"/><Relationship Id="rId89" Type="http://schemas.openxmlformats.org/officeDocument/2006/relationships/hyperlink" Target="https://standards.globalspec.com/std/14474804/stanag-4676?utm_source=chatgpt.com" TargetMode="External"/><Relationship Id="rId112" Type="http://schemas.openxmlformats.org/officeDocument/2006/relationships/hyperlink" Target="https://ndia.dtic.mil/wp-content/uploads/2024/eti/Supplee.pdf" TargetMode="External"/><Relationship Id="rId133" Type="http://schemas.openxmlformats.org/officeDocument/2006/relationships/hyperlink" Target="https://cambridgepixel.com/resources/radar-terminology/asterix-cat-240/?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31</Pages>
  <Words>10783</Words>
  <Characters>61467</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Moks</dc:creator>
  <cp:keywords/>
  <dc:description/>
  <cp:lastModifiedBy>Andres Moks</cp:lastModifiedBy>
  <cp:revision>8</cp:revision>
  <dcterms:created xsi:type="dcterms:W3CDTF">2025-12-28T13:12:00Z</dcterms:created>
  <dcterms:modified xsi:type="dcterms:W3CDTF">2025-12-29T08:08:00Z</dcterms:modified>
</cp:coreProperties>
</file>