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fac727d92984f9a61a4f8cd075c6d46b5dc42584.png"/>
            <a:graphic>
              <a:graphicData uri="http://schemas.openxmlformats.org/drawingml/2006/picture">
                <pic:pic>
                  <pic:nvPicPr>
                    <pic:cNvPr id="1" name="image-fac727d92984f9a61a4f8cd075c6d46b5dc42584.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find_more_examples_where_counter_c15581"/>
      <w:r>
        <w:rPr>
          <w:rFonts w:eastAsia="inter" w:cs="inter" w:ascii="inter" w:hAnsi="inter"/>
          <w:b/>
          <w:color w:val="000000"/>
          <w:sz w:val="39"/>
        </w:rPr>
        <w:t xml:space="preserve">find more examples where counter-uav solutions vendors have already used it to lock in. find examples with quotes that I could refer to. (very good example is Denmark project mentioned PREVIOUSLY) . if possible, find a standard or protocol that caused this warning! (focus on ASTERIX, SAPIENT, MOSA, SOSA). try to find more recent. examples from law enforcement or aviation.</w:t>
      </w:r>
      <w:bookmarkEnd w:id="0"/>
    </w:p>
    <w:p>
      <w:pPr>
        <w:spacing w:line="360" w:after="210" w:lineRule="auto"/>
      </w:pPr>
      <w:r>
        <w:rPr>
          <w:rFonts w:eastAsia="inter" w:cs="inter" w:ascii="inter" w:hAnsi="inter"/>
          <w:color w:val="000000"/>
        </w:rPr>
        <w:t xml:space="preserve">This report details examples of vendor lock-in in the Counter-UAS (C-UAS) market, contrasting them with the "Denmark Project" (DALO/Terma) mentioned previously. It also identifies the specific protocols and standards central to this issue.</w:t>
      </w:r>
    </w:p>
    <w:p>
      <w:pPr>
        <w:spacing w:line="360" w:before="315" w:after="105" w:lineRule="auto"/>
        <w:ind w:left="-30"/>
        <w:jc w:val="left"/>
      </w:pPr>
      <w:bookmarkStart w:id="1" w:name="bm_1_the_protocol_that_caused_the_919c05"/>
      <w:r>
        <w:rPr>
          <w:rFonts w:eastAsia="inter" w:cs="inter" w:ascii="inter" w:hAnsi="inter"/>
          <w:b/>
          <w:color w:val="000000"/>
          <w:sz w:val="24"/>
        </w:rPr>
        <w:t xml:space="preserve">1. The Protocol That "Caused the Warning"</w:t>
      </w:r>
      <w:bookmarkEnd w:id="1"/>
    </w:p>
    <w:p>
      <w:pPr>
        <w:spacing w:line="360" w:after="210" w:lineRule="auto"/>
      </w:pPr>
      <w:r>
        <w:rPr>
          <w:rFonts w:eastAsia="inter" w:cs="inter" w:ascii="inter" w:hAnsi="inter"/>
          <w:color w:val="000000"/>
        </w:rPr>
        <w:t xml:space="preserve">The "warning" issued by bodies like NATO and the UK Centre for the Protection of National Infrastructure (CPNI/NPSA) was largely triggered by the widespread reliance on </w:t>
      </w:r>
      <w:r>
        <w:rPr>
          <w:rFonts w:eastAsia="inter" w:cs="inter" w:ascii="inter" w:hAnsi="inter"/>
          <w:b/>
          <w:color w:val="000000"/>
        </w:rPr>
        <w:t xml:space="preserve">Proprietary Interface Control Documents (ICDs)</w:t>
      </w:r>
      <w:r>
        <w:rPr>
          <w:rFonts w:eastAsia="inter" w:cs="inter" w:ascii="inter" w:hAnsi="inter"/>
          <w:color w:val="000000"/>
        </w:rPr>
        <w:t xml:space="preserve"> and the misuse of the </w:t>
      </w:r>
      <w:r>
        <w:rPr>
          <w:rFonts w:eastAsia="inter" w:cs="inter" w:ascii="inter" w:hAnsi="inter"/>
          <w:b/>
          <w:color w:val="000000"/>
        </w:rPr>
        <w:t xml:space="preserve">ASTERIX</w:t>
      </w:r>
      <w:r>
        <w:rPr>
          <w:rFonts w:eastAsia="inter" w:cs="inter" w:ascii="inter" w:hAnsi="inter"/>
          <w:color w:val="000000"/>
        </w:rPr>
        <w:t xml:space="preserve"> standard.</w:t>
      </w:r>
    </w:p>
    <w:p>
      <w:pPr>
        <w:spacing w:line="360" w:after="210" w:lineRule="auto"/>
      </w:pPr>
      <w:r>
        <w:rPr>
          <w:rFonts w:eastAsia="inter" w:cs="inter" w:ascii="inter" w:hAnsi="inter"/>
          <w:color w:val="000000"/>
        </w:rPr>
        <w:t xml:space="preserve">While </w:t>
      </w:r>
      <w:r>
        <w:rPr>
          <w:rFonts w:eastAsia="inter" w:cs="inter" w:ascii="inter" w:hAnsi="inter"/>
          <w:b/>
          <w:color w:val="000000"/>
        </w:rPr>
        <w:t xml:space="preserve">ASTERIX</w:t>
      </w:r>
      <w:r>
        <w:rPr>
          <w:rFonts w:eastAsia="inter" w:cs="inter" w:ascii="inter" w:hAnsi="inter"/>
          <w:color w:val="000000"/>
        </w:rPr>
        <w:t xml:space="preserve"> (All Purpose Structured Eurocontrol Surveillance Information Exchange) is an open standard, its limitations for drone warfare created a loophole that vendors exploited to create lock-in.</w:t>
      </w:r>
    </w:p>
    <w:p>
      <w:pPr>
        <w:numPr>
          <w:ilvl w:val="0"/>
          <w:numId w:val="1"/>
        </w:numPr>
        <w:spacing w:line="360" w:before="105" w:after="105" w:lineRule="auto"/>
      </w:pPr>
      <w:r>
        <w:rPr>
          <w:rFonts w:eastAsia="inter" w:cs="inter" w:ascii="inter" w:hAnsi="inter"/>
          <w:b/>
          <w:color w:val="000000"/>
          <w:sz w:val="21"/>
        </w:rPr>
        <w:t xml:space="preserve">The Trap (ASTERIX Cat 048 Misuse):</w:t>
      </w:r>
      <w:r>
        <w:rPr>
          <w:rFonts w:eastAsia="inter" w:cs="inter" w:ascii="inter" w:hAnsi="inter"/>
          <w:color w:val="000000"/>
          <w:sz w:val="21"/>
        </w:rPr>
        <w:t xml:space="preserve"> The traditional standard for radars is </w:t>
      </w:r>
      <w:r>
        <w:rPr>
          <w:rFonts w:eastAsia="inter" w:cs="inter" w:ascii="inter" w:hAnsi="inter"/>
          <w:b/>
          <w:color w:val="000000"/>
          <w:sz w:val="21"/>
        </w:rPr>
        <w:t xml:space="preserve">ASTERIX Category 048</w:t>
      </w:r>
      <w:r>
        <w:rPr>
          <w:rFonts w:eastAsia="inter" w:cs="inter" w:ascii="inter" w:hAnsi="inter"/>
          <w:color w:val="000000"/>
          <w:sz w:val="21"/>
        </w:rPr>
        <w:t xml:space="preserve"> (Monoradar Target Reports). However, Cat 048 was designed for airplanes, not drones. It lacks standard fields for critical drone data like "Drone ID," "RF Signature," or "Confidence Level."</w:t>
      </w:r>
    </w:p>
    <w:p>
      <w:pPr>
        <w:numPr>
          <w:ilvl w:val="0"/>
          <w:numId w:val="1"/>
        </w:numPr>
        <w:spacing w:line="360" w:before="105" w:after="105" w:lineRule="auto"/>
      </w:pPr>
      <w:r>
        <w:rPr>
          <w:rFonts w:eastAsia="inter" w:cs="inter" w:ascii="inter" w:hAnsi="inter"/>
          <w:b/>
          <w:color w:val="000000"/>
          <w:sz w:val="21"/>
        </w:rPr>
        <w:t xml:space="preserve">How Lock-In Happens:</w:t>
      </w:r>
      <w:r>
        <w:rPr>
          <w:rFonts w:eastAsia="inter" w:cs="inter" w:ascii="inter" w:hAnsi="inter"/>
          <w:color w:val="000000"/>
          <w:sz w:val="21"/>
        </w:rPr>
        <w:t xml:space="preserve"> To transmit this extra data, vendors used </w:t>
      </w:r>
      <w:r>
        <w:rPr>
          <w:rFonts w:eastAsia="inter" w:cs="inter" w:ascii="inter" w:hAnsi="inter"/>
          <w:b/>
          <w:color w:val="000000"/>
          <w:sz w:val="21"/>
        </w:rPr>
        <w:t xml:space="preserve">"User Defined"</w:t>
      </w:r>
      <w:r>
        <w:rPr>
          <w:rFonts w:eastAsia="inter" w:cs="inter" w:ascii="inter" w:hAnsi="inter"/>
          <w:color w:val="000000"/>
          <w:sz w:val="21"/>
        </w:rPr>
        <w:t xml:space="preserve"> or </w:t>
      </w:r>
      <w:r>
        <w:rPr>
          <w:rFonts w:eastAsia="inter" w:cs="inter" w:ascii="inter" w:hAnsi="inter"/>
          <w:b/>
          <w:color w:val="000000"/>
          <w:sz w:val="21"/>
        </w:rPr>
        <w:t xml:space="preserve">"Reserved"</w:t>
      </w:r>
      <w:r>
        <w:rPr>
          <w:rFonts w:eastAsia="inter" w:cs="inter" w:ascii="inter" w:hAnsi="inter"/>
          <w:color w:val="000000"/>
          <w:sz w:val="21"/>
        </w:rPr>
        <w:t xml:space="preserve"> fields within the ASTERIX message. Since only their own Command &amp; Control (C2) software knew how to decode these proprietary extensions, the customer was locked into buying the same vendor's software forever. If they switched C2 providers, the radar data became unreadable.</w:t>
      </w:r>
    </w:p>
    <w:p>
      <w:pPr>
        <w:spacing w:line="360" w:after="210" w:lineRule="auto"/>
        <w:ind w:left="630"/>
      </w:pPr>
      <w:r>
        <w:rPr>
          <w:rFonts w:eastAsia="inter" w:cs="inter" w:ascii="inter" w:hAnsi="inter"/>
          <w:b/>
          <w:color w:val="000000"/>
        </w:rPr>
        <w:t xml:space="preserve">Quote on the Standard:</w:t>
      </w:r>
      <w:r>
        <w:rPr>
          <w:rFonts w:eastAsia="inter" w:cs="inter" w:ascii="inter" w:hAnsi="inter"/>
          <w:color w:val="000000"/>
        </w:rPr>
        <w:br w:type="textWrapping"/>
      </w:r>
      <w:r>
        <w:rPr>
          <w:rFonts w:eastAsia="inter" w:cs="inter" w:ascii="inter" w:hAnsi="inter"/>
          <w:i/>
          <w:color w:val="000000"/>
        </w:rPr>
        <w:t xml:space="preserve">"The challenge for future C-UAS capabilities is... a distributed, resilient, and scalable C4ISR architecture that fuses multiple ISR sources. [Without this], agencies struggle to coordinate their activities... leading to the '17 screens' problem."</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Frequentis &amp; NATO Lessons from Ukraine</w:t>
      </w:r>
      <w:bookmarkStart w:id="2" w:name="fnref1"/>
      <w:bookmarkEnd w:id="2"/>
      <w:hyperlink w:anchor="fn1">
        <w:r>
          <w:rPr>
            <w:rFonts w:eastAsia="inter" w:cs="inter" w:ascii="inter" w:hAnsi="inter"/>
            <w:color w:val="#000"/>
            <w:u w:val="single"/>
            <w:vertAlign w:val="superscript"/>
          </w:rPr>
          <w:t xml:space="preserve">[1]</w:t>
        </w:r>
      </w:hyperlink>
      <w:bookmarkStart w:id="3" w:name="fnref2"/>
      <w:bookmarkEnd w:id="3"/>
      <w:hyperlink w:anchor="fn2">
        <w:r>
          <w:rPr>
            <w:rFonts w:eastAsia="inter" w:cs="inter" w:ascii="inter" w:hAnsi="inter"/>
            <w:color w:val="#000"/>
            <w:u w:val="single"/>
            <w:vertAlign w:val="superscript"/>
          </w:rPr>
          <w:t xml:space="preserve">[2]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bm_2_examples_of_vendor_lock_in_a_72d801"/>
      <w:r>
        <w:rPr>
          <w:rFonts w:eastAsia="inter" w:cs="inter" w:ascii="inter" w:hAnsi="inter"/>
          <w:b/>
          <w:color w:val="000000"/>
          <w:sz w:val="24"/>
        </w:rPr>
        <w:t xml:space="preserve">2. Examples of Vendor Lock-In (Aviation &amp; Law Enforcement)</w:t>
      </w:r>
      <w:bookmarkEnd w:id="4"/>
    </w:p>
    <w:p>
      <w:pPr>
        <w:spacing w:line="360" w:after="210" w:lineRule="auto"/>
      </w:pPr>
      <w:r>
        <w:rPr>
          <w:rFonts w:eastAsia="inter" w:cs="inter" w:ascii="inter" w:hAnsi="inter"/>
          <w:color w:val="000000"/>
        </w:rPr>
        <w:t xml:space="preserve">Below are specific examples where proprietary protocols or "walled garden" architectures created operational failures or severe dependencies.</w:t>
      </w:r>
    </w:p>
    <w:p>
      <w:pPr>
        <w:spacing w:line="360" w:before="315" w:after="105" w:lineRule="auto"/>
        <w:ind w:left="-30"/>
        <w:jc w:val="left"/>
      </w:pPr>
      <w:bookmarkStart w:id="5" w:name="a_the_gatwick_incident_response_a_45c9da"/>
      <w:r>
        <w:rPr>
          <w:rFonts w:eastAsia="inter" w:cs="inter" w:ascii="inter" w:hAnsi="inter"/>
          <w:b/>
          <w:color w:val="000000"/>
          <w:sz w:val="24"/>
        </w:rPr>
        <w:t xml:space="preserve">A. The "Gatwick Incident" Response (Aviation/Law Enforcement)</w:t>
      </w:r>
      <w:bookmarkEnd w:id="5"/>
    </w:p>
    <w:p>
      <w:pPr>
        <w:spacing w:line="360" w:after="210" w:lineRule="auto"/>
      </w:pPr>
      <w:r>
        <w:rPr>
          <w:rFonts w:eastAsia="inter" w:cs="inter" w:ascii="inter" w:hAnsi="inter"/>
          <w:color w:val="000000"/>
        </w:rPr>
        <w:t xml:space="preserve">Following the 2018 Gatwick drone sightings, the UK rushed to procure C-UAS equipment. The initial response relied on disjointed, proprietary systems that could not share data, leading to the infamous "swivel chair integration" where operators had to physically turn between different screens.</w:t>
      </w:r>
    </w:p>
    <w:p>
      <w:pPr>
        <w:numPr>
          <w:ilvl w:val="0"/>
          <w:numId w:val="2"/>
        </w:numPr>
        <w:spacing w:line="360" w:before="105" w:after="105" w:lineRule="auto"/>
      </w:pPr>
      <w:r>
        <w:rPr>
          <w:rFonts w:eastAsia="inter" w:cs="inter" w:ascii="inter" w:hAnsi="inter"/>
          <w:b/>
          <w:color w:val="000000"/>
          <w:sz w:val="21"/>
        </w:rPr>
        <w:t xml:space="preserve">The Lock-In:</w:t>
      </w:r>
      <w:r>
        <w:rPr>
          <w:rFonts w:eastAsia="inter" w:cs="inter" w:ascii="inter" w:hAnsi="inter"/>
          <w:color w:val="000000"/>
          <w:sz w:val="21"/>
        </w:rPr>
        <w:t xml:space="preserve"> The airport initially deployed the </w:t>
      </w:r>
      <w:r>
        <w:rPr>
          <w:rFonts w:eastAsia="inter" w:cs="inter" w:ascii="inter" w:hAnsi="inter"/>
          <w:b/>
          <w:color w:val="000000"/>
          <w:sz w:val="21"/>
        </w:rPr>
        <w:t xml:space="preserve">AUDS (Anti-UAV Defence System)</w:t>
      </w:r>
      <w:r>
        <w:rPr>
          <w:rFonts w:eastAsia="inter" w:cs="inter" w:ascii="inter" w:hAnsi="inter"/>
          <w:color w:val="000000"/>
          <w:sz w:val="21"/>
        </w:rPr>
        <w:t xml:space="preserve">, a bundled solution (Blighter Radar + Chess Dynamics Camera + ECS Jammer). While effective as a unit, it was a "black box." When the airport later wanted to add </w:t>
      </w:r>
      <w:r>
        <w:rPr>
          <w:rFonts w:eastAsia="inter" w:cs="inter" w:ascii="inter" w:hAnsi="inter"/>
          <w:b/>
          <w:color w:val="000000"/>
          <w:sz w:val="21"/>
        </w:rPr>
        <w:t xml:space="preserve">Metis Aerospace's Skyperion</w:t>
      </w:r>
      <w:r>
        <w:rPr>
          <w:rFonts w:eastAsia="inter" w:cs="inter" w:ascii="inter" w:hAnsi="inter"/>
          <w:color w:val="000000"/>
          <w:sz w:val="21"/>
        </w:rPr>
        <w:t xml:space="preserve"> (RF sensor) to detecting drone pilots, it required complex, non-standard integration because the systems lacked a common language like SAPIENT.</w:t>
      </w:r>
    </w:p>
    <w:p>
      <w:pPr>
        <w:numPr>
          <w:ilvl w:val="0"/>
          <w:numId w:val="2"/>
        </w:numPr>
        <w:spacing w:line="360" w:before="105" w:after="105" w:lineRule="auto"/>
      </w:pPr>
      <w:r>
        <w:rPr>
          <w:rFonts w:eastAsia="inter" w:cs="inter" w:ascii="inter" w:hAnsi="inter"/>
          <w:b/>
          <w:color w:val="000000"/>
          <w:sz w:val="21"/>
        </w:rPr>
        <w:t xml:space="preserve">Result:</w:t>
      </w:r>
      <w:r>
        <w:rPr>
          <w:rFonts w:eastAsia="inter" w:cs="inter" w:ascii="inter" w:hAnsi="inter"/>
          <w:color w:val="000000"/>
          <w:sz w:val="21"/>
        </w:rPr>
        <w:t xml:space="preserve"> This fragmentation forced the UK MoD to later mandate </w:t>
      </w:r>
      <w:r>
        <w:rPr>
          <w:rFonts w:eastAsia="inter" w:cs="inter" w:ascii="inter" w:hAnsi="inter"/>
          <w:b/>
          <w:color w:val="000000"/>
          <w:sz w:val="21"/>
        </w:rPr>
        <w:t xml:space="preserve">SAPIENT</w:t>
      </w:r>
      <w:r>
        <w:rPr>
          <w:rFonts w:eastAsia="inter" w:cs="inter" w:ascii="inter" w:hAnsi="inter"/>
          <w:color w:val="000000"/>
          <w:sz w:val="21"/>
        </w:rPr>
        <w:t xml:space="preserve"> (Sensing for Asset Protection with Integrated Electronic Networked Technology) to prevent this scenario from repeating.</w:t>
      </w:r>
    </w:p>
    <w:p>
      <w:pPr>
        <w:spacing w:line="360" w:after="210" w:lineRule="auto"/>
        <w:ind w:left="630"/>
      </w:pPr>
      <w:r>
        <w:rPr>
          <w:rFonts w:eastAsia="inter" w:cs="inter" w:ascii="inter" w:hAnsi="inter"/>
          <w:b/>
          <w:color w:val="000000"/>
        </w:rPr>
        <w:t xml:space="preserve">Quote:</w:t>
      </w:r>
      <w:r>
        <w:rPr>
          <w:rFonts w:eastAsia="inter" w:cs="inter" w:ascii="inter" w:hAnsi="inter"/>
          <w:color w:val="000000"/>
        </w:rPr>
        <w:br w:type="textWrapping"/>
      </w:r>
      <w:r>
        <w:rPr>
          <w:rFonts w:eastAsia="inter" w:cs="inter" w:ascii="inter" w:hAnsi="inter"/>
          <w:i/>
          <w:color w:val="000000"/>
        </w:rPr>
        <w:t xml:space="preserve">"Even when drones can be successfully detected, incident handling is fragmented today... Automated risk analysis may lead to a decision to close the airport... but agencies struggle to coordinate their activities at speed and across large areas."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Frequentis Whitepaper on Airport C-UAS</w:t>
      </w:r>
      <w:bookmarkStart w:id="6" w:name="fnref1_1"/>
      <w:bookmarkEnd w:id="6"/>
      <w:hyperlink w:anchor="fn1">
        <w:r>
          <w:rPr>
            <w:rFonts w:eastAsia="inter" w:cs="inter" w:ascii="inter" w:hAnsi="inter"/>
            <w:color w:val="#000"/>
            <w:u w:val="single"/>
            <w:vertAlign w:val="superscript"/>
          </w:rPr>
          <w:t xml:space="preserve">[1]</w:t>
        </w:r>
      </w:hyperlink>
    </w:p>
    <w:p>
      <w:pPr>
        <w:spacing w:line="360" w:before="315" w:after="105" w:lineRule="auto"/>
        <w:ind w:left="-30"/>
        <w:jc w:val="left"/>
      </w:pPr>
      <w:bookmarkStart w:id="7" w:name="b_dji_aeroscope_the_walled_garden_eb5591"/>
      <w:r>
        <w:rPr>
          <w:rFonts w:eastAsia="inter" w:cs="inter" w:ascii="inter" w:hAnsi="inter"/>
          <w:b/>
          <w:color w:val="000000"/>
          <w:sz w:val="24"/>
        </w:rPr>
        <w:t xml:space="preserve">B. DJI AeroScope (The "Walled Garden" Example)</w:t>
      </w:r>
      <w:bookmarkEnd w:id="7"/>
    </w:p>
    <w:p>
      <w:pPr>
        <w:spacing w:line="360" w:after="210" w:lineRule="auto"/>
      </w:pPr>
      <w:r>
        <w:rPr>
          <w:rFonts w:eastAsia="inter" w:cs="inter" w:ascii="inter" w:hAnsi="inter"/>
          <w:color w:val="000000"/>
        </w:rPr>
        <w:t xml:space="preserve">Before the widespread adoption of Remote ID, </w:t>
      </w:r>
      <w:r>
        <w:rPr>
          <w:rFonts w:eastAsia="inter" w:cs="inter" w:ascii="inter" w:hAnsi="inter"/>
          <w:b/>
          <w:color w:val="000000"/>
        </w:rPr>
        <w:t xml:space="preserve">DJI AeroScope</w:t>
      </w:r>
      <w:r>
        <w:rPr>
          <w:rFonts w:eastAsia="inter" w:cs="inter" w:ascii="inter" w:hAnsi="inter"/>
          <w:color w:val="000000"/>
        </w:rPr>
        <w:t xml:space="preserve"> was the only system that could reliably track DJI drones (90% of the market).</w:t>
      </w:r>
    </w:p>
    <w:p>
      <w:pPr>
        <w:numPr>
          <w:ilvl w:val="0"/>
          <w:numId w:val="3"/>
        </w:numPr>
        <w:spacing w:line="360" w:before="105" w:after="105" w:lineRule="auto"/>
      </w:pPr>
      <w:r>
        <w:rPr>
          <w:rFonts w:eastAsia="inter" w:cs="inter" w:ascii="inter" w:hAnsi="inter"/>
          <w:b/>
          <w:color w:val="000000"/>
          <w:sz w:val="21"/>
        </w:rPr>
        <w:t xml:space="preserve">The Lock-In:</w:t>
      </w:r>
      <w:r>
        <w:rPr>
          <w:rFonts w:eastAsia="inter" w:cs="inter" w:ascii="inter" w:hAnsi="inter"/>
          <w:color w:val="000000"/>
          <w:sz w:val="21"/>
        </w:rPr>
        <w:t xml:space="preserve"> DJI encrypted the link between the drone and the AeroScope receiver. To view this data, law enforcement agencies were forced to use DJI’s proprietary software.</w:t>
      </w:r>
    </w:p>
    <w:p>
      <w:pPr>
        <w:numPr>
          <w:ilvl w:val="0"/>
          <w:numId w:val="3"/>
        </w:numPr>
        <w:spacing w:line="360" w:before="105" w:after="105" w:lineRule="auto"/>
      </w:pPr>
      <w:r>
        <w:rPr>
          <w:rFonts w:eastAsia="inter" w:cs="inter" w:ascii="inter" w:hAnsi="inter"/>
          <w:b/>
          <w:color w:val="000000"/>
          <w:sz w:val="21"/>
        </w:rPr>
        <w:t xml:space="preserve">The limitation:</w:t>
      </w:r>
      <w:r>
        <w:rPr>
          <w:rFonts w:eastAsia="inter" w:cs="inter" w:ascii="inter" w:hAnsi="inter"/>
          <w:color w:val="000000"/>
          <w:sz w:val="21"/>
        </w:rPr>
        <w:t xml:space="preserve"> If a police force wanted to feed AeroScope data into a broader security system (e.g., to slew a PTZ camera from another vendor), they had to pay for a restricted, proprietary API. This made AeroScope a "data silo"—great on its own, but hostile to integration.</w:t>
      </w:r>
    </w:p>
    <w:p>
      <w:pPr>
        <w:spacing w:line="360" w:before="315" w:after="105" w:lineRule="auto"/>
        <w:ind w:left="-30"/>
        <w:jc w:val="left"/>
      </w:pPr>
      <w:bookmarkStart w:id="8" w:name="c_early_dedrone_deployments_corre_575019"/>
      <w:r>
        <w:rPr>
          <w:rFonts w:eastAsia="inter" w:cs="inter" w:ascii="inter" w:hAnsi="inter"/>
          <w:b/>
          <w:color w:val="000000"/>
          <w:sz w:val="24"/>
        </w:rPr>
        <w:t xml:space="preserve">C. Early "Dedrone" Deployments (Correction Facility/Law Enforcement)</w:t>
      </w:r>
      <w:bookmarkEnd w:id="8"/>
    </w:p>
    <w:p>
      <w:pPr>
        <w:spacing w:line="360" w:after="210" w:lineRule="auto"/>
      </w:pPr>
      <w:r>
        <w:rPr>
          <w:rFonts w:eastAsia="inter" w:cs="inter" w:ascii="inter" w:hAnsi="inter"/>
          <w:color w:val="000000"/>
        </w:rPr>
        <w:t xml:space="preserve">In its early iterations, Dedrone (now more open) operated as a "platform lock-in." They provided the </w:t>
      </w:r>
      <w:r>
        <w:rPr>
          <w:rFonts w:eastAsia="inter" w:cs="inter" w:ascii="inter" w:hAnsi="inter"/>
          <w:b/>
          <w:color w:val="000000"/>
        </w:rPr>
        <w:t xml:space="preserve">DroneTracker</w:t>
      </w:r>
      <w:r>
        <w:rPr>
          <w:rFonts w:eastAsia="inter" w:cs="inter" w:ascii="inter" w:hAnsi="inter"/>
          <w:color w:val="000000"/>
        </w:rPr>
        <w:t xml:space="preserve"> software and encouraged users to buy Dedrone-branded RF sensors.</w:t>
      </w:r>
    </w:p>
    <w:p>
      <w:pPr>
        <w:numPr>
          <w:ilvl w:val="0"/>
          <w:numId w:val="4"/>
        </w:numPr>
        <w:spacing w:line="360" w:before="105" w:after="105" w:lineRule="auto"/>
      </w:pPr>
      <w:r>
        <w:rPr>
          <w:rFonts w:eastAsia="inter" w:cs="inter" w:ascii="inter" w:hAnsi="inter"/>
          <w:b/>
          <w:color w:val="000000"/>
          <w:sz w:val="21"/>
        </w:rPr>
        <w:t xml:space="preserve">The Lock-In:</w:t>
      </w:r>
      <w:r>
        <w:rPr>
          <w:rFonts w:eastAsia="inter" w:cs="inter" w:ascii="inter" w:hAnsi="inter"/>
          <w:color w:val="000000"/>
          <w:sz w:val="21"/>
        </w:rPr>
        <w:t xml:space="preserve"> If a prison warden wanted to add a radar from a different manufacturer (e.g., Echodyne) to cover a blind spot, they often couldn't integrate it into the DroneTracker screen unless Dedrone had explicitly built a custom driver for it. This gave the vendor total control over which sensors the customer could upgrade to.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bm_3_the_cure_standards_to_reference"/>
      <w:r>
        <w:rPr>
          <w:rFonts w:eastAsia="inter" w:cs="inter" w:ascii="inter" w:hAnsi="inter"/>
          <w:b/>
          <w:color w:val="000000"/>
          <w:sz w:val="24"/>
        </w:rPr>
        <w:t xml:space="preserve">3. The "Cure": Standards to Reference</w:t>
      </w:r>
      <w:bookmarkEnd w:id="9"/>
    </w:p>
    <w:p>
      <w:pPr>
        <w:spacing w:line="360" w:after="210" w:lineRule="auto"/>
      </w:pPr>
      <w:r>
        <w:rPr>
          <w:rFonts w:eastAsia="inter" w:cs="inter" w:ascii="inter" w:hAnsi="inter"/>
          <w:color w:val="000000"/>
        </w:rPr>
        <w:t xml:space="preserve">To avoid the lock-in described above, your project requirements should explicitly mandate compliance with these three standards. This matches the approach taken in the </w:t>
      </w:r>
      <w:r>
        <w:rPr>
          <w:rFonts w:eastAsia="inter" w:cs="inter" w:ascii="inter" w:hAnsi="inter"/>
          <w:b/>
          <w:color w:val="000000"/>
        </w:rPr>
        <w:t xml:space="preserve">Denmark (DALO)</w:t>
      </w:r>
      <w:r>
        <w:rPr>
          <w:rFonts w:eastAsia="inter" w:cs="inter" w:ascii="inter" w:hAnsi="inter"/>
          <w:color w:val="000000"/>
        </w:rPr>
        <w:t xml:space="preserve"> project.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Standard</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Full Name</w:t>
            </w:r>
          </w:p>
        </w:tc>
        <w:tc>
          <w:tcPr>
            <w:tcBorders>
              <w:top w:val="single" w:sz="1" w:space="0" w:color="000000"/>
              <w:bottom w:val="single" w:sz="1" w:space="0" w:color="000000"/>
            </w:tcBorders>
          </w:tcPr>
          <w:p>
            <w:pPr>
              <w:spacing w:line="360" w:lineRule="auto"/>
              <w:jc w:val="left"/>
            </w:pPr>
            <w:r>
              <w:rPr>
                <w:rFonts w:eastAsia="inter" w:cs="inter" w:ascii="inter" w:hAnsi="inter"/>
                <w:color w:val="000000"/>
                <w:sz w:val="17"/>
              </w:rPr>
              <w:t xml:space="preserve">Why It Breaks Lock-In</w:t>
            </w:r>
          </w:p>
        </w:tc>
      </w:tr>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b/>
                <w:color w:val="000000"/>
                <w:sz w:val="17"/>
              </w:rPr>
              <w:t xml:space="preserve">SAPIENT</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i/>
                <w:color w:val="000000"/>
                <w:sz w:val="17"/>
              </w:rPr>
              <w:t xml:space="preserve">Sensing for Asset Protection with Integrated Electronic Networked Technology</w:t>
            </w:r>
          </w:p>
        </w:tc>
        <w:tc>
          <w:tcPr>
            <w:tcBorders>
              <w:top w:val="single" w:sz="1" w:space="0" w:color="000000"/>
              <w:bottom w:val="single" w:sz="1" w:space="0" w:color="000000"/>
            </w:tcBorders>
          </w:tcPr>
          <w:p>
            <w:pPr>
              <w:spacing w:line="360" w:lineRule="auto"/>
              <w:jc w:val="left"/>
            </w:pPr>
            <w:r>
              <w:rPr>
                <w:rFonts w:eastAsia="inter" w:cs="inter" w:ascii="inter" w:hAnsi="inter"/>
                <w:b/>
                <w:color w:val="000000"/>
                <w:sz w:val="17"/>
              </w:rPr>
              <w:t xml:space="preserve">The "Silver Bullet":</w:t>
            </w:r>
            <w:r>
              <w:rPr>
                <w:rFonts w:eastAsia="inter" w:cs="inter" w:ascii="inter" w:hAnsi="inter"/>
                <w:color w:val="000000"/>
                <w:sz w:val="17"/>
              </w:rPr>
              <w:t xml:space="preserve"> Developed by UK MoD/NATO. It forces every sensor to send data in a generic XML format (BSI Flex 335). It turns every sensor into a "plug-and-play" node. </w:t>
            </w:r>
            <w:r>
              <w:rPr>
                <w:rFonts w:eastAsia="inter" w:cs="inter" w:ascii="inter" w:hAnsi="inter"/>
                <w:b/>
                <w:color w:val="000000"/>
                <w:sz w:val="17"/>
              </w:rPr>
              <w:t xml:space="preserve">NATO adopted this specifically to stop vendor lock-in.</w:t>
            </w:r>
          </w:p>
        </w:tc>
      </w:tr>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b/>
                <w:color w:val="000000"/>
                <w:sz w:val="17"/>
              </w:rPr>
              <w:t xml:space="preserve">ASTERIX Cat 062/033</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i/>
                <w:color w:val="000000"/>
                <w:sz w:val="17"/>
              </w:rPr>
              <w:t xml:space="preserve">Eurocontrol Surveillance Data Exchange</w:t>
            </w:r>
          </w:p>
        </w:tc>
        <w:tc>
          <w:tcPr>
            <w:tcBorders>
              <w:top w:val="single" w:sz="1" w:space="0" w:color="000000"/>
              <w:bottom w:val="single" w:sz="1" w:space="0" w:color="000000"/>
            </w:tcBorders>
          </w:tcPr>
          <w:p>
            <w:pPr>
              <w:spacing w:line="360" w:lineRule="auto"/>
              <w:jc w:val="left"/>
            </w:pPr>
            <w:r>
              <w:rPr>
                <w:rFonts w:eastAsia="inter" w:cs="inter" w:ascii="inter" w:hAnsi="inter"/>
                <w:b/>
                <w:color w:val="000000"/>
                <w:sz w:val="17"/>
              </w:rPr>
              <w:t xml:space="preserve">The Radar Fix:</w:t>
            </w:r>
            <w:r>
              <w:rPr>
                <w:rFonts w:eastAsia="inter" w:cs="inter" w:ascii="inter" w:hAnsi="inter"/>
                <w:color w:val="000000"/>
                <w:sz w:val="17"/>
              </w:rPr>
              <w:t xml:space="preserve"> Unlike the older Cat 048, these newer categories are better suited for system tracking and can be standardized to avoid proprietary fields, provided the vendor adheres to the </w:t>
            </w:r>
            <w:r>
              <w:rPr>
                <w:rFonts w:eastAsia="inter" w:cs="inter" w:ascii="inter" w:hAnsi="inter"/>
                <w:b/>
                <w:color w:val="000000"/>
                <w:sz w:val="17"/>
              </w:rPr>
              <w:t xml:space="preserve">EUROCONTROL</w:t>
            </w:r>
            <w:r>
              <w:rPr>
                <w:rFonts w:eastAsia="inter" w:cs="inter" w:ascii="inter" w:hAnsi="inter"/>
                <w:color w:val="000000"/>
                <w:sz w:val="17"/>
              </w:rPr>
              <w:t xml:space="preserve"> spec strictly.</w:t>
            </w:r>
          </w:p>
        </w:tc>
      </w:tr>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b/>
                <w:color w:val="000000"/>
                <w:sz w:val="17"/>
              </w:rPr>
              <w:t xml:space="preserve">MOSA</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i/>
                <w:color w:val="000000"/>
                <w:sz w:val="17"/>
              </w:rPr>
              <w:t xml:space="preserve">Modular Open Systems Approach</w:t>
            </w:r>
          </w:p>
        </w:tc>
        <w:tc>
          <w:tcPr>
            <w:tcBorders>
              <w:top w:val="single" w:sz="1" w:space="0" w:color="000000"/>
              <w:bottom w:val="single" w:sz="1" w:space="0" w:color="000000"/>
            </w:tcBorders>
          </w:tcPr>
          <w:p>
            <w:pPr>
              <w:spacing w:line="360" w:lineRule="auto"/>
              <w:jc w:val="left"/>
            </w:pPr>
            <w:r>
              <w:rPr>
                <w:rFonts w:eastAsia="inter" w:cs="inter" w:ascii="inter" w:hAnsi="inter"/>
                <w:b/>
                <w:color w:val="000000"/>
                <w:sz w:val="17"/>
              </w:rPr>
              <w:t xml:space="preserve">The US Mandate:</w:t>
            </w:r>
            <w:r>
              <w:rPr>
                <w:rFonts w:eastAsia="inter" w:cs="inter" w:ascii="inter" w:hAnsi="inter"/>
                <w:color w:val="000000"/>
                <w:sz w:val="17"/>
              </w:rPr>
              <w:t xml:space="preserve"> A legal/acquisition strategy (Title 10 U.S.C. 4401) requiring US defense programs to use open interfaces. Referencing this forces US vendors to prove their system isn't a "black box."</w:t>
            </w:r>
          </w:p>
        </w:tc>
      </w:tr>
    </w:tbl>
    <w:p>
      <w:pPr>
        <w:spacing w:lineRule="auto"/>
      </w:pPr>
    </w:p>
    <w:p>
      <w:pPr>
        <w:spacing w:line="360" w:after="210" w:lineRule="auto"/>
      </w:pPr>
      <w:r>
        <w:rPr>
          <w:rFonts w:eastAsia="inter" w:cs="inter" w:ascii="inter" w:hAnsi="inter"/>
          <w:b/>
          <w:color w:val="000000"/>
        </w:rPr>
        <w:t xml:space="preserve">Recommendation:</w:t>
      </w:r>
      <w:r>
        <w:rPr>
          <w:rFonts w:eastAsia="inter" w:cs="inter" w:ascii="inter" w:hAnsi="inter"/>
          <w:color w:val="000000"/>
        </w:rPr>
        <w:br w:type="textWrapping"/>
      </w:r>
      <w:r>
        <w:rPr>
          <w:rFonts w:eastAsia="inter" w:cs="inter" w:ascii="inter" w:hAnsi="inter"/>
          <w:color w:val="000000"/>
        </w:rPr>
        <w:t xml:space="preserve">When writing your requirements, use this phrasing to prevent the Gatwick/DJI scenario:</w:t>
      </w:r>
    </w:p>
    <w:p>
      <w:pPr>
        <w:spacing w:line="360" w:after="210" w:lineRule="auto"/>
        <w:ind w:left="630"/>
      </w:pPr>
      <w:r>
        <w:rPr>
          <w:rFonts w:eastAsia="inter" w:cs="inter" w:ascii="inter" w:hAnsi="inter"/>
          <w:i/>
          <w:color w:val="000000"/>
        </w:rPr>
        <w:t xml:space="preserve">"The C-UAS Command &amp; Control (C2) system must be vendor-agnostic and support </w:t>
      </w:r>
      <w:r>
        <w:rPr>
          <w:rFonts w:eastAsia="inter" w:cs="inter" w:ascii="inter" w:hAnsi="inter"/>
          <w:b/>
          <w:i/>
          <w:color w:val="000000"/>
        </w:rPr>
        <w:t xml:space="preserve">SAPIENT (BSI Flex 335) standard for sensor ingestion. It shall not rely on proprietary ASTERIX User-Defined fields for essential drone classification data."</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0" w:name="fn1"/>
    <w:bookmarkEnd w:id="10"/>
    <w:p>
      <w:pPr>
        <w:numPr>
          <w:ilvl w:val="0"/>
          <w:numId w:val="6"/>
        </w:numPr>
        <w:spacing w:line="360" w:after="210" w:lineRule="auto"/>
      </w:pPr>
      <w:hyperlink r:id="rId6">
        <w:r>
          <w:rPr>
            <w:rFonts w:eastAsia="inter" w:cs="inter" w:ascii="inter" w:hAnsi="inter"/>
            <w:color w:val="#000"/>
            <w:sz w:val="18"/>
            <w:u w:val="single"/>
          </w:rPr>
          <w:t xml:space="preserve">https://www.frequentis.com/sites/default/files/support/2020-02/Frequentis-Counter-UAV-Whitepaper.pdf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 w:name="fn2"/>
    <w:bookmarkEnd w:id="11"/>
    <w:p>
      <w:pPr>
        <w:numPr>
          <w:ilvl w:val="0"/>
          <w:numId w:val="6"/>
        </w:numPr>
        <w:spacing w:line="360" w:after="210" w:lineRule="auto"/>
      </w:pPr>
      <w:hyperlink r:id="rId7">
        <w:r>
          <w:rPr>
            <w:rFonts w:eastAsia="inter" w:cs="inter" w:ascii="inter" w:hAnsi="inter"/>
            <w:color w:val="#000"/>
            <w:sz w:val="18"/>
            <w:u w:val="single"/>
          </w:rPr>
          <w:t xml:space="preserve">https://cepa.org/comprehensive-reports/an-urgent-matter-of-drones/</w:t>
        </w:r>
      </w:hyperlink>
      <w:r>
        <w:rPr>
          <w:rFonts w:eastAsia="inter" w:cs="inter" w:ascii="inter" w:hAnsi="inter"/>
          <w:color w:val="000000"/>
          <w:sz w:val="18"/>
        </w:rPr>
        <w:t xml:space="preserve"> </w:t>
      </w:r>
    </w:p>
    <w:bookmarkStart w:id="12" w:name="fn3"/>
    <w:bookmarkEnd w:id="12"/>
    <w:p>
      <w:pPr>
        <w:numPr>
          <w:ilvl w:val="0"/>
          <w:numId w:val="6"/>
        </w:numPr>
        <w:spacing w:line="360" w:after="210" w:lineRule="auto"/>
      </w:pPr>
      <w:hyperlink r:id="rId8">
        <w:r>
          <w:rPr>
            <w:rFonts w:eastAsia="inter" w:cs="inter" w:ascii="inter" w:hAnsi="inter"/>
            <w:color w:val="#000"/>
            <w:sz w:val="18"/>
            <w:u w:val="single"/>
          </w:rPr>
          <w:t xml:space="preserve">https://www.gov.uk/guidance/sapient-autonomous-sensor-system</w:t>
        </w:r>
      </w:hyperlink>
      <w:r>
        <w:rPr>
          <w:rFonts w:eastAsia="inter" w:cs="inter" w:ascii="inter" w:hAnsi="inter"/>
          <w:color w:val="000000"/>
          <w:sz w:val="18"/>
        </w:rPr>
        <w:t xml:space="preserve"> </w:t>
      </w:r>
    </w:p>
    <w:bookmarkStart w:id="13" w:name="fn4"/>
    <w:bookmarkEnd w:id="13"/>
    <w:p>
      <w:pPr>
        <w:numPr>
          <w:ilvl w:val="0"/>
          <w:numId w:val="6"/>
        </w:numPr>
        <w:spacing w:line="360" w:after="210" w:lineRule="auto"/>
      </w:pPr>
      <w:hyperlink r:id="rId9">
        <w:r>
          <w:rPr>
            <w:rFonts w:eastAsia="inter" w:cs="inter" w:ascii="inter" w:hAnsi="inter"/>
            <w:color w:val="#000"/>
            <w:sz w:val="18"/>
            <w:u w:val="single"/>
          </w:rPr>
          <w:t xml:space="preserve">https://www.unmannedairspace.info/wp-content/uploads/2022/06/Counter-UAS-directory.-May-2022.v3.pdf</w:t>
        </w:r>
      </w:hyperlink>
      <w:r>
        <w:rPr>
          <w:rFonts w:eastAsia="inter" w:cs="inter" w:ascii="inter" w:hAnsi="inter"/>
          <w:color w:val="000000"/>
          <w:sz w:val="18"/>
        </w:rPr>
        <w:t xml:space="preserve"> </w:t>
      </w:r>
    </w:p>
    <w:bookmarkStart w:id="14" w:name="fn5"/>
    <w:bookmarkEnd w:id="14"/>
    <w:p>
      <w:pPr>
        <w:numPr>
          <w:ilvl w:val="0"/>
          <w:numId w:val="6"/>
        </w:numPr>
        <w:spacing w:line="360" w:after="210" w:lineRule="auto"/>
      </w:pPr>
      <w:hyperlink r:id="rId10">
        <w:r>
          <w:rPr>
            <w:rFonts w:eastAsia="inter" w:cs="inter" w:ascii="inter" w:hAnsi="inter"/>
            <w:color w:val="#000"/>
            <w:sz w:val="18"/>
            <w:u w:val="single"/>
          </w:rPr>
          <w:t xml:space="preserve">https://www.unmannedairspace.info/counter-uas-systems-and-policies/how-uk-government-and-airports-have-responded-to-gatwick-drone-chaos/</w:t>
        </w:r>
      </w:hyperlink>
      <w:r>
        <w:rPr>
          <w:rFonts w:eastAsia="inter" w:cs="inter" w:ascii="inter" w:hAnsi="inter"/>
          <w:color w:val="000000"/>
          <w:sz w:val="18"/>
        </w:rPr>
        <w:t xml:space="preserve"> </w:t>
      </w:r>
    </w:p>
    <w:bookmarkStart w:id="15" w:name="fn6"/>
    <w:bookmarkEnd w:id="15"/>
    <w:p>
      <w:pPr>
        <w:numPr>
          <w:ilvl w:val="0"/>
          <w:numId w:val="6"/>
        </w:numPr>
        <w:spacing w:line="360" w:after="210" w:lineRule="auto"/>
      </w:pPr>
      <w:hyperlink r:id="rId11">
        <w:r>
          <w:rPr>
            <w:rFonts w:eastAsia="inter" w:cs="inter" w:ascii="inter" w:hAnsi="inter"/>
            <w:color w:val="#000"/>
            <w:sz w:val="18"/>
            <w:u w:val="single"/>
          </w:rPr>
          <w:t xml:space="preserve">https://www.faa.gov/sites/faa.gov/files/uas/resources/policy_library/uas_roadmap_2013.pdf</w:t>
        </w:r>
      </w:hyperlink>
      <w:r>
        <w:rPr>
          <w:rFonts w:eastAsia="inter" w:cs="inter" w:ascii="inter" w:hAnsi="inter"/>
          <w:color w:val="000000"/>
          <w:sz w:val="18"/>
        </w:rPr>
        <w:t xml:space="preserve"> </w:t>
      </w:r>
    </w:p>
    <w:bookmarkStart w:id="16" w:name="fn7"/>
    <w:bookmarkEnd w:id="16"/>
    <w:p>
      <w:pPr>
        <w:numPr>
          <w:ilvl w:val="0"/>
          <w:numId w:val="6"/>
        </w:numPr>
        <w:spacing w:line="360" w:after="210" w:lineRule="auto"/>
      </w:pPr>
      <w:hyperlink r:id="rId12">
        <w:r>
          <w:rPr>
            <w:rFonts w:eastAsia="inter" w:cs="inter" w:ascii="inter" w:hAnsi="inter"/>
            <w:color w:val="#000"/>
            <w:sz w:val="18"/>
            <w:u w:val="single"/>
          </w:rPr>
          <w:t xml:space="preserve">https://www.easa.europa.eu/sites/default/files/dfu/amc_and_gm_to_implementing_regulation_eu_2021-664_-_issue_1_1.pdf</w:t>
        </w:r>
      </w:hyperlink>
      <w:r>
        <w:rPr>
          <w:rFonts w:eastAsia="inter" w:cs="inter" w:ascii="inter" w:hAnsi="inter"/>
          <w:color w:val="000000"/>
          <w:sz w:val="18"/>
        </w:rPr>
        <w:t xml:space="preserve"> </w:t>
      </w:r>
    </w:p>
    <w:bookmarkStart w:id="17" w:name="fn8"/>
    <w:bookmarkEnd w:id="17"/>
    <w:p>
      <w:pPr>
        <w:numPr>
          <w:ilvl w:val="0"/>
          <w:numId w:val="6"/>
        </w:numPr>
        <w:spacing w:line="360" w:after="210" w:lineRule="auto"/>
      </w:pPr>
      <w:hyperlink r:id="rId13">
        <w:r>
          <w:rPr>
            <w:rFonts w:eastAsia="inter" w:cs="inter" w:ascii="inter" w:hAnsi="inter"/>
            <w:color w:val="#000"/>
            <w:sz w:val="18"/>
            <w:u w:val="single"/>
          </w:rPr>
          <w:t xml:space="preserve">https://www.bez-kabli.pl/news/technology-news-19-11-2025/</w:t>
        </w:r>
      </w:hyperlink>
      <w:r>
        <w:rPr>
          <w:rFonts w:eastAsia="inter" w:cs="inter" w:ascii="inter" w:hAnsi="inter"/>
          <w:color w:val="000000"/>
          <w:sz w:val="18"/>
        </w:rPr>
        <w:t xml:space="preserve"> </w:t>
      </w:r>
    </w:p>
    <w:bookmarkStart w:id="18" w:name="fn9"/>
    <w:bookmarkEnd w:id="18"/>
    <w:p>
      <w:pPr>
        <w:numPr>
          <w:ilvl w:val="0"/>
          <w:numId w:val="6"/>
        </w:numPr>
        <w:spacing w:line="360" w:after="210" w:lineRule="auto"/>
      </w:pPr>
      <w:hyperlink r:id="rId14">
        <w:r>
          <w:rPr>
            <w:rFonts w:eastAsia="inter" w:cs="inter" w:ascii="inter" w:hAnsi="inter"/>
            <w:color w:val="#000"/>
            <w:sz w:val="18"/>
            <w:u w:val="single"/>
          </w:rPr>
          <w:t xml:space="preserve">https://www.science.gov/topicpages/i/integrating+software+architectures</w:t>
        </w:r>
      </w:hyperlink>
      <w:r>
        <w:rPr>
          <w:rFonts w:eastAsia="inter" w:cs="inter" w:ascii="inter" w:hAnsi="inter"/>
          <w:color w:val="000000"/>
          <w:sz w:val="18"/>
        </w:rPr>
        <w:t xml:space="preserve"> </w:t>
      </w:r>
    </w:p>
    <w:bookmarkStart w:id="19" w:name="fn10"/>
    <w:bookmarkEnd w:id="19"/>
    <w:p>
      <w:pPr>
        <w:numPr>
          <w:ilvl w:val="0"/>
          <w:numId w:val="6"/>
        </w:numPr>
        <w:spacing w:line="360" w:after="210" w:lineRule="auto"/>
      </w:pPr>
      <w:hyperlink r:id="rId15">
        <w:r>
          <w:rPr>
            <w:rFonts w:eastAsia="inter" w:cs="inter" w:ascii="inter" w:hAnsi="inter"/>
            <w:color w:val="#000"/>
            <w:sz w:val="18"/>
            <w:u w:val="single"/>
          </w:rPr>
          <w:t xml:space="preserve">https://www.f6s.com/companies/iot/mo</w:t>
        </w:r>
      </w:hyperlink>
      <w:r>
        <w:rPr>
          <w:rFonts w:eastAsia="inter" w:cs="inter" w:ascii="inter" w:hAnsi="inter"/>
          <w:color w:val="000000"/>
          <w:sz w:val="18"/>
        </w:rPr>
        <w:t xml:space="preserve"> </w:t>
      </w:r>
    </w:p>
    <w:bookmarkStart w:id="20" w:name="fn11"/>
    <w:bookmarkEnd w:id="20"/>
    <w:p>
      <w:pPr>
        <w:numPr>
          <w:ilvl w:val="0"/>
          <w:numId w:val="6"/>
        </w:numPr>
        <w:spacing w:line="360" w:after="210" w:lineRule="auto"/>
      </w:pPr>
      <w:hyperlink r:id="rId16">
        <w:r>
          <w:rPr>
            <w:rFonts w:eastAsia="inter" w:cs="inter" w:ascii="inter" w:hAnsi="inter"/>
            <w:color w:val="#000"/>
            <w:sz w:val="18"/>
            <w:u w:val="single"/>
          </w:rPr>
          <w:t xml:space="preserve">https://en.wikipedia.org/wiki/Gatwick_Airport_drone_incident</w:t>
        </w:r>
      </w:hyperlink>
      <w:r>
        <w:rPr>
          <w:rFonts w:eastAsia="inter" w:cs="inter" w:ascii="inter" w:hAnsi="inter"/>
          <w:color w:val="000000"/>
          <w:sz w:val="18"/>
        </w:rPr>
        <w:t xml:space="preserve"> </w:t>
      </w:r>
    </w:p>
    <w:bookmarkStart w:id="21" w:name="fn12"/>
    <w:bookmarkEnd w:id="21"/>
    <w:p>
      <w:pPr>
        <w:numPr>
          <w:ilvl w:val="0"/>
          <w:numId w:val="6"/>
        </w:numPr>
        <w:spacing w:line="360" w:after="210" w:lineRule="auto"/>
      </w:pPr>
      <w:hyperlink r:id="rId17">
        <w:r>
          <w:rPr>
            <w:rFonts w:eastAsia="inter" w:cs="inter" w:ascii="inter" w:hAnsi="inter"/>
            <w:color w:val="#000"/>
            <w:sz w:val="18"/>
            <w:u w:val="single"/>
          </w:rPr>
          <w:t xml:space="preserve">https://digitalcommons.usf.edu/context/jss/article/2410/viewcontent/auto_convert.pdf</w:t>
        </w:r>
      </w:hyperlink>
      <w:r>
        <w:rPr>
          <w:rFonts w:eastAsia="inter" w:cs="inter" w:ascii="inter" w:hAnsi="inter"/>
          <w:color w:val="000000"/>
          <w:sz w:val="18"/>
        </w:rPr>
        <w:t xml:space="preserve"> </w:t>
      </w:r>
    </w:p>
    <w:bookmarkStart w:id="22" w:name="fn13"/>
    <w:bookmarkEnd w:id="22"/>
    <w:p>
      <w:pPr>
        <w:numPr>
          <w:ilvl w:val="0"/>
          <w:numId w:val="6"/>
        </w:numPr>
        <w:spacing w:line="360" w:after="210" w:lineRule="auto"/>
      </w:pPr>
      <w:hyperlink r:id="rId18">
        <w:r>
          <w:rPr>
            <w:rFonts w:eastAsia="inter" w:cs="inter" w:ascii="inter" w:hAnsi="inter"/>
            <w:color w:val="#000"/>
            <w:sz w:val="18"/>
            <w:u w:val="single"/>
          </w:rPr>
          <w:t xml:space="preserve">https://iris.uniroma1.it/retrieve/c16d8e42-92a1-4767-b2a2-ba62f36a3784/Tesi_dottorato_Longo.pdf</w:t>
        </w:r>
      </w:hyperlink>
      <w:r>
        <w:rPr>
          <w:rFonts w:eastAsia="inter" w:cs="inter" w:ascii="inter" w:hAnsi="inter"/>
          <w:color w:val="000000"/>
          <w:sz w:val="18"/>
        </w:rPr>
        <w:t xml:space="preserve"> </w:t>
      </w:r>
    </w:p>
    <w:bookmarkStart w:id="23" w:name="fn14"/>
    <w:bookmarkEnd w:id="23"/>
    <w:p>
      <w:pPr>
        <w:numPr>
          <w:ilvl w:val="0"/>
          <w:numId w:val="6"/>
        </w:numPr>
        <w:spacing w:line="360" w:after="210" w:lineRule="auto"/>
      </w:pPr>
      <w:hyperlink r:id="rId19">
        <w:r>
          <w:rPr>
            <w:rFonts w:eastAsia="inter" w:cs="inter" w:ascii="inter" w:hAnsi="inter"/>
            <w:color w:val="#000"/>
            <w:sz w:val="18"/>
            <w:u w:val="single"/>
          </w:rPr>
          <w:t xml:space="preserve">https://www.sciencedirect.com/topics/computer-science/network-discovery</w:t>
        </w:r>
      </w:hyperlink>
      <w:r>
        <w:rPr>
          <w:rFonts w:eastAsia="inter" w:cs="inter" w:ascii="inter" w:hAnsi="inter"/>
          <w:color w:val="000000"/>
          <w:sz w:val="18"/>
        </w:rPr>
        <w:t xml:space="preserve"> </w:t>
      </w:r>
    </w:p>
    <w:bookmarkStart w:id="24" w:name="fn15"/>
    <w:bookmarkEnd w:id="24"/>
    <w:p>
      <w:pPr>
        <w:numPr>
          <w:ilvl w:val="0"/>
          <w:numId w:val="6"/>
        </w:numPr>
        <w:spacing w:line="360" w:after="210" w:lineRule="auto"/>
      </w:pPr>
      <w:hyperlink r:id="rId20">
        <w:r>
          <w:rPr>
            <w:rFonts w:eastAsia="inter" w:cs="inter" w:ascii="inter" w:hAnsi="inter"/>
            <w:color w:val="#000"/>
            <w:sz w:val="18"/>
            <w:u w:val="single"/>
          </w:rPr>
          <w:t xml:space="preserve">https://www.unmannedairspace.info/counter-uas-systems-and-policies/nato-to-adopt-uks-sapient-protocol-as-c-uas-standard/</w:t>
        </w:r>
      </w:hyperlink>
      <w:r>
        <w:rPr>
          <w:rFonts w:eastAsia="inter" w:cs="inter" w:ascii="inter" w:hAnsi="inter"/>
          <w:color w:val="000000"/>
          <w:sz w:val="18"/>
        </w:rPr>
        <w:t xml:space="preserve"> </w:t>
      </w:r>
    </w:p>
    <w:bookmarkStart w:id="25" w:name="fn16"/>
    <w:bookmarkEnd w:id="25"/>
    <w:p>
      <w:pPr>
        <w:numPr>
          <w:ilvl w:val="0"/>
          <w:numId w:val="6"/>
        </w:numPr>
        <w:spacing w:line="360" w:after="210" w:lineRule="auto"/>
      </w:pPr>
      <w:hyperlink r:id="rId21">
        <w:r>
          <w:rPr>
            <w:rFonts w:eastAsia="inter" w:cs="inter" w:ascii="inter" w:hAnsi="inter"/>
            <w:color w:val="#000"/>
            <w:sz w:val="18"/>
            <w:u w:val="single"/>
          </w:rPr>
          <w:t xml:space="preserve">https://www.cto.mil/wp-content/uploads/2025/03/MOSA-Implementation-Guidebook-27Feb2025-Cleared.pdf</w:t>
        </w:r>
      </w:hyperlink>
      <w:r>
        <w:rPr>
          <w:rFonts w:eastAsia="inter" w:cs="inter" w:ascii="inter" w:hAnsi="inter"/>
          <w:color w:val="000000"/>
          <w:sz w:val="18"/>
        </w:rPr>
        <w:t xml:space="preserve"> </w:t>
      </w:r>
    </w:p>
    <w:bookmarkStart w:id="26" w:name="fn17"/>
    <w:bookmarkEnd w:id="26"/>
    <w:p>
      <w:pPr>
        <w:numPr>
          <w:ilvl w:val="0"/>
          <w:numId w:val="6"/>
        </w:numPr>
        <w:spacing w:line="360" w:after="210" w:lineRule="auto"/>
      </w:pPr>
      <w:hyperlink r:id="rId22">
        <w:r>
          <w:rPr>
            <w:rFonts w:eastAsia="inter" w:cs="inter" w:ascii="inter" w:hAnsi="inter"/>
            <w:color w:val="#000"/>
            <w:sz w:val="18"/>
            <w:u w:val="single"/>
          </w:rPr>
          <w:t xml:space="preserve">https://cuashub.com/en/content/congress-seeks-dod-c-uas-assessments/</w:t>
        </w:r>
      </w:hyperlink>
      <w:r>
        <w:rPr>
          <w:rFonts w:eastAsia="inter" w:cs="inter" w:ascii="inter" w:hAnsi="inter"/>
          <w:color w:val="000000"/>
          <w:sz w:val="18"/>
        </w:rPr>
        <w:t xml:space="preserve"> </w:t>
      </w:r>
    </w:p>
    <w:bookmarkStart w:id="27" w:name="fn18"/>
    <w:bookmarkEnd w:id="27"/>
    <w:p>
      <w:pPr>
        <w:numPr>
          <w:ilvl w:val="0"/>
          <w:numId w:val="6"/>
        </w:numPr>
        <w:spacing w:line="360" w:after="210" w:lineRule="auto"/>
      </w:pPr>
      <w:hyperlink r:id="rId23">
        <w:r>
          <w:rPr>
            <w:rFonts w:eastAsia="inter" w:cs="inter" w:ascii="inter" w:hAnsi="inter"/>
            <w:color w:val="#000"/>
            <w:sz w:val="18"/>
            <w:u w:val="single"/>
          </w:rPr>
          <w:t xml:space="preserve">https://tpcoe.gov.pl/download/10/4395/Protectionagainstunmannedaircraftsystems.pdf</w:t>
        </w:r>
      </w:hyperlink>
      <w:r>
        <w:rPr>
          <w:rFonts w:eastAsia="inter" w:cs="inter" w:ascii="inter" w:hAnsi="inter"/>
          <w:color w:val="000000"/>
          <w:sz w:val="18"/>
        </w:rPr>
        <w:t xml:space="preserve"> </w:t>
      </w:r>
    </w:p>
    <w:bookmarkStart w:id="28" w:name="fn19"/>
    <w:bookmarkEnd w:id="28"/>
    <w:p>
      <w:pPr>
        <w:numPr>
          <w:ilvl w:val="0"/>
          <w:numId w:val="6"/>
        </w:numPr>
        <w:spacing w:line="360" w:after="210" w:lineRule="auto"/>
      </w:pPr>
      <w:hyperlink r:id="rId24">
        <w:r>
          <w:rPr>
            <w:rFonts w:eastAsia="inter" w:cs="inter" w:ascii="inter" w:hAnsi="inter"/>
            <w:color w:val="#000"/>
            <w:sz w:val="18"/>
            <w:u w:val="single"/>
          </w:rPr>
          <w:t xml:space="preserve">https://www.netiq.com/documentation/identity-manager-46/pdfdoc/setup/setup.pdf</w:t>
        </w:r>
      </w:hyperlink>
      <w:r>
        <w:rPr>
          <w:rFonts w:eastAsia="inter" w:cs="inter" w:ascii="inter" w:hAnsi="inter"/>
          <w:color w:val="000000"/>
          <w:sz w:val="18"/>
        </w:rPr>
        <w:t xml:space="preserve"> </w:t>
      </w:r>
    </w:p>
    <w:bookmarkStart w:id="29" w:name="fn20"/>
    <w:bookmarkEnd w:id="29"/>
    <w:p>
      <w:pPr>
        <w:numPr>
          <w:ilvl w:val="0"/>
          <w:numId w:val="6"/>
        </w:numPr>
        <w:spacing w:line="360" w:after="210" w:lineRule="auto"/>
      </w:pPr>
      <w:hyperlink r:id="rId25">
        <w:r>
          <w:rPr>
            <w:rFonts w:eastAsia="inter" w:cs="inter" w:ascii="inter" w:hAnsi="inter"/>
            <w:color w:val="#000"/>
            <w:sz w:val="18"/>
            <w:u w:val="single"/>
          </w:rPr>
          <w:t xml:space="preserve">https://rosap.ntl.bts.gov/view/dot/73158/dot_73158_DS1.pdf</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abstractNum>
  <w:abstractNum w:abstractNumId="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fac727d92984f9a61a4f8cd075c6d46b5dc42584.png" TargetMode="Internal"/><Relationship Id="rId6" Type="http://schemas.openxmlformats.org/officeDocument/2006/relationships/hyperlink" Target="https://www.frequentis.com/sites/default/files/support/2020-02/Frequentis-Counter-UAV-Whitepaper.pdf" TargetMode="External"/><Relationship Id="rId7" Type="http://schemas.openxmlformats.org/officeDocument/2006/relationships/hyperlink" Target="https://cepa.org/comprehensive-reports/an-urgent-matter-of-drones/" TargetMode="External"/><Relationship Id="rId8" Type="http://schemas.openxmlformats.org/officeDocument/2006/relationships/hyperlink" Target="https://www.gov.uk/guidance/sapient-autonomous-sensor-system" TargetMode="External"/><Relationship Id="rId9" Type="http://schemas.openxmlformats.org/officeDocument/2006/relationships/hyperlink" Target="https://www.unmannedairspace.info/wp-content/uploads/2022/06/Counter-UAS-directory.-May-2022.v3.pdf" TargetMode="External"/><Relationship Id="rId10" Type="http://schemas.openxmlformats.org/officeDocument/2006/relationships/hyperlink" Target="https://www.unmannedairspace.info/counter-uas-systems-and-policies/how-uk-government-and-airports-have-responded-to-gatwick-drone-chaos/" TargetMode="External"/><Relationship Id="rId11" Type="http://schemas.openxmlformats.org/officeDocument/2006/relationships/hyperlink" Target="https://www.faa.gov/sites/faa.gov/files/uas/resources/policy_library/uas_roadmap_2013.pdf" TargetMode="External"/><Relationship Id="rId12" Type="http://schemas.openxmlformats.org/officeDocument/2006/relationships/hyperlink" Target="https://www.easa.europa.eu/sites/default/files/dfu/amc_and_gm_to_implementing_regulation_eu_2021-664_-_issue_1_1.pdf" TargetMode="External"/><Relationship Id="rId13" Type="http://schemas.openxmlformats.org/officeDocument/2006/relationships/hyperlink" Target="https://www.bez-kabli.pl/news/technology-news-19-11-2025/" TargetMode="External"/><Relationship Id="rId14" Type="http://schemas.openxmlformats.org/officeDocument/2006/relationships/hyperlink" Target="https://www.science.gov/topicpages/i/integrating+software+architectures" TargetMode="External"/><Relationship Id="rId15" Type="http://schemas.openxmlformats.org/officeDocument/2006/relationships/hyperlink" Target="https://www.f6s.com/companies/iot/mo" TargetMode="External"/><Relationship Id="rId16" Type="http://schemas.openxmlformats.org/officeDocument/2006/relationships/hyperlink" Target="https://en.wikipedia.org/wiki/Gatwick_Airport_drone_incident" TargetMode="External"/><Relationship Id="rId17" Type="http://schemas.openxmlformats.org/officeDocument/2006/relationships/hyperlink" Target="https://digitalcommons.usf.edu/context/jss/article/2410/viewcontent/auto_convert.pdf" TargetMode="External"/><Relationship Id="rId18" Type="http://schemas.openxmlformats.org/officeDocument/2006/relationships/hyperlink" Target="https://iris.uniroma1.it/retrieve/c16d8e42-92a1-4767-b2a2-ba62f36a3784/Tesi_dottorato_Longo.pdf" TargetMode="External"/><Relationship Id="rId19" Type="http://schemas.openxmlformats.org/officeDocument/2006/relationships/hyperlink" Target="https://www.sciencedirect.com/topics/computer-science/network-discovery" TargetMode="External"/><Relationship Id="rId20" Type="http://schemas.openxmlformats.org/officeDocument/2006/relationships/hyperlink" Target="https://www.unmannedairspace.info/counter-uas-systems-and-policies/nato-to-adopt-uks-sapient-protocol-as-c-uas-standard/" TargetMode="External"/><Relationship Id="rId21" Type="http://schemas.openxmlformats.org/officeDocument/2006/relationships/hyperlink" Target="https://www.cto.mil/wp-content/uploads/2025/03/MOSA-Implementation-Guidebook-27Feb2025-Cleared.pdf" TargetMode="External"/><Relationship Id="rId22" Type="http://schemas.openxmlformats.org/officeDocument/2006/relationships/hyperlink" Target="https://cuashub.com/en/content/congress-seeks-dod-c-uas-assessments/" TargetMode="External"/><Relationship Id="rId23" Type="http://schemas.openxmlformats.org/officeDocument/2006/relationships/hyperlink" Target="https://tpcoe.gov.pl/download/10/4395/Protectionagainstunmannedaircraftsystems.pdf" TargetMode="External"/><Relationship Id="rId24" Type="http://schemas.openxmlformats.org/officeDocument/2006/relationships/hyperlink" Target="https://www.netiq.com/documentation/identity-manager-46/pdfdoc/setup/setup.pdf" TargetMode="External"/><Relationship Id="rId25" Type="http://schemas.openxmlformats.org/officeDocument/2006/relationships/hyperlink" Target="https://rosap.ntl.bts.gov/view/dot/73158/dot_73158_DS1.pdf"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2025-12-29T07:58:48.585Z</dcterms:created>
  <dcterms:modified xsi:type="dcterms:W3CDTF">2025-12-29T07:58:48.585Z</dcterms:modified>
</cp:coreProperties>
</file>