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a284719e4de5b8f4b3154d70215060097d3df79.png"/>
            <a:graphic>
              <a:graphicData uri="http://schemas.openxmlformats.org/drawingml/2006/picture">
                <pic:pic>
                  <pic:nvPicPr>
                    <pic:cNvPr id="1" name="image-4a284719e4de5b8f4b3154d70215060097d3df7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find_more_examples_where_counter_b259c9"/>
      <w:r>
        <w:rPr>
          <w:rFonts w:eastAsia="inter" w:cs="inter" w:ascii="inter" w:hAnsi="inter"/>
          <w:b/>
          <w:color w:val="000000"/>
          <w:sz w:val="39"/>
        </w:rPr>
        <w:t xml:space="preserve">find more examples where counter-uav solutions vendors have already used it to lock in. find examples with quotes that I could refer to. (very good example is Denmark project mentioned in the file). if possible, find a standard or protocol that caused this warning!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"Denmark project" you refer to is the </w:t>
      </w:r>
      <w:r>
        <w:rPr>
          <w:rFonts w:eastAsia="inter" w:cs="inter" w:ascii="inter" w:hAnsi="inter"/>
          <w:b/>
          <w:color w:val="000000"/>
        </w:rPr>
        <w:t xml:space="preserve">DALO (Danish Acquisition and Logistics Organization)</w:t>
      </w:r>
      <w:r>
        <w:rPr>
          <w:rFonts w:eastAsia="inter" w:cs="inter" w:ascii="inter" w:hAnsi="inter"/>
          <w:color w:val="000000"/>
        </w:rPr>
        <w:t xml:space="preserve"> procurement, where the Danish defense and aerospace company </w:t>
      </w:r>
      <w:r>
        <w:rPr>
          <w:rFonts w:eastAsia="inter" w:cs="inter" w:ascii="inter" w:hAnsi="inter"/>
          <w:b/>
          <w:color w:val="000000"/>
        </w:rPr>
        <w:t xml:space="preserve">Terma</w:t>
      </w:r>
      <w:r>
        <w:rPr>
          <w:rFonts w:eastAsia="inter" w:cs="inter" w:ascii="inter" w:hAnsi="inter"/>
          <w:color w:val="000000"/>
        </w:rPr>
        <w:t xml:space="preserve"> was selected to deliver an integrated C-UAS solution. This project is widely cited as a benchmark for overcoming the "vendor lock-in" trap by enforcing an open architecture that fuses data from multiple third-party sensors (such as Weibel radars and MyDefence RF sensors) rather than relying on a single vendor's closed ecosystem.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standard/protocol issue that historically caused the "lock-in warning" is the reliance on </w:t>
      </w:r>
      <w:r>
        <w:rPr>
          <w:rFonts w:eastAsia="inter" w:cs="inter" w:ascii="inter" w:hAnsi="inter"/>
          <w:b/>
          <w:color w:val="000000"/>
        </w:rPr>
        <w:t xml:space="preserve">Proprietary Interface Control Documents (ICDs)</w:t>
      </w:r>
      <w:r>
        <w:rPr>
          <w:rFonts w:eastAsia="inter" w:cs="inter" w:ascii="inter" w:hAnsi="inter"/>
          <w:color w:val="000000"/>
        </w:rPr>
        <w:t xml:space="preserve"> and closed </w:t>
      </w:r>
      <w:r>
        <w:rPr>
          <w:rFonts w:eastAsia="inter" w:cs="inter" w:ascii="inter" w:hAnsi="inter"/>
          <w:b/>
          <w:color w:val="000000"/>
        </w:rPr>
        <w:t xml:space="preserve">APIs</w:t>
      </w:r>
      <w:r>
        <w:rPr>
          <w:rFonts w:eastAsia="inter" w:cs="inter" w:ascii="inter" w:hAnsi="inter"/>
          <w:color w:val="000000"/>
        </w:rPr>
        <w:t xml:space="preserve">, which effectively created "walled gardens." The industry's specific warning often targets </w:t>
      </w:r>
      <w:r>
        <w:rPr>
          <w:rFonts w:eastAsia="inter" w:cs="inter" w:ascii="inter" w:hAnsi="inter"/>
          <w:b/>
          <w:color w:val="000000"/>
        </w:rPr>
        <w:t xml:space="preserve">proprietary Command &amp; Control (C2) protocols</w:t>
      </w:r>
      <w:r>
        <w:rPr>
          <w:rFonts w:eastAsia="inter" w:cs="inter" w:ascii="inter" w:hAnsi="inter"/>
          <w:color w:val="000000"/>
        </w:rPr>
        <w:t xml:space="preserve"> that prevent sensors from different manufacturers from talking to a common decision engine.</w:t>
      </w:r>
    </w:p>
    <w:p>
      <w:pPr>
        <w:spacing w:line="360" w:before="315" w:after="105" w:lineRule="auto"/>
        <w:ind w:left="-30"/>
        <w:jc w:val="left"/>
      </w:pPr>
      <w:bookmarkStart w:id="1" w:name="bm_1_the_denmark_example_breaking_1b03ab"/>
      <w:r>
        <w:rPr>
          <w:rFonts w:eastAsia="inter" w:cs="inter" w:ascii="inter" w:hAnsi="inter"/>
          <w:b/>
          <w:color w:val="000000"/>
          <w:sz w:val="24"/>
        </w:rPr>
        <w:t xml:space="preserve">1. The Denmark Example: Breaking the Lock-In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the Danish project, the "warning" realized by DALO was that buying standalone systems (e.g., a radar from Vendor A and a jammer from Vendor B) results in operational failure—operators are left looking at "17 different screens."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Instead, Denmark chose </w:t>
      </w:r>
      <w:r>
        <w:rPr>
          <w:rFonts w:eastAsia="inter" w:cs="inter" w:ascii="inter" w:hAnsi="inter"/>
          <w:b/>
          <w:color w:val="000000"/>
        </w:rPr>
        <w:t xml:space="preserve">Terma’s T.React C-UAS</w:t>
      </w:r>
      <w:r>
        <w:rPr>
          <w:rFonts w:eastAsia="inter" w:cs="inter" w:ascii="inter" w:hAnsi="inter"/>
          <w:color w:val="000000"/>
        </w:rPr>
        <w:t xml:space="preserve"> system, which acts as a vendor-agnostic "manager of managers." It forces all subsystems to speak a common language, preventing the lock-in where a customer must buy the radar manufacturer’s specific camera to get the system to work.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b/>
          <w:color w:val="000000"/>
        </w:rPr>
        <w:t xml:space="preserve">Quote from the Project: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"It is not enough to just detect anymore – you need to validate quickly that it’s actually a drone, reduce false alarms, and act with more speed and confidence. That’s where sensor fusion and disciplined workflows make a difference... This is not about deploying one sensor or one radar. It’s about a next generation integrated approach."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b/>
          <w:color w:val="000000"/>
        </w:rPr>
        <w:t xml:space="preserve">Henriette H. Thygesen</w:t>
      </w:r>
      <w:r>
        <w:rPr>
          <w:rFonts w:eastAsia="inter" w:cs="inter" w:ascii="inter" w:hAnsi="inter"/>
          <w:color w:val="000000"/>
        </w:rPr>
        <w:t xml:space="preserve">, CEO of Terma.</w:t>
      </w:r>
      <w:bookmarkStart w:id="2" w:name="fnref1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" w:name="bm_2_examples_of_vendor_lock_in_in_c_uas"/>
      <w:r>
        <w:rPr>
          <w:rFonts w:eastAsia="inter" w:cs="inter" w:ascii="inter" w:hAnsi="inter"/>
          <w:b/>
          <w:color w:val="000000"/>
          <w:sz w:val="24"/>
        </w:rPr>
        <w:t xml:space="preserve">2. Examples of Vendor Lock-In in C-UAS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Vendor lock-in in the counter-drone market typically manifests when a manufacturer forces you to use their full "kill chain" (Detect → Track → Identify → Defeat) by keeping the data interfaces between these steps secret or proprietary.</w:t>
      </w:r>
    </w:p>
    <w:p>
      <w:pPr>
        <w:spacing w:line="360" w:before="315" w:after="105" w:lineRule="auto"/>
        <w:ind w:left="-30"/>
        <w:jc w:val="left"/>
      </w:pPr>
      <w:bookmarkStart w:id="4" w:name="example_a_dji_aeroscope_the_walle_e6860a"/>
      <w:r>
        <w:rPr>
          <w:rFonts w:eastAsia="inter" w:cs="inter" w:ascii="inter" w:hAnsi="inter"/>
          <w:b/>
          <w:color w:val="000000"/>
          <w:sz w:val="24"/>
        </w:rPr>
        <w:t xml:space="preserve">Example A: DJI AeroScope (The "Walled Garden")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DJI AeroScope is the most prominent example of a "closed loop" system. It is the only system that can natively decode DJI’s proprietary "DroneID" protocol. While effective, it creates a severe dependency: users cannot easily feed this data into third-party C2 systems without paying for expensive, limited APIs, and the system is useless against non-DJI drones.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b/>
          <w:color w:val="000000"/>
        </w:rPr>
        <w:t xml:space="preserve">Quote on Lock-In: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"Traditional C-UAS providers often build 'walled gardens' where their radar/RF sensor system only communicates with their camera and their jammer. This approach is failing... [It] reinforces DJI’s ascendancy in the RF sensor market by making only their AeroScope sensors capable of detecting their drones."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b/>
          <w:color w:val="000000"/>
        </w:rPr>
        <w:t xml:space="preserve">Commercial UAV News</w:t>
      </w:r>
      <w:r>
        <w:rPr>
          <w:rFonts w:eastAsia="inter" w:cs="inter" w:ascii="inter" w:hAnsi="inter"/>
          <w:color w:val="000000"/>
        </w:rPr>
        <w:t xml:space="preserve"> &amp; </w:t>
      </w:r>
      <w:r>
        <w:rPr>
          <w:rFonts w:eastAsia="inter" w:cs="inter" w:ascii="inter" w:hAnsi="inter"/>
          <w:b/>
          <w:color w:val="000000"/>
        </w:rPr>
        <w:t xml:space="preserve">SBDJI Whitepaper</w:t>
      </w:r>
      <w:r>
        <w:rPr>
          <w:rFonts w:eastAsia="inter" w:cs="inter" w:ascii="inter" w:hAnsi="inter"/>
          <w:color w:val="000000"/>
        </w:rPr>
        <w:t xml:space="preserve">.</w:t>
      </w:r>
      <w:bookmarkStart w:id="5" w:name="fnref2"/>
      <w:bookmarkEnd w:id="5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6" w:name="fnref3"/>
      <w:bookmarkEnd w:id="6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7" w:name="example_b_early_black_box_integra_e5f18c"/>
      <w:r>
        <w:rPr>
          <w:rFonts w:eastAsia="inter" w:cs="inter" w:ascii="inter" w:hAnsi="inter"/>
          <w:b/>
          <w:color w:val="000000"/>
          <w:sz w:val="24"/>
        </w:rPr>
        <w:t xml:space="preserve">Example B: Early "Black Box" Integrations (Airport Scenario)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Before the adoption of open standards, airports like Gatwick and Heathrow faced the "17 screens" problem. Vendors would install a "solution" that was actually a black box—if the airport wanted to upgrade the radar 5 years later, they had to rip out the entire C2 system because the old C2 couldn't "talk" to the new radar.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b/>
          <w:color w:val="000000"/>
        </w:rPr>
        <w:t xml:space="preserve">Quote on Integration Challenges: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"Assess integration ecosystem early: Don’t just evaluate the C-UAS in isolation, ensure it integrates out-of-the-box with your existing security stack... to avoid future vendor lock-in or expensive custom integrations."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b/>
          <w:color w:val="000000"/>
        </w:rPr>
        <w:t xml:space="preserve">SentryCS Technology Checklist</w:t>
      </w:r>
      <w:r>
        <w:rPr>
          <w:rFonts w:eastAsia="inter" w:cs="inter" w:ascii="inter" w:hAnsi="inter"/>
          <w:color w:val="000000"/>
        </w:rPr>
        <w:t xml:space="preserve">.</w:t>
      </w:r>
      <w:bookmarkStart w:id="8" w:name="fnref4"/>
      <w:bookmarkEnd w:id="8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9" w:name="bm_3_the_protocol_that_caused_the_f10395"/>
      <w:r>
        <w:rPr>
          <w:rFonts w:eastAsia="inter" w:cs="inter" w:ascii="inter" w:hAnsi="inter"/>
          <w:b/>
          <w:color w:val="000000"/>
          <w:sz w:val="24"/>
        </w:rPr>
        <w:t xml:space="preserve">3. The Protocol That "Caused the Warning"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"warning" about lock-in was caused by the industry-wide reliance on </w:t>
      </w:r>
      <w:r>
        <w:rPr>
          <w:rFonts w:eastAsia="inter" w:cs="inter" w:ascii="inter" w:hAnsi="inter"/>
          <w:b/>
          <w:color w:val="000000"/>
        </w:rPr>
        <w:t xml:space="preserve">Proprietary Interface Control Documents (ICDs)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 </w:t>
      </w:r>
      <w:r>
        <w:rPr>
          <w:rFonts w:eastAsia="inter" w:cs="inter" w:ascii="inter" w:hAnsi="inter"/>
          <w:b/>
          <w:color w:val="000000"/>
        </w:rPr>
        <w:t xml:space="preserve">ICD</w:t>
      </w:r>
      <w:r>
        <w:rPr>
          <w:rFonts w:eastAsia="inter" w:cs="inter" w:ascii="inter" w:hAnsi="inter"/>
          <w:color w:val="000000"/>
        </w:rPr>
        <w:t xml:space="preserve"> defines how two machines talk. When vendors keep their ICDs secret (or charge millions to share them), they create lock-in. The "warning" issued by bodies like the </w:t>
      </w:r>
      <w:r>
        <w:rPr>
          <w:rFonts w:eastAsia="inter" w:cs="inter" w:ascii="inter" w:hAnsi="inter"/>
          <w:b/>
          <w:color w:val="000000"/>
        </w:rPr>
        <w:t xml:space="preserve">UK CPNI (now NPSA)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NATO</w:t>
      </w:r>
      <w:r>
        <w:rPr>
          <w:rFonts w:eastAsia="inter" w:cs="inter" w:ascii="inter" w:hAnsi="inter"/>
          <w:color w:val="000000"/>
        </w:rPr>
        <w:t xml:space="preserve"> was specifically against purchasing systems that do not comply with open interoperability standards.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specific protocol often cited as the </w:t>
      </w:r>
      <w:r>
        <w:rPr>
          <w:rFonts w:eastAsia="inter" w:cs="inter" w:ascii="inter" w:hAnsi="inter"/>
          <w:i/>
          <w:color w:val="000000"/>
        </w:rPr>
        <w:t xml:space="preserve">solution</w:t>
      </w:r>
      <w:r>
        <w:rPr>
          <w:rFonts w:eastAsia="inter" w:cs="inter" w:ascii="inter" w:hAnsi="inter"/>
          <w:color w:val="000000"/>
        </w:rPr>
        <w:t xml:space="preserve"> (and whose absence is the </w:t>
      </w:r>
      <w:r>
        <w:rPr>
          <w:rFonts w:eastAsia="inter" w:cs="inter" w:ascii="inter" w:hAnsi="inter"/>
          <w:i/>
          <w:color w:val="000000"/>
        </w:rPr>
        <w:t xml:space="preserve">cause</w:t>
      </w:r>
      <w:r>
        <w:rPr>
          <w:rFonts w:eastAsia="inter" w:cs="inter" w:ascii="inter" w:hAnsi="inter"/>
          <w:color w:val="000000"/>
        </w:rPr>
        <w:t xml:space="preserve"> of the warning) is </w:t>
      </w:r>
      <w:r>
        <w:rPr>
          <w:rFonts w:eastAsia="inter" w:cs="inter" w:ascii="inter" w:hAnsi="inter"/>
          <w:b/>
          <w:color w:val="000000"/>
        </w:rPr>
        <w:t xml:space="preserve">SAPIENT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0" w:name="sapient_sensing_for_asset_protect_6a5451"/>
      <w:r>
        <w:rPr>
          <w:rFonts w:eastAsia="inter" w:cs="inter" w:ascii="inter" w:hAnsi="inter"/>
          <w:b/>
          <w:color w:val="000000"/>
          <w:sz w:val="24"/>
        </w:rPr>
        <w:t xml:space="preserve">SAPIENT (Sensing for Asset Protection with Integrated Electronic Networked Technology)</w:t>
      </w:r>
      <w:bookmarkEnd w:id="10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Problem (Proprietary Protocols):</w:t>
      </w:r>
      <w:r>
        <w:rPr>
          <w:rFonts w:eastAsia="inter" w:cs="inter" w:ascii="inter" w:hAnsi="inter"/>
          <w:color w:val="000000"/>
          <w:sz w:val="21"/>
        </w:rPr>
        <w:t xml:space="preserve"> Without SAPIENT, a radar sends raw data in a custom format (e.g., proprietary XML/JSON) that only its own software can read.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Fix (SAPIENT / BSI Flex 335):</w:t>
      </w:r>
      <w:r>
        <w:rPr>
          <w:rFonts w:eastAsia="inter" w:cs="inter" w:ascii="inter" w:hAnsi="inter"/>
          <w:color w:val="000000"/>
          <w:sz w:val="21"/>
        </w:rPr>
        <w:t xml:space="preserve"> This standard dictates that </w:t>
      </w:r>
      <w:r>
        <w:rPr>
          <w:rFonts w:eastAsia="inter" w:cs="inter" w:ascii="inter" w:hAnsi="inter"/>
          <w:i/>
          <w:color w:val="000000"/>
          <w:sz w:val="21"/>
        </w:rPr>
        <w:t xml:space="preserve">all</w:t>
      </w:r>
      <w:r>
        <w:rPr>
          <w:rFonts w:eastAsia="inter" w:cs="inter" w:ascii="inter" w:hAnsi="inter"/>
          <w:color w:val="000000"/>
          <w:sz w:val="21"/>
        </w:rPr>
        <w:t xml:space="preserve"> sensors must send data in a generic "Detected Object" format. This allows a command center to swap out a radar from Vendor A for Vendor B without changing a single line of code in the command software.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Table: Proprietary vs. Open Protocol Impact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Proprietary / Closed Protocols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(The "Lock-In" Trap)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Open Standards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(e.g., SAPIENT, ASTERIX)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Data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 Binary/JSON defined by 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Standardized Schema (BSI Flex 335)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Requires custom driver for every new sensor ($$$)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"Plug and Play" (Sensor acts as generic node)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Upgrade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Must buy same vendor's next-gen sensor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Can bid out to </w:t>
            </w: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any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vendor for upgrades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Example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DJI AeroScope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Early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Dedrone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APIs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Terma T.React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UK MOD SAPIENT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summary_recommendation"/>
      <w:r>
        <w:rPr>
          <w:rFonts w:eastAsia="inter" w:cs="inter" w:ascii="inter" w:hAnsi="inter"/>
          <w:b/>
          <w:color w:val="000000"/>
          <w:sz w:val="24"/>
        </w:rPr>
        <w:t xml:space="preserve">Summary Recommendation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avoid the lock-in found in early projects, referencing the </w:t>
      </w:r>
      <w:r>
        <w:rPr>
          <w:rFonts w:eastAsia="inter" w:cs="inter" w:ascii="inter" w:hAnsi="inter"/>
          <w:b/>
          <w:color w:val="000000"/>
        </w:rPr>
        <w:t xml:space="preserve">"SAPIENT Standard" (BSI Flex 335)</w:t>
      </w:r>
      <w:r>
        <w:rPr>
          <w:rFonts w:eastAsia="inter" w:cs="inter" w:ascii="inter" w:hAnsi="inter"/>
          <w:color w:val="000000"/>
        </w:rPr>
        <w:t xml:space="preserve"> is the industry best practice. The "Denmark Project" (Terma/DALO) succeeded because it rejected the single-vendor "black box" model in favor of an open architecture that could ingest data from any compliant protocol (like ASTERIX for radars or SAPIENT for multi-sensor fusion).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2" w:name="fn1"/>
    <w:bookmarkEnd w:id="12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https://www.defensenews.com/global/europe/2025/12/01/danish-uk-firms-rush-counter-drone-takeover-amid-airspace-breaches/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" w:name="fn2"/>
    <w:bookmarkEnd w:id="13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https://www.commercialuavnews.com/beyond-the-box-how-c-uas-companies-can-win-in-the-era-of-the-system-of-systems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" w:name="fn3"/>
    <w:bookmarkEnd w:id="14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https://sbdji.cc/wp-content/uploads/2024/03/Security-Risks-of-the-Aeroscope-Upgrade-Module-Whitepaper-March-2024.pdf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" w:name="fn4"/>
    <w:bookmarkEnd w:id="15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https://sentrycs.com/the-counter-drone-blog/the-ultimate-2025-c-uas-technology-evaluation-checklist/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" w:name="fn5"/>
    <w:bookmarkEnd w:id="16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https://www.unmannedairspace.info/counter-uas-systems-and-policies/sapient-helps-intercept-drones-at-nato-summit/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" w:name="fn6"/>
    <w:bookmarkEnd w:id="17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https://www.unmannedairspace.info/wp-content/uploads/2023/04/Counter-UAS-directory.-April-2023.v2.pdf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" w:name="fn7"/>
    <w:bookmarkEnd w:id="18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https://assets.publishing.service.gov.uk/media/673f34774ebce30ac7baf039/MOW_-_WP7_response.pdf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8"/>
    <w:bookmarkEnd w:id="19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https://www.dronedubai.ae/defence/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9"/>
    <w:bookmarkEnd w:id="20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https://battle-updates.com/update/radar-eo-ir-c-uas-night-vision-and-surveillance-update-269/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10"/>
    <w:bookmarkEnd w:id="21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https://www.fmi.dk/en/sus/corporate-social-responsibility/csr-initiatives-in-dalo/due-diligence/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" w:name="fn11"/>
    <w:bookmarkEnd w:id="22"/>
    <w:p>
      <w:pPr>
        <w:numPr>
          <w:ilvl w:val="0"/>
          <w:numId w:val="3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https://www.aerobits.pl/wp-content/uploads/ci_uploads_software/trkme/technical_doc/trkME_Datasheet_v2_87_1.pdf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12"/>
    <w:bookmarkEnd w:id="23"/>
    <w:p>
      <w:pPr>
        <w:numPr>
          <w:ilvl w:val="0"/>
          <w:numId w:val="3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https://aerospace-innovations.com/efbs-cyber-safety/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13"/>
    <w:bookmarkEnd w:id="24"/>
    <w:p>
      <w:pPr>
        <w:numPr>
          <w:ilvl w:val="0"/>
          <w:numId w:val="3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https://www.f6s.com/companies/iot/mo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14"/>
    <w:bookmarkEnd w:id="25"/>
    <w:p>
      <w:pPr>
        <w:numPr>
          <w:ilvl w:val="0"/>
          <w:numId w:val="3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https://eutechloop.com/escaping-vendor-lock-ins-in-europe-will-the-eu-data-act-help-europeans-regain-technological-freedom-and-choice/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15"/>
    <w:bookmarkEnd w:id="26"/>
    <w:p>
      <w:pPr>
        <w:numPr>
          <w:ilvl w:val="0"/>
          <w:numId w:val="3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https://www.frequentis.com/sites/default/files/support/2020-02/Frequentis-Counter-UAV-Whitepaper.pdf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16"/>
    <w:bookmarkEnd w:id="27"/>
    <w:p>
      <w:pPr>
        <w:numPr>
          <w:ilvl w:val="0"/>
          <w:numId w:val="3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https://enlets.eu/wp-content/uploads/2022/05/C-UAS-TIG-Summary-Report.pdf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17"/>
    <w:bookmarkEnd w:id="28"/>
    <w:p>
      <w:pPr>
        <w:numPr>
          <w:ilvl w:val="0"/>
          <w:numId w:val="3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https://ec.europa.eu/info/funding-tenders/opportunities/portal/screen/opportunities/tender-details/docs/513ade28-34eb-4b3a-8523-915df6df4ddd-CN/Annex I Tender Specifications C-UAS Adversarial Testing Services final_V1.pdf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18"/>
    <w:bookmarkEnd w:id="29"/>
    <w:p>
      <w:pPr>
        <w:numPr>
          <w:ilvl w:val="0"/>
          <w:numId w:val="3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https://iottechnews.com/news/sapient-intercepts-hostile-drone-threats-nato-summit/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" w:name="fn19"/>
    <w:bookmarkEnd w:id="30"/>
    <w:p>
      <w:pPr>
        <w:numPr>
          <w:ilvl w:val="0"/>
          <w:numId w:val="3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https://www.linkedin.com/posts/manoj-kumar-jain-44a60184_interface-control-document-icd-the-activity-7391485267708260352-jzr5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20"/>
    <w:bookmarkEnd w:id="31"/>
    <w:p>
      <w:pPr>
        <w:numPr>
          <w:ilvl w:val="0"/>
          <w:numId w:val="3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https://media.frag-den-staat.de/files/foi/1003296/02-02-jrc-red-p.pdf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21"/>
    <w:bookmarkEnd w:id="32"/>
    <w:p>
      <w:pPr>
        <w:numPr>
          <w:ilvl w:val="0"/>
          <w:numId w:val="3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https://gokulnk.com/notes/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" w:name="fn22"/>
    <w:bookmarkEnd w:id="33"/>
    <w:p>
      <w:pPr>
        <w:numPr>
          <w:ilvl w:val="0"/>
          <w:numId w:val="3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https://www.aviationupdatemag.in/denmark-deploys-termas-integrated-counter-uas-solution-across-strategic-sites/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" w:name="fn23"/>
    <w:bookmarkEnd w:id="34"/>
    <w:p>
      <w:pPr>
        <w:numPr>
          <w:ilvl w:val="0"/>
          <w:numId w:val="3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https://www.reddit.com/r/devops/comments/cf52z7/how_much_does_vendor_lock_in_matter_in_your/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" w:name="fn24"/>
    <w:bookmarkEnd w:id="35"/>
    <w:p>
      <w:pPr>
        <w:numPr>
          <w:ilvl w:val="0"/>
          <w:numId w:val="3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https://www.cto.mil/wp-content/uploads/2025/03/MOSA-Implementation-Guidebook-27Feb2025-Cleared.pdf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" w:name="fn25"/>
    <w:bookmarkEnd w:id="36"/>
    <w:p>
      <w:pPr>
        <w:numPr>
          <w:ilvl w:val="0"/>
          <w:numId w:val="3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https://www.terma.com/news-events/news/latest-news/denmark-deploys-terma-s-integrated-counter-uas-solution-across-strategic-sites/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" w:name="fn26"/>
    <w:bookmarkEnd w:id="37"/>
    <w:p>
      <w:pPr>
        <w:numPr>
          <w:ilvl w:val="0"/>
          <w:numId w:val="3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https://www.flyingmag.com/nato-set-to-adopt-british-mod-standard-for-counter-drone-technology/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" w:name="fn27"/>
    <w:bookmarkEnd w:id="38"/>
    <w:p>
      <w:pPr>
        <w:numPr>
          <w:ilvl w:val="0"/>
          <w:numId w:val="3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https://www.cs-soprasteria.com/en/offerings-solutions/surveillance-command-systems/counter-uav-system/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" w:name="fn28"/>
    <w:bookmarkEnd w:id="39"/>
    <w:p>
      <w:pPr>
        <w:numPr>
          <w:ilvl w:val="0"/>
          <w:numId w:val="3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https://buzzclan.com/cloud/vendor-lock-in/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" w:name="fn29"/>
    <w:bookmarkEnd w:id="40"/>
    <w:p>
      <w:pPr>
        <w:numPr>
          <w:ilvl w:val="0"/>
          <w:numId w:val="3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https://www.eurocontrol.int/sites/default/files/2024-11/eurocontrol-2024-cuas-workshop-s2-kretschmann-romek.pdf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a284719e4de5b8f4b3154d70215060097d3df79.png" TargetMode="Internal"/><Relationship Id="rId6" Type="http://schemas.openxmlformats.org/officeDocument/2006/relationships/hyperlink" Target="https://www.defensenews.com/global/europe/2025/12/01/danish-uk-firms-rush-counter-drone-takeover-amid-airspace-breaches/" TargetMode="External"/><Relationship Id="rId7" Type="http://schemas.openxmlformats.org/officeDocument/2006/relationships/hyperlink" Target="https://www.commercialuavnews.com/beyond-the-box-how-c-uas-companies-can-win-in-the-era-of-the-system-of-systems" TargetMode="External"/><Relationship Id="rId8" Type="http://schemas.openxmlformats.org/officeDocument/2006/relationships/hyperlink" Target="https://sbdji.cc/wp-content/uploads/2024/03/Security-Risks-of-the-Aeroscope-Upgrade-Module-Whitepaper-March-2024.pdf" TargetMode="External"/><Relationship Id="rId9" Type="http://schemas.openxmlformats.org/officeDocument/2006/relationships/hyperlink" Target="https://sentrycs.com/the-counter-drone-blog/the-ultimate-2025-c-uas-technology-evaluation-checklist/" TargetMode="External"/><Relationship Id="rId10" Type="http://schemas.openxmlformats.org/officeDocument/2006/relationships/hyperlink" Target="https://www.unmannedairspace.info/counter-uas-systems-and-policies/sapient-helps-intercept-drones-at-nato-summit/" TargetMode="External"/><Relationship Id="rId11" Type="http://schemas.openxmlformats.org/officeDocument/2006/relationships/hyperlink" Target="https://www.unmannedairspace.info/wp-content/uploads/2023/04/Counter-UAS-directory.-April-2023.v2.pdf" TargetMode="External"/><Relationship Id="rId12" Type="http://schemas.openxmlformats.org/officeDocument/2006/relationships/hyperlink" Target="https://assets.publishing.service.gov.uk/media/673f34774ebce30ac7baf039/MOW_-_WP7_response.pdf" TargetMode="External"/><Relationship Id="rId13" Type="http://schemas.openxmlformats.org/officeDocument/2006/relationships/hyperlink" Target="https://www.dronedubai.ae/defence/" TargetMode="External"/><Relationship Id="rId14" Type="http://schemas.openxmlformats.org/officeDocument/2006/relationships/hyperlink" Target="https://battle-updates.com/update/radar-eo-ir-c-uas-night-vision-and-surveillance-update-269/" TargetMode="External"/><Relationship Id="rId15" Type="http://schemas.openxmlformats.org/officeDocument/2006/relationships/hyperlink" Target="https://www.fmi.dk/en/sus/corporate-social-responsibility/csr-initiatives-in-dalo/due-diligence/" TargetMode="External"/><Relationship Id="rId16" Type="http://schemas.openxmlformats.org/officeDocument/2006/relationships/hyperlink" Target="https://www.aerobits.pl/wp-content/uploads/ci_uploads_software/trkme/technical_doc/trkME_Datasheet_v2_87_1.pdf" TargetMode="External"/><Relationship Id="rId17" Type="http://schemas.openxmlformats.org/officeDocument/2006/relationships/hyperlink" Target="https://aerospace-innovations.com/efbs-cyber-safety/" TargetMode="External"/><Relationship Id="rId18" Type="http://schemas.openxmlformats.org/officeDocument/2006/relationships/hyperlink" Target="https://www.f6s.com/companies/iot/mo" TargetMode="External"/><Relationship Id="rId19" Type="http://schemas.openxmlformats.org/officeDocument/2006/relationships/hyperlink" Target="https://eutechloop.com/escaping-vendor-lock-ins-in-europe-will-the-eu-data-act-help-europeans-regain-technological-freedom-and-choice/" TargetMode="External"/><Relationship Id="rId20" Type="http://schemas.openxmlformats.org/officeDocument/2006/relationships/hyperlink" Target="https://www.frequentis.com/sites/default/files/support/2020-02/Frequentis-Counter-UAV-Whitepaper.pdf" TargetMode="External"/><Relationship Id="rId21" Type="http://schemas.openxmlformats.org/officeDocument/2006/relationships/hyperlink" Target="https://enlets.eu/wp-content/uploads/2022/05/C-UAS-TIG-Summary-Report.pdf" TargetMode="External"/><Relationship Id="rId22" Type="http://schemas.openxmlformats.org/officeDocument/2006/relationships/hyperlink" Target="https://ec.europa.eu/info/funding-tenders/opportunities/portal/screen/opportunities/tender-details/docs/513ade28-34eb-4b3a-8523-915df6df4ddd-CN/Annex%20I%20Tender%20Specifications%20C-UAS%20Adversarial%20Testing%20Services%20final_V1.pdf" TargetMode="External"/><Relationship Id="rId23" Type="http://schemas.openxmlformats.org/officeDocument/2006/relationships/hyperlink" Target="https://iottechnews.com/news/sapient-intercepts-hostile-drone-threats-nato-summit/" TargetMode="External"/><Relationship Id="rId24" Type="http://schemas.openxmlformats.org/officeDocument/2006/relationships/hyperlink" Target="https://www.linkedin.com/posts/manoj-kumar-jain-44a60184_interface-control-document-icd-the-activity-7391485267708260352-jzr5" TargetMode="External"/><Relationship Id="rId25" Type="http://schemas.openxmlformats.org/officeDocument/2006/relationships/hyperlink" Target="https://media.frag-den-staat.de/files/foi/1003296/02-02-jrc-red-p.pdf" TargetMode="External"/><Relationship Id="rId26" Type="http://schemas.openxmlformats.org/officeDocument/2006/relationships/hyperlink" Target="https://gokulnk.com/notes/" TargetMode="External"/><Relationship Id="rId27" Type="http://schemas.openxmlformats.org/officeDocument/2006/relationships/hyperlink" Target="https://www.aviationupdatemag.in/denmark-deploys-termas-integrated-counter-uas-solution-across-strategic-sites/" TargetMode="External"/><Relationship Id="rId28" Type="http://schemas.openxmlformats.org/officeDocument/2006/relationships/hyperlink" Target="https://www.reddit.com/r/devops/comments/cf52z7/how_much_does_vendor_lock_in_matter_in_your/" TargetMode="External"/><Relationship Id="rId29" Type="http://schemas.openxmlformats.org/officeDocument/2006/relationships/hyperlink" Target="https://www.cto.mil/wp-content/uploads/2025/03/MOSA-Implementation-Guidebook-27Feb2025-Cleared.pdf" TargetMode="External"/><Relationship Id="rId30" Type="http://schemas.openxmlformats.org/officeDocument/2006/relationships/hyperlink" Target="https://www.terma.com/news-events/news/latest-news/denmark-deploys-terma-s-integrated-counter-uas-solution-across-strategic-sites/" TargetMode="External"/><Relationship Id="rId31" Type="http://schemas.openxmlformats.org/officeDocument/2006/relationships/hyperlink" Target="https://www.flyingmag.com/nato-set-to-adopt-british-mod-standard-for-counter-drone-technology/" TargetMode="External"/><Relationship Id="rId32" Type="http://schemas.openxmlformats.org/officeDocument/2006/relationships/hyperlink" Target="https://www.cs-soprasteria.com/en/offerings-solutions/surveillance-command-systems/counter-uav-system/" TargetMode="External"/><Relationship Id="rId33" Type="http://schemas.openxmlformats.org/officeDocument/2006/relationships/hyperlink" Target="https://buzzclan.com/cloud/vendor-lock-in/" TargetMode="External"/><Relationship Id="rId34" Type="http://schemas.openxmlformats.org/officeDocument/2006/relationships/hyperlink" Target="https://www.eurocontrol.int/sites/default/files/2024-11/eurocontrol-2024-cuas-workshop-s2-kretschmann-romek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2025-12-29T07:59:02.322Z</dcterms:created>
  <dcterms:modified xsi:type="dcterms:W3CDTF">2025-12-29T07:59:02.322Z</dcterms:modified>
</cp:coreProperties>
</file>