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“Desarrollo de un sistema automatizado de gestión de historias clínicas para el centro veterinario Ani-Medical ”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Chillagana Paúl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Nasimba Jorge </w:t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Pallango Andrés 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16 de enero de 2024</w:t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" w:cs="Cambria" w:eastAsia="Cambria" w:hAnsi="Cambria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E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Desarrollo de un sistema automatizado de gestión de historias clínicas para el centro veterinario Ani-Medical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3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16-01-2024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8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Creación de Historias clínicas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D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Johanna Pila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2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Andrés Pallango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7">
            <w:pPr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16-01-2024</w:t>
            </w:r>
          </w:p>
        </w:tc>
      </w:tr>
      <w:tr>
        <w:trPr>
          <w:cantSplit w:val="0"/>
          <w:trHeight w:val="594.960937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 ingresa una cédula inválida en Historia Clínica General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La cédula no está correctamente validada para que ingrese los 10 caracteres obligatorios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Futura validación de Cédula</w:t>
            </w:r>
          </w:p>
        </w:tc>
      </w:tr>
      <w:tr>
        <w:trPr>
          <w:cantSplit w:val="0"/>
          <w:trHeight w:val="809.9414062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 ingresa una cédula inválida en Historia Clínica Dermatológica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La cédula no está correctamente validada para que ingrese los 10 caracteres obligatorios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Futura validación de Cédula</w:t>
            </w:r>
          </w:p>
        </w:tc>
      </w:tr>
      <w:tr>
        <w:trPr>
          <w:cantSplit w:val="0"/>
          <w:trHeight w:val="839.94140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CP-002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 ingresa una cédula inválida en la búsqueda de historia clínica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La cédula no está correctamente validada para que ingrese los 10 caracteres obligatorios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Futura validación de Cédula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