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comportamiento de los consumidores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PHILIP KOTLER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1.Conducta: Estímulo() -&gt;Respuesta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plaza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promoción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2.Identificar factores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culturales (alimentación por país)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subculturales(Religión,deporte,)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2125.9842519685035" w:hanging="360"/>
        <w:rPr>
          <w:u w:val="none"/>
        </w:rPr>
      </w:pPr>
      <w:r w:rsidDel="00000000" w:rsidR="00000000" w:rsidRPr="00000000">
        <w:rPr>
          <w:rtl w:val="0"/>
        </w:rPr>
        <w:t xml:space="preserve">clase social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Si entendemos las subculturas podemos hacer ofertas de valor más grandes a las culturas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por ejemplo: De acuerdo  por religión probablemente no consume vino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factores psicológicos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motivación(necesidad de reconocimiento)(entre más </w:t>
      </w:r>
      <w:r w:rsidDel="00000000" w:rsidR="00000000" w:rsidRPr="00000000">
        <w:rPr>
          <w:b w:val="1"/>
          <w:rtl w:val="0"/>
        </w:rPr>
        <w:t xml:space="preserve">necesidad </w:t>
      </w:r>
      <w:r w:rsidDel="00000000" w:rsidR="00000000" w:rsidRPr="00000000">
        <w:rPr>
          <w:rtl w:val="0"/>
        </w:rPr>
        <w:t xml:space="preserve">más apremiante):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Pirámide de maslow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Cluster(Agrupación)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