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5670550</wp:posOffset>
                </wp:positionH>
                <wp:positionV relativeFrom="page">
                  <wp:posOffset>0</wp:posOffset>
                </wp:positionV>
                <wp:extent cx="1701800" cy="1069213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100" y="0"/>
                          <a:ext cx="1701800" cy="10692130"/>
                          <a:chOff x="4495100" y="0"/>
                          <a:chExt cx="1701800" cy="7560000"/>
                        </a:xfrm>
                      </wpg:grpSpPr>
                      <wpg:grpSp>
                        <wpg:cNvGrpSpPr/>
                        <wpg:grpSpPr>
                          <a:xfrm>
                            <a:off x="4495100" y="0"/>
                            <a:ext cx="1701800" cy="7560000"/>
                            <a:chOff x="4495100" y="0"/>
                            <a:chExt cx="17018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495100" y="0"/>
                              <a:ext cx="1701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95100" y="0"/>
                              <a:ext cx="1701800" cy="7560000"/>
                              <a:chOff x="0" y="0"/>
                              <a:chExt cx="1701800" cy="1069213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701800" cy="1069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86435" y="0"/>
                                <a:ext cx="0" cy="1069213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57150">
                                <a:solidFill>
                                  <a:srgbClr val="FCCEA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41655" y="0"/>
                                <a:ext cx="0" cy="1069213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FCCEA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8295" y="0"/>
                                <a:ext cx="0" cy="1069213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CE6D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180" y="8477885"/>
                                <a:ext cx="0" cy="1574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3325">
                                <a:solidFill>
                                  <a:srgbClr val="FC853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5670550</wp:posOffset>
                </wp:positionH>
                <wp:positionV relativeFrom="page">
                  <wp:posOffset>0</wp:posOffset>
                </wp:positionV>
                <wp:extent cx="1701800" cy="1069213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1069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-28572</wp:posOffset>
                </wp:positionH>
                <wp:positionV relativeFrom="page">
                  <wp:posOffset>-28572</wp:posOffset>
                </wp:positionV>
                <wp:extent cx="57150" cy="57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C853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-28572</wp:posOffset>
                </wp:positionH>
                <wp:positionV relativeFrom="page">
                  <wp:posOffset>-28572</wp:posOffset>
                </wp:positionV>
                <wp:extent cx="57150" cy="5715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7" w:lineRule="auto"/>
        <w:ind w:left="316" w:firstLine="0"/>
        <w:rPr>
          <w:sz w:val="56"/>
          <w:szCs w:val="56"/>
        </w:rPr>
      </w:pPr>
      <w:r w:rsidDel="00000000" w:rsidR="00000000" w:rsidRPr="00000000">
        <w:rPr>
          <w:color w:val="224583"/>
          <w:sz w:val="56"/>
          <w:szCs w:val="56"/>
          <w:rtl w:val="0"/>
        </w:rPr>
        <w:t xml:space="preserve">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73"/>
          <w:szCs w:val="7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right="1329.9212598425208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color w:val="414651"/>
          <w:sz w:val="28"/>
          <w:szCs w:val="28"/>
          <w:rtl w:val="0"/>
        </w:rPr>
        <w:t xml:space="preserve">El objetivo de la capacitación es </w:t>
      </w:r>
      <w:r w:rsidDel="00000000" w:rsidR="00000000" w:rsidRPr="00000000">
        <w:rPr>
          <w:color w:val="414651"/>
          <w:sz w:val="28"/>
          <w:szCs w:val="28"/>
          <w:rtl w:val="0"/>
        </w:rPr>
        <w:t xml:space="preserve">fundamentar</w:t>
      </w:r>
      <w:r w:rsidDel="00000000" w:rsidR="00000000" w:rsidRPr="00000000">
        <w:rPr>
          <w:color w:val="414651"/>
          <w:sz w:val="28"/>
          <w:szCs w:val="28"/>
          <w:rtl w:val="0"/>
        </w:rPr>
        <w:t xml:space="preserve"> en el proceso de inspeccionar, limpiar y transformar datos con la intención de resaltar información útil para sugerir y ser apoyo en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316" w:right="6796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30" w:orient="portrait"/>
          <w:pgMar w:bottom="0" w:top="0" w:left="1580" w:right="1640" w:header="720" w:footer="720"/>
          <w:pgNumType w:start="1"/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65b00"/>
          <w:sz w:val="24"/>
          <w:szCs w:val="24"/>
          <w:u w:val="none"/>
          <w:shd w:fill="auto" w:val="clear"/>
          <w:vertAlign w:val="baseline"/>
          <w:rtl w:val="0"/>
        </w:rPr>
        <w:t xml:space="preserve">Andrés Paz B. </w:t>
      </w:r>
      <w:r w:rsidDel="00000000" w:rsidR="00000000" w:rsidRPr="00000000">
        <w:rPr>
          <w:color w:val="e65b00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65b00"/>
          <w:sz w:val="24"/>
          <w:szCs w:val="24"/>
          <w:u w:val="none"/>
          <w:shd w:fill="auto" w:val="clear"/>
          <w:vertAlign w:val="baseline"/>
          <w:rtl w:val="0"/>
        </w:rPr>
        <w:t xml:space="preserve">/06/202</w:t>
      </w:r>
      <w:r w:rsidDel="00000000" w:rsidR="00000000" w:rsidRPr="00000000">
        <w:rPr>
          <w:color w:val="e65b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7327900</wp:posOffset>
                </wp:positionH>
                <wp:positionV relativeFrom="page">
                  <wp:posOffset>0</wp:posOffset>
                </wp:positionV>
                <wp:extent cx="12700" cy="1069213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50" y="0"/>
                          <a:ext cx="12700" cy="10692130"/>
                          <a:chOff x="5339650" y="0"/>
                          <a:chExt cx="12700" cy="7560000"/>
                        </a:xfrm>
                      </wpg:grpSpPr>
                      <wpg:grpSp>
                        <wpg:cNvGrpSpPr/>
                        <wpg:grpSpPr>
                          <a:xfrm>
                            <a:off x="5339650" y="0"/>
                            <a:ext cx="12700" cy="7560000"/>
                            <a:chOff x="5339650" y="0"/>
                            <a:chExt cx="127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339650" y="0"/>
                              <a:ext cx="12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39650" y="0"/>
                              <a:ext cx="12700" cy="7560000"/>
                              <a:chOff x="0" y="0"/>
                              <a:chExt cx="12700" cy="1069213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12700" cy="1069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1270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853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1270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853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7327900</wp:posOffset>
                </wp:positionH>
                <wp:positionV relativeFrom="page">
                  <wp:posOffset>0</wp:posOffset>
                </wp:positionV>
                <wp:extent cx="12700" cy="1069213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9" w:lineRule="auto"/>
        <w:ind w:right="105"/>
        <w:jc w:val="right"/>
        <w:rPr>
          <w:sz w:val="20"/>
          <w:szCs w:val="20"/>
        </w:rPr>
      </w:pPr>
      <w:r w:rsidDel="00000000" w:rsidR="00000000" w:rsidRPr="00000000">
        <w:rPr>
          <w:color w:val="414651"/>
          <w:sz w:val="20"/>
          <w:szCs w:val="20"/>
          <w:rtl w:val="0"/>
        </w:rPr>
        <w:t xml:space="preserve">09-06-2021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94" w:lineRule="auto"/>
        <w:ind w:left="213" w:firstLine="0"/>
        <w:rPr>
          <w:sz w:val="48"/>
          <w:szCs w:val="48"/>
        </w:rPr>
      </w:pPr>
      <w:r w:rsidDel="00000000" w:rsidR="00000000" w:rsidRPr="00000000">
        <w:rPr>
          <w:color w:val="fc8537"/>
          <w:sz w:val="48"/>
          <w:szCs w:val="48"/>
          <w:rtl w:val="0"/>
        </w:rPr>
        <w:t xml:space="preserve">Plan de 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1" w:lineRule="auto"/>
        <w:ind w:left="213" w:firstLine="0"/>
        <w:rPr>
          <w:i w:val="1"/>
          <w:color w:val="555f6c"/>
          <w:sz w:val="24"/>
          <w:szCs w:val="24"/>
        </w:rPr>
      </w:pPr>
      <w:r w:rsidDel="00000000" w:rsidR="00000000" w:rsidRPr="00000000">
        <w:rPr>
          <w:i w:val="1"/>
          <w:color w:val="555f6c"/>
          <w:sz w:val="24"/>
          <w:szCs w:val="24"/>
          <w:rtl w:val="0"/>
        </w:rPr>
        <w:t xml:space="preserve">Docente Andrés Paz B.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820" w:right="0" w:hanging="36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41465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Fundamentos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414651"/>
          <w:sz w:val="32"/>
          <w:szCs w:val="32"/>
          <w:u w:val="none"/>
          <w:shd w:fill="auto" w:val="clear"/>
          <w:vertAlign w:val="baseline"/>
          <w:rtl w:val="0"/>
        </w:rPr>
        <w:t xml:space="preserve">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Estructuras de datos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Diseño de Bases de datos relacionales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Consultas de base de datos (SQL)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Uso de Herramientas de datos en Excel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" w:right="0" w:hanging="360"/>
        <w:jc w:val="left"/>
        <w:rPr>
          <w:color w:val="414651"/>
          <w:sz w:val="24"/>
          <w:szCs w:val="24"/>
          <w:u w:val="none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Matriz de Correlación (Validar factores de incidencia)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" w:right="0" w:hanging="360"/>
        <w:jc w:val="left"/>
        <w:rPr>
          <w:color w:val="414651"/>
          <w:sz w:val="24"/>
          <w:szCs w:val="24"/>
          <w:u w:val="none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Regresión Lineal Simple (Predecir fenómenos)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" w:right="0" w:hanging="360"/>
        <w:jc w:val="left"/>
        <w:rPr>
          <w:color w:val="414651"/>
          <w:sz w:val="24"/>
          <w:szCs w:val="24"/>
          <w:u w:val="none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Agrupamiento k-means (Identificar Grupos 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820" w:right="0" w:hanging="360"/>
        <w:jc w:val="left"/>
        <w:rPr>
          <w:b w:val="1"/>
          <w:color w:val="414651"/>
          <w:sz w:val="32"/>
          <w:szCs w:val="32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Power BI (Inteligencia de Negocio)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Columnas y Medidas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Conexión con diversas fuentes de datos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Visualizaciones (Dashboard)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Filtros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Publicar y Compartir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820" w:right="0" w:hanging="36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41465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Weka (Mineria de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Reglas de asociación (Probabilidad de compra de productos)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Cluster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Clasificación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820" w:right="0" w:hanging="36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41465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 Google DataStudio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Métricas y Dimensiones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Informe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Reportes de audiencia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Reportes de publicidad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Reportes de youtube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Plantillas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Compartir y embeber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820" w:right="0" w:hanging="36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41465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Legislación y  privacidad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Ley 1266 Tratamiento de datos financieros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Ley 1581 Protección de datos personales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hanging="360"/>
        <w:jc w:val="left"/>
        <w:rPr>
          <w:b w:val="1"/>
          <w:color w:val="414651"/>
          <w:sz w:val="28"/>
          <w:szCs w:val="28"/>
        </w:rPr>
      </w:pPr>
      <w:r w:rsidDel="00000000" w:rsidR="00000000" w:rsidRPr="00000000">
        <w:rPr>
          <w:color w:val="414651"/>
          <w:sz w:val="24"/>
          <w:szCs w:val="24"/>
          <w:rtl w:val="0"/>
        </w:rPr>
        <w:t xml:space="preserve">Ley 1273 Ley de delitos informáticos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146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firstLine="0"/>
        <w:jc w:val="left"/>
        <w:rPr>
          <w:color w:val="414651"/>
          <w:sz w:val="24"/>
          <w:szCs w:val="24"/>
        </w:rPr>
      </w:pPr>
      <w:r w:rsidDel="00000000" w:rsidR="00000000" w:rsidRPr="00000000">
        <w:rPr>
          <w:b w:val="1"/>
          <w:color w:val="414651"/>
          <w:sz w:val="32"/>
          <w:szCs w:val="3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146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128"/>
        <w:jc w:val="right"/>
        <w:rPr>
          <w:sz w:val="20"/>
          <w:szCs w:val="20"/>
        </w:rPr>
      </w:pPr>
      <w:r w:rsidDel="00000000" w:rsidR="00000000" w:rsidRPr="00000000">
        <w:rPr>
          <w:color w:val="414651"/>
          <w:sz w:val="20"/>
          <w:szCs w:val="20"/>
          <w:vertAlign w:val="baseline"/>
        </w:rPr>
        <w:drawing>
          <wp:inline distB="0" distT="0" distL="0" distR="0">
            <wp:extent cx="129539" cy="1295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280" w:top="820" w:left="1580" w:right="1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1"/>
      <w:numFmt w:val="bullet"/>
      <w:lvlText w:val="○"/>
      <w:lvlJc w:val="left"/>
      <w:pPr>
        <w:ind w:left="1540" w:hanging="360"/>
      </w:pPr>
      <w:rPr/>
    </w:lvl>
    <w:lvl w:ilvl="2">
      <w:start w:val="1"/>
      <w:numFmt w:val="lowerRoman"/>
      <w:lvlText w:val="%3."/>
      <w:lvlJc w:val="right"/>
      <w:pPr>
        <w:ind w:left="2260" w:hanging="180"/>
      </w:pPr>
      <w:rPr/>
    </w:lvl>
    <w:lvl w:ilvl="3">
      <w:start w:val="1"/>
      <w:numFmt w:val="bullet"/>
      <w:lvlText w:val="●"/>
      <w:lvlJc w:val="left"/>
      <w:pPr>
        <w:ind w:left="2980" w:hanging="360"/>
      </w:pPr>
      <w:rPr/>
    </w:lvl>
    <w:lvl w:ilvl="4">
      <w:start w:val="1"/>
      <w:numFmt w:val="lowerLetter"/>
      <w:lvlText w:val="%5."/>
      <w:lvlJc w:val="left"/>
      <w:pPr>
        <w:ind w:left="3700" w:hanging="360"/>
      </w:pPr>
      <w:rPr/>
    </w:lvl>
    <w:lvl w:ilvl="5">
      <w:start w:val="1"/>
      <w:numFmt w:val="lowerRoman"/>
      <w:lvlText w:val="%6."/>
      <w:lvlJc w:val="right"/>
      <w:pPr>
        <w:ind w:left="4420" w:hanging="180"/>
      </w:pPr>
      <w:rPr/>
    </w:lvl>
    <w:lvl w:ilvl="6">
      <w:start w:val="1"/>
      <w:numFmt w:val="decimal"/>
      <w:lvlText w:val="%7."/>
      <w:lvlJc w:val="left"/>
      <w:pPr>
        <w:ind w:left="5140" w:hanging="360"/>
      </w:pPr>
      <w:rPr/>
    </w:lvl>
    <w:lvl w:ilvl="7">
      <w:start w:val="1"/>
      <w:numFmt w:val="lowerLetter"/>
      <w:lvlText w:val="%8."/>
      <w:lvlJc w:val="left"/>
      <w:pPr>
        <w:ind w:left="5860" w:hanging="360"/>
      </w:pPr>
      <w:rPr/>
    </w:lvl>
    <w:lvl w:ilvl="8">
      <w:start w:val="1"/>
      <w:numFmt w:val="lowerRoman"/>
      <w:lvlText w:val="%9."/>
      <w:lvlJc w:val="right"/>
      <w:pPr>
        <w:ind w:left="65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2" w:hanging="55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87" w:lineRule="auto"/>
      <w:ind w:left="10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2" w:hanging="55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87" w:lineRule="auto"/>
      <w:ind w:left="10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entury Schoolbook" w:cs="Century Schoolbook" w:eastAsia="Century Schoolbook" w:hAnsi="Century Schoolbook"/>
      <w:lang w:bidi="es-ES" w:eastAsia="es-ES" w:val="es-ES"/>
    </w:rPr>
  </w:style>
  <w:style w:type="paragraph" w:styleId="Ttulo1">
    <w:name w:val="heading 1"/>
    <w:basedOn w:val="Normal"/>
    <w:uiPriority w:val="1"/>
    <w:qFormat w:val="1"/>
    <w:pPr>
      <w:ind w:left="1012" w:hanging="553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uiPriority w:val="1"/>
    <w:qFormat w:val="1"/>
    <w:pPr>
      <w:spacing w:before="87"/>
      <w:ind w:left="100"/>
      <w:outlineLvl w:val="1"/>
    </w:pPr>
    <w:rPr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116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H9+lAE34/Z3EmiWHbRhw8s8eg==">AMUW2mV9eSnpQboMB/e8P9WoxRiFWNpiTAM1zUFWy4EVzqE93RcdADmDtPp+Cz77NgGVOPzYLs8rfcuoTbQP0d9yojv9Gcrv/FF8bVdKV6sjk/MRUodedUI=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2020-10-08T23:09:00Z</dcterms:created>
  <dc:creator>andres paz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2020-10-08T00:00:00Z</vt:filetime>
  </property>
</Properties>
</file>