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 xml:space="preserve">Capítulo 4. Pruebas (versión resumida)</w:t>
      </w:r>
    </w:p>
    <w:p>
      <w:pPr>
        <w:pStyle w:val="Cuerpodeltexto"/>
      </w:pPr>
      <w:r>
        <w:rPr>
          <w:b/>
          <w:bCs/>
          <w:i/>
          <w:iCs/>
        </w:rPr>
        <w:t xml:space="preserve">Resumen del proceso de prueba y sus resultados, cerrado el 26 de septiembre de 2026. La versión completa —36 tablas, 24 modelos de prueba, 26 incidencias y las 40 preguntas del banco— es el anexo de pruebas, compuesto por seis documentos que aquí se citan por su sección para quien quiera ir al detalle.</w:t>
      </w:r>
    </w:p>
    <w:p>
      <w:pPr>
        <w:pStyle w:val="Ttulo2"/>
      </w:pPr>
      <w:r>
        <w:t xml:space="preserve">Qué se probó, y con qué limitaciones</w:t>
      </w:r>
    </w:p>
    <w:p>
      <w:pPr>
        <w:pStyle w:val="Cuerpodeltexto"/>
      </w:pPr>
      <w:r>
        <w:t xml:space="preserve">El prototipo es un asistente de WhatsApp para líderes y propietarios de huertas urbanas de Bosa, personas con una apropiación tecnológica limitada al uso básico del celular. Probarlo no es solo comprobar que el programa no se rompe, sino que </w:t>
      </w:r>
      <w:r>
        <w:rPr>
          <w:b/>
          <w:bCs/>
        </w:rPr>
        <w:t xml:space="preserve">lo que la persona recibe en su teléfono es correcto, es prudente y no expone su información</w:t>
      </w:r>
      <w:r>
        <w:t xml:space="preserve">.</w:t>
      </w:r>
    </w:p>
    <w:p>
      <w:pPr>
        <w:pStyle w:val="Cuerpodeltexto"/>
      </w:pPr>
      <w:r>
        <w:t xml:space="preserve">El proceso se diseñó conforme a la familia </w:t>
      </w:r>
      <w:r>
        <w:rPr>
          <w:b/>
          <w:bCs/>
        </w:rPr>
        <w:t xml:space="preserve">ISO/IEC/IEEE 29119</w:t>
      </w:r>
      <w:r>
        <w:t xml:space="preserve">, el estándar internacional de pruebas de software, en su forma de conformidad </w:t>
      </w:r>
      <w:r>
        <w:rPr>
          <w:b/>
          <w:bCs/>
        </w:rPr>
        <w:t xml:space="preserve">adaptada</w:t>
      </w:r>
      <w:r>
        <w:t xml:space="preserve">, que obliga a registrar qué quedó fuera y qué riesgo se asume por ello. Se declararon nueve desviaciones, tres de riesgo alto: </w:t>
      </w:r>
      <w:r>
        <w:rPr>
          <w:b/>
          <w:bCs/>
        </w:rPr>
        <w:t xml:space="preserve">no hay un entorno de prueba separado</w:t>
      </w:r>
      <w:r>
        <w:t xml:space="preserve"> —se prueba contra la misma base de datos y las mismas fuentes del sistema en servicio, de modo que una prueba mal hecha puede alterar datos reales—, </w:t>
      </w:r>
      <w:r>
        <w:rPr>
          <w:b/>
          <w:bCs/>
        </w:rPr>
        <w:t xml:space="preserve">el autor prueba su propio producto</w:t>
      </w:r>
      <w:r>
        <w:t xml:space="preserve"> y </w:t>
      </w:r>
      <w:r>
        <w:rPr>
          <w:b/>
          <w:bCs/>
        </w:rPr>
        <w:t xml:space="preserve">no hay una autoridad de aprobación distinta de él</w:t>
      </w:r>
      <w:r>
        <w:t xml:space="preserve">. Tampoco hubo pruebas de rendimiento ni de seguridad ofensiva.</w:t>
      </w:r>
    </w:p>
    <w:p>
      <w:pPr>
        <w:pStyle w:val="Cuerpodeltexto"/>
      </w:pPr>
      <w:r>
        <w:t xml:space="preserve">Esas limitaciones no se corrigieron: se declararon y se contuvieron con tres reglas fijas. Las personas de prueba que crean los programas llevan una marca reconocible dentro de su identificador, de modo que una fila de prueba nunca se confunde con la de una participante real; todo dato que una prueba escribe se borra al terminar, aunque la prueba falle; y las filas de las participantes reales no se tocan. Contra la falta de independencia, la única mitigación posible fue </w:t>
      </w:r>
      <w:r>
        <w:rPr>
          <w:b/>
          <w:bCs/>
        </w:rPr>
        <w:t xml:space="preserve">fijar los criterios de aprobación por escrito antes de ejecutar</w:t>
      </w:r>
      <w:r>
        <w:t xml:space="preserve">.</w:t>
      </w:r>
    </w:p>
    <w:p>
      <w:pPr>
        <w:pStyle w:val="Ttulo2"/>
      </w:pPr>
      <w:r>
        <w:t xml:space="preserve">Lo que se construyó, y qué dio</w:t>
      </w:r>
    </w:p>
    <w:p>
      <w:pPr>
        <w:pStyle w:val="Cuerpodeltexto"/>
      </w:pPr>
      <w:r>
        <w:t xml:space="preserve">La prioridad la fijó el riesgo: de los 26 riesgos identificados se estimó probabilidad y gravedad, y de ese análisis salieron </w:t>
      </w:r>
      <w:r>
        <w:rPr>
          <w:b/>
          <w:bCs/>
        </w:rPr>
        <w:t xml:space="preserve">24 modelos de prueba</w:t>
      </w:r>
      <w:r>
        <w:t xml:space="preserve"> —cada uno describe una regla que el sistema debe cumplir siempre— y de ellos los </w:t>
      </w:r>
      <w:r>
        <w:rPr>
          <w:b/>
          <w:bCs/>
        </w:rPr>
        <w:t xml:space="preserve">231 casos automáticos</w:t>
      </w:r>
      <w:r>
        <w:t xml:space="preserve">, que corren en segundos y se lanzan solos cada vez que cambia el código. Comprueban, entre otras cosas, el cifrado del nombre, que un mensaje venga de verdad de WhatsApp y la advertencia médica obligatoria.</w:t>
      </w:r>
    </w:p>
    <w:p>
      <w:pPr>
        <w:pStyle w:val="Cuerpodeltexto"/>
      </w:pPr>
      <w:r>
        <w:t xml:space="preserve">Los </w:t>
      </w:r>
      <w:r>
        <w:rPr>
          <w:b/>
          <w:bCs/>
        </w:rPr>
        <w:t xml:space="preserve">231 casos pasan</w:t>
      </w:r>
      <w:r>
        <w:t xml:space="preserve">. También las </w:t>
      </w:r>
      <w:r>
        <w:rPr>
          <w:b/>
          <w:bCs/>
        </w:rPr>
        <w:t xml:space="preserve">34 comprobaciones</w:t>
      </w:r>
      <w:r>
        <w:t xml:space="preserve"> del recorrido completo de un mensaje, sobre los nueve caminos del sistema, y las </w:t>
      </w:r>
      <w:r>
        <w:rPr>
          <w:b/>
          <w:bCs/>
        </w:rPr>
        <w:t xml:space="preserve">4</w:t>
      </w:r>
      <w:r>
        <w:t xml:space="preserve"> del servicio ya publicado: que responde, que la base de datos está disponible, que la versión desplegada es la esperada y que el modelo de lenguaje en uso es el declarado.</w:t>
      </w:r>
    </w:p>
    <w:p>
      <w:pPr>
        <w:pStyle w:val="Cuerpodeltexto"/>
      </w:pPr>
      <w:r>
        <w:t xml:space="preserve">Dos cosas conviene no perder. Los únicos cinco fallos que aparecieron </w:t>
      </w:r>
      <w:r>
        <w:rPr>
          <w:b/>
          <w:bCs/>
        </w:rPr>
        <w:t xml:space="preserve">no eran del producto, sino de las pruebas mismas</w:t>
      </w:r>
      <w:r>
        <w:t xml:space="preserve">. Y la primera comprobación del servicio publicado destapó que el documento de estado del proyecto afirmaba </w:t>
      </w:r>
      <w:r>
        <w:rPr>
          <w:b/>
          <w:bCs/>
        </w:rPr>
        <w:t xml:space="preserve">tres cosas falsas</w:t>
      </w:r>
      <w:r>
        <w:t xml:space="preserve"> sobre el despliegue, heredadas por el plan de pruebas.</w:t>
      </w:r>
    </w:p>
    <w:p>
      <w:pPr>
        <w:pStyle w:val="Notadetabla"/>
      </w:pPr>
      <w:r>
        <w:rPr>
          <w:i/>
          <w:iCs/>
        </w:rPr>
        <w:t>Anexos.</w:t>
      </w:r>
      <w:r>
        <w:t xml:space="preserve"> Política y prácticas de prueba, §1 y §3.7; Plan de pruebas, §5, §6.9 y §6.10; Especificación de pruebas, partes 1 a 3.</w:t>
      </w:r>
    </w:p>
    <w:p>
      <w:pPr>
        <w:pStyle w:val="Ttulo2"/>
      </w:pPr>
      <w:r>
        <w:t xml:space="preserve">La calidad de la respuesta agroecológica</w:t>
      </w:r>
    </w:p>
    <w:p>
      <w:pPr>
        <w:pStyle w:val="Cuerpodeltexto"/>
      </w:pPr>
      <w:r>
        <w:t xml:space="preserve">Es la prueba más cercana a lo que la persona percibe. El asistente responde apoyándose en nueve fuentes oficiales —cartillas del Jardín Botánico, un manual de la FAO y un libro universitario, entre otras— y, cuando ninguna cubre la pregunta, responde con el conocimiento del modelo de lenguaje pero </w:t>
      </w:r>
      <w:r>
        <w:rPr>
          <w:b/>
          <w:bCs/>
        </w:rPr>
        <w:t xml:space="preserve">sin citar a nadie</w:t>
      </w:r>
      <w:r>
        <w:t xml:space="preserve">: esa ausencia de cita distingue una recomendación respaldada de una que no lo está. Cada pregunta se formula por el mismo camino que un mensaje real, de modo que se califica lo que la persona recibiría.</w:t>
      </w:r>
    </w:p>
    <w:p>
      <w:pPr>
        <w:pStyle w:val="Cuerpodeltexto"/>
      </w:pPr>
      <w:r>
        <w:t xml:space="preserve">La primera versión del banco, de 20 preguntas, encontró el defecto más grave de la fase: </w:t>
      </w:r>
      <w:r>
        <w:rPr>
          <w:b/>
          <w:bCs/>
        </w:rPr>
        <w:t xml:space="preserve">6 de 20 respuestas decían no tener la información y, aun así, firmaban citando al Jardín Botánico</w:t>
      </w:r>
      <w:r>
        <w:t xml:space="preserve">, porque las instrucciones de redacción pedían a la vez declarar cuándo no alcanza la información y citar siempre la fuente. La corrección sacó la cita de manos del modelo: ahora la pone el programa, con la entidad tomada de la base de datos y solo cuando el modelo declara haber usado el material consultado. El defecto pasó de </w:t>
      </w:r>
      <w:r>
        <w:rPr>
          <w:b/>
          <w:bCs/>
        </w:rPr>
        <w:t xml:space="preserve">6 de 20 a 0 de 20</w:t>
      </w:r>
      <w:r>
        <w:t xml:space="preserve"> y no reapareció en las 80 respuestas posteriores. Al repetir esa ejecución, además, </w:t>
      </w:r>
      <w:r>
        <w:rPr>
          <w:b/>
          <w:bCs/>
        </w:rPr>
        <w:t xml:space="preserve">dos conclusiones dadas por buenas con una sola corrida se deshicieron</w:t>
      </w:r>
      <w:r>
        <w:t xml:space="preserve">: de ahí la práctica de aprobar por repetición, y nunca por una sola ejecución, toda medición en la que participe el modelo.</w:t>
      </w:r>
    </w:p>
    <w:p>
      <w:pPr>
        <w:pStyle w:val="Cuerpodeltexto"/>
      </w:pPr>
      <w:r>
        <w:t xml:space="preserve">El banco de referencia son </w:t>
      </w:r>
      <w:r>
        <w:rPr>
          <w:b/>
          <w:bCs/>
        </w:rPr>
        <w:t xml:space="preserve">40 preguntas</w:t>
      </w:r>
      <w:r>
        <w:t xml:space="preserve"> de agricultura urbana con un criterio único: </w:t>
      </w:r>
      <w:r>
        <w:rPr>
          <w:i/>
          <w:iCs/>
        </w:rPr>
        <w:t xml:space="preserve">¿responde correctamente lo que se preguntó?</w:t>
      </w:r>
      <w:r>
        <w:t xml:space="preserve"> Se consideró conservar solo las 20 de mejor resultado y se descartó, porque un banco elegido por su resultado sale cerca del máximo por construcción y no mide nada. El resultado es </w:t>
      </w:r>
      <w:r>
        <w:rPr>
          <w:b/>
          <w:bCs/>
        </w:rPr>
        <w:t xml:space="preserve">59 de 80 (74 %)</w:t>
      </w:r>
      <w:r>
        <w:t xml:space="preserve"> en dos rondas, y es estable: 37 de las 40 preguntas reciben la misma calificación en ambas. Las nueve que fallan siempre se reparten en tres causas, y la distinción importa porque cada una se corrige de otro modo: </w:t>
      </w:r>
      <w:r>
        <w:rPr>
          <w:b/>
          <w:bCs/>
        </w:rPr>
        <w:t xml:space="preserve">datos que las fuentes no contienen</w:t>
      </w:r>
      <w:r>
        <w:t xml:space="preserve">, que se resuelven ampliando las fuentes; </w:t>
      </w:r>
      <w:r>
        <w:rPr>
          <w:b/>
          <w:bCs/>
        </w:rPr>
        <w:t xml:space="preserve">términos que las fuentes usan sin definir</w:t>
      </w:r>
      <w:r>
        <w:t xml:space="preserve">, que el modelo no puede completar porque se le prohíbe añadir lo que no esté en el material consultado —el precio deliberado de evitar que invente—; y dos preguntas mal resueltas.</w:t>
      </w:r>
    </w:p>
    <w:p>
      <w:pPr>
        <w:pStyle w:val="Notadetabla"/>
      </w:pPr>
      <w:r>
        <w:rPr>
          <w:i/>
          <w:iCs/>
        </w:rPr>
        <w:t>Anexos.</w:t>
      </w:r>
      <w:r>
        <w:t xml:space="preserve"> Banco de preguntas agroecológicas, §4, §6, §8 y §9, con las 40 preguntas y su calificación una por una.</w:t>
      </w:r>
    </w:p>
    <w:p>
      <w:pPr>
        <w:pStyle w:val="Ttulo2"/>
      </w:pPr>
      <w:r>
        <w:t xml:space="preserve">Aceptación, incidencias y cierre de la fase</w:t>
      </w:r>
    </w:p>
    <w:p>
      <w:pPr>
        <w:pStyle w:val="Cuerpodeltexto"/>
      </w:pPr>
      <w:r>
        <w:t xml:space="preserve">La aceptación la ejecutaron participantes escribiendo al número de producción desde sus propios celulares, entre el 9 y el 25 de septiembre de 2026: </w:t>
      </w:r>
      <w:r>
        <w:rPr>
          <w:b/>
          <w:bCs/>
        </w:rPr>
        <w:t xml:space="preserve">12 personas y 273 mensajes</w:t>
      </w:r>
      <w:r>
        <w:t xml:space="preserve">. El registro se reconstruyó después con una herramienta que </w:t>
      </w:r>
      <w:r>
        <w:rPr>
          <w:b/>
          <w:bCs/>
        </w:rPr>
        <w:t xml:space="preserve">no reproduce ni una palabra de lo que escribió nadie</w:t>
      </w:r>
      <w:r>
        <w:t xml:space="preserve">: solo fechas, conteos y seudónimos, para que pueda publicarse sin exponer a ninguna participante.</w:t>
      </w:r>
    </w:p>
    <w:p>
      <w:pPr>
        <w:pStyle w:val="Cuerpodeltexto"/>
      </w:pPr>
      <w:r>
        <w:rPr>
          <w:b/>
          <w:bCs/>
        </w:rPr>
        <w:t xml:space="preserve">Cinco de los ocho casos de uso tienen aceptación con evidencia en la base de datos.</w:t>
      </w:r>
      <w:r>
        <w:t xml:space="preserve"> Los otros tres —el listado de otras huertas, la búsqueda de un cultivo y la consulta de la propia huerta— </w:t>
      </w:r>
      <w:r>
        <w:rPr>
          <w:b/>
          <w:bCs/>
        </w:rPr>
        <w:t xml:space="preserve">no fallaron: nadie los usó</w:t>
      </w:r>
      <w:r>
        <w:t xml:space="preserve">. La afirmación previa de que los ocho habían pasado se apoyaba en la declaración del autor y no en la base de datos, y se corrigió. El registro dejó además un dato que no conviene omitir: </w:t>
      </w:r>
      <w:r>
        <w:rPr>
          <w:b/>
          <w:bCs/>
        </w:rPr>
        <w:t xml:space="preserve">once de las doce participantes escribieron un solo día</w:t>
      </w:r>
      <w:r>
        <w:t xml:space="preserve">, de modo que la adopción sostenida no está demostrada.</w:t>
      </w:r>
    </w:p>
    <w:p>
      <w:pPr>
        <w:pStyle w:val="Cuerpodeltexto"/>
      </w:pPr>
      <w:r>
        <w:t xml:space="preserve">Se registraron </w:t>
      </w:r>
      <w:r>
        <w:rPr>
          <w:b/>
          <w:bCs/>
        </w:rPr>
        <w:t xml:space="preserve">26 incidencias</w:t>
      </w:r>
      <w:r>
        <w:t xml:space="preserve">, de las que </w:t>
      </w:r>
      <w:r>
        <w:rPr>
          <w:b/>
          <w:bCs/>
        </w:rPr>
        <w:t xml:space="preserve">8 siguen abiertas</w:t>
      </w:r>
      <w:r>
        <w:t xml:space="preserve">. La severidad máxima se reserva para tres situaciones: que la persona no reciba respuesta, que reciba un dato falso sobre salud o que se filtre un dato personal. Y la métrica que mejor mide el valor de la prueba aquí es incómoda: los tres defectos de severidad máxima —un teléfono recuperable dentro de un identificador técnico, el asistente respondiendo de memoria sin consultar nada y ocho mensajes sin respuesta— </w:t>
      </w:r>
      <w:r>
        <w:rPr>
          <w:b/>
          <w:bCs/>
        </w:rPr>
        <w:t xml:space="preserve">los encontró el uso real, no una prueba</w:t>
      </w:r>
      <w:r>
        <w:t xml:space="preserve">. Los 231 casos se escribieron después y cubren código ya ejercitado por personas: son red de seguridad para lo que venga, no validación de lo ya ocurrido. Y la revisión de documentos y textos, que el plan original ni mencionaba, es la que más defectos encontró de todas.</w:t>
      </w:r>
    </w:p>
    <w:p>
      <w:pPr>
        <w:pStyle w:val="Leyendadetabla"/>
      </w:pPr>
      <w:r>
        <w:t xml:space="preserve">Tabla 1. Criterios de terminación de la prueba</w:t>
      </w:r>
    </w:p>
    <w:tbl>
      <w:tblPr>
        <w:tblW w:w="9360" w:type="dxa"/>
        <w:tblCellMar>
          <w:left w:w="10" w:type="dxa"/>
          <w:right w:w="10" w:type="dxa"/>
        </w:tblCellMar>
        <w:tblLook w:val="04A0" w:firstRow="1" w:lastRow="0" w:firstColumn="1" w:lastColumn="0" w:noHBand="0" w:noVBand="1"/>
      </w:tblPr>
      <w:tblGrid>
        <w:gridCol w:w="6000"/>
        <w:gridCol w:w="3360"/>
      </w:tblGrid>
      <w:tr>
        <w:trPr>
          <w:cantSplit/>
          <w:tblHeader/>
        </w:trPr>
        <w:tc>
          <w:tcPr>
            <w:tcW w:w="600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pPr>
              <w:pStyle w:val="Celdadetabla"/>
              <w:keepNext/>
            </w:pPr>
            <w:r>
              <w:rPr>
                <w:b/>
                <w:bCs/>
              </w:rPr>
              <w:t xml:space="preserve">Criterio de terminación</w:t>
            </w:r>
          </w:p>
        </w:tc>
        <w:tc>
          <w:tcPr>
            <w:tcW w:w="3360" w:type="dxa"/>
            <w:tcBorders>
              <w:top w:val="single" w:sz="6" w:space="0" w:color="000000"/>
              <w:left w:val="none" w:sz="0" w:space="0" w:color="FFFFFF"/>
              <w:bottom w:val="single" w:sz="6" w:space="0" w:color="000000"/>
              <w:right w:val="none" w:sz="0" w:space="0" w:color="FFFFFF"/>
            </w:tcBorders>
            <w:tcMar>
              <w:top w:w="60" w:type="dxa"/>
              <w:left w:w="80" w:type="dxa"/>
              <w:bottom w:w="60" w:type="dxa"/>
              <w:right w:w="80" w:type="dxa"/>
            </w:tcMar>
            <w:vAlign w:val="center"/>
          </w:tcPr>
          <w:p>
            <w:pPr>
              <w:pStyle w:val="Celdadetabla"/>
              <w:keepNext/>
            </w:pPr>
            <w:r>
              <w:rPr>
                <w:b/>
                <w:bCs/>
              </w:rPr>
              <w:t xml:space="preserve">Estado</w:t>
            </w:r>
          </w:p>
        </w:tc>
      </w:tr>
      <w:tr>
        <w:trPr>
          <w:cantSplit/>
        </w:trPr>
        <w:tc>
          <w:tcPr>
            <w:tcW w:w="6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t xml:space="preserve">Cobertura completa de los ocho casos de uso en el nivel de componente</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rPr>
                <w:b/>
                <w:bCs/>
              </w:rPr>
              <w:t xml:space="preserve">Cumple</w:t>
            </w:r>
            <w:r>
              <w:t xml:space="preserve">: 231 de 231</w:t>
            </w:r>
          </w:p>
        </w:tc>
      </w:tr>
      <w:tr>
        <w:trPr>
          <w:cantSplit/>
        </w:trPr>
        <w:tc>
          <w:tcPr>
            <w:tcW w:w="6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t xml:space="preserve">Ninguna incidencia grave abierta</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rPr>
                <w:b/>
                <w:bCs/>
              </w:rPr>
              <w:t xml:space="preserve">No cumple</w:t>
            </w:r>
            <w:r>
              <w:t xml:space="preserve">: tres abiertas</w:t>
            </w:r>
          </w:p>
        </w:tc>
      </w:tr>
      <w:tr>
        <w:trPr>
          <w:cantSplit/>
        </w:trPr>
        <w:tc>
          <w:tcPr>
            <w:tcW w:w="6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t xml:space="preserve">Comprobación de que las fuentes se reproducen igual</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rPr>
                <w:b/>
                <w:bCs/>
              </w:rPr>
              <w:t xml:space="preserve">Aplazado</w:t>
            </w:r>
            <w:r>
              <w:t xml:space="preserve">: 6 de 9 fuentes</w:t>
            </w:r>
          </w:p>
        </w:tc>
      </w:tr>
      <w:tr>
        <w:trPr>
          <w:cantSplit/>
        </w:trPr>
        <w:tc>
          <w:tcPr>
            <w:tcW w:w="6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t xml:space="preserve">Umbrales de búsqueda documental decididos</w:t>
            </w:r>
          </w:p>
        </w:tc>
        <w:tc>
          <w:tcPr>
            <w:tcW w:w="3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pPr>
              <w:pStyle w:val="Celdadetabla"/>
              <w:keepNext/>
            </w:pPr>
            <w:r>
              <w:rPr>
                <w:b/>
                <w:bCs/>
              </w:rPr>
              <w:t xml:space="preserve">Cumple</w:t>
            </w:r>
            <w:r>
              <w:t xml:space="preserve">, declarados como no recalibrados</w:t>
            </w:r>
          </w:p>
        </w:tc>
      </w:tr>
      <w:tr>
        <w:trPr>
          <w:cantSplit/>
        </w:trPr>
        <w:tc>
          <w:tcPr>
            <w:tcW w:w="600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vAlign w:val="center"/>
          </w:tcPr>
          <w:p>
            <w:pPr>
              <w:pStyle w:val="Celdadetabla"/>
              <w:keepNext/>
            </w:pPr>
            <w:r>
              <w:t xml:space="preserve">Banco de preguntas ejecutado y calificado</w:t>
            </w:r>
          </w:p>
        </w:tc>
        <w:tc>
          <w:tcPr>
            <w:tcW w:w="3360" w:type="dxa"/>
            <w:tcBorders>
              <w:top w:val="none" w:sz="0" w:space="0" w:color="FFFFFF"/>
              <w:left w:val="none" w:sz="0" w:space="0" w:color="FFFFFF"/>
              <w:bottom w:val="single" w:sz="6" w:space="0" w:color="000000"/>
              <w:right w:val="none" w:sz="0" w:space="0" w:color="FFFFFF"/>
            </w:tcBorders>
            <w:tcMar>
              <w:top w:w="60" w:type="dxa"/>
              <w:left w:w="80" w:type="dxa"/>
              <w:bottom w:w="60" w:type="dxa"/>
              <w:right w:w="80" w:type="dxa"/>
            </w:tcMar>
            <w:vAlign w:val="center"/>
          </w:tcPr>
          <w:p>
            <w:pPr>
              <w:pStyle w:val="Celdadetabla"/>
              <w:keepNext/>
            </w:pPr>
            <w:r>
              <w:rPr>
                <w:b/>
                <w:bCs/>
              </w:rPr>
              <w:t xml:space="preserve">Cumple</w:t>
            </w:r>
            <w:r>
              <w:t xml:space="preserve">: 40 preguntas, 74 %</w:t>
            </w:r>
          </w:p>
        </w:tc>
      </w:tr>
    </w:tbl>
    <w:p>
      <w:pPr>
        <w:pStyle w:val="Notadetabla"/>
      </w:pPr>
      <w:r>
        <w:rPr>
          <w:i/>
          <w:iCs/>
        </w:rPr>
        <w:t>Nota.</w:t>
      </w:r>
      <w:r>
        <w:t xml:space="preserve"> Elaboración propia.</w:t>
      </w:r>
    </w:p>
    <w:p>
      <w:pPr>
        <w:pStyle w:val="Cuerpodeltexto"/>
      </w:pPr>
      <w:r>
        <w:rPr>
          <w:b/>
          <w:bCs/>
        </w:rPr>
        <w:t xml:space="preserve">La fase no se da por terminada</w:t>
      </w:r>
      <w:r>
        <w:t xml:space="preserve">, porque quedan tres incidencias graves abiertas: la advertencia médica que puede faltar por una variante de vocabulario, los tres casos de uso sin evidencia de uso real y la mezcla de cifras entre documentos distintos. Las tres afectan a quienes van a evaluar el sistema, y por eso se dejan visibles en lugar de cerrarse por conveniencia.</w:t>
      </w:r>
    </w:p>
    <w:p>
      <w:pPr>
        <w:pStyle w:val="Cuerpodeltexto"/>
      </w:pPr>
      <w:r>
        <w:rPr>
          <w:b/>
          <w:bCs/>
        </w:rPr>
        <w:t xml:space="preserve">Lecciones aprendidas:</w:t>
      </w:r>
      <w:r>
        <w:t xml:space="preserve"> medir siempre por el camino real que recorre un mensaje; no dar por buena una sola ejecución cuando participa un modelo de lenguaje; desconfiar de un indicador que puede estar midiendo otra cosa; y registrar la aceptación desde el principio, porque reconstruirla después dejó tres casos de uso sin evidencia.</w:t>
      </w:r>
    </w:p>
    <w:p>
      <w:pPr>
        <w:pStyle w:val="Notadetabla"/>
      </w:pPr>
      <w:r>
        <w:rPr>
          <w:i/>
          <w:iCs/>
        </w:rPr>
        <w:t>Anexos.</w:t>
      </w:r>
      <w:r>
        <w:t xml:space="preserve"> Registro de la prueba de aceptación, §2 y §3; Registro de incidencias, §1, §2 y §4; Política y prácticas de prueba, §4.2.</w:t>
      </w:r>
    </w:p>
    <w:p>
      <w:pPr>
        <w:pStyle w:val="Cuerpodeltexto"/>
      </w:pPr>
      <w:r>
        <w:rPr>
          <w:b/>
          <w:bCs/>
        </w:rPr>
        <w:t xml:space="preserve">Nota de alcance.</w:t>
      </w:r>
      <w:r>
        <w:t xml:space="preserve"> Este capítulo cierra el proceso de prueba de ingeniería. La evaluación formativa de usabilidad con las 16 participantes —la que contrasta la hipótesis midiendo cuántas tareas se completan sin asistencia— es posterior y se presenta por separado.</w:t>
      </w:r>
    </w:p>
    <w:sectPr w:rsidR="001442F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C7EF" w14:textId="77777777" w:rsidR="00563975" w:rsidRDefault="00563975">
      <w:pPr>
        <w:spacing w:line="240" w:lineRule="auto"/>
      </w:pPr>
      <w:r>
        <w:separator/>
      </w:r>
    </w:p>
  </w:endnote>
  <w:endnote w:type="continuationSeparator" w:id="0">
    <w:p w14:paraId="57ADC06B" w14:textId="77777777" w:rsidR="00563975" w:rsidRDefault="00563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8943" w14:textId="77777777" w:rsidR="001442FD" w:rsidRDefault="00000000">
    <w:pPr>
      <w:jc w:val="center"/>
    </w:pPr>
    <w:r>
      <w:rPr>
        <w:sz w:val="20"/>
        <w:szCs w:val="20"/>
      </w:rPr>
      <w:fldChar w:fldCharType="begin"/>
    </w:r>
    <w:r>
      <w:rPr>
        <w:sz w:val="20"/>
        <w:szCs w:val="20"/>
      </w:rPr>
      <w:instrText>PAGE</w:instrText>
    </w:r>
    <w:r>
      <w:rPr>
        <w:sz w:val="20"/>
        <w:szCs w:val="20"/>
      </w:rPr>
      <w:fldChar w:fldCharType="separate"/>
    </w:r>
    <w:r w:rsidR="00D4056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F4893" w14:textId="77777777" w:rsidR="00563975" w:rsidRDefault="00563975">
      <w:pPr>
        <w:spacing w:line="240" w:lineRule="auto"/>
      </w:pPr>
      <w:r>
        <w:separator/>
      </w:r>
    </w:p>
  </w:footnote>
  <w:footnote w:type="continuationSeparator" w:id="0">
    <w:p w14:paraId="274C4103" w14:textId="77777777" w:rsidR="00563975" w:rsidRDefault="005639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868"/>
    <w:multiLevelType w:val="hybridMultilevel"/>
    <w:tmpl w:val="49E2F932"/>
    <w:lvl w:ilvl="0" w:tplc="AAA2B3CC">
      <w:start w:val="1"/>
      <w:numFmt w:val="bullet"/>
      <w:lvlText w:val="●"/>
      <w:lvlJc w:val="left"/>
      <w:pPr>
        <w:ind w:left="720" w:hanging="360"/>
      </w:pPr>
    </w:lvl>
    <w:lvl w:ilvl="1" w:tplc="409C1622">
      <w:start w:val="1"/>
      <w:numFmt w:val="bullet"/>
      <w:lvlText w:val="○"/>
      <w:lvlJc w:val="left"/>
      <w:pPr>
        <w:ind w:left="1440" w:hanging="360"/>
      </w:pPr>
    </w:lvl>
    <w:lvl w:ilvl="2" w:tplc="8542B8C8">
      <w:start w:val="1"/>
      <w:numFmt w:val="bullet"/>
      <w:lvlText w:val="■"/>
      <w:lvlJc w:val="left"/>
      <w:pPr>
        <w:ind w:left="2160" w:hanging="360"/>
      </w:pPr>
    </w:lvl>
    <w:lvl w:ilvl="3" w:tplc="68CA8926">
      <w:start w:val="1"/>
      <w:numFmt w:val="bullet"/>
      <w:lvlText w:val="●"/>
      <w:lvlJc w:val="left"/>
      <w:pPr>
        <w:ind w:left="2880" w:hanging="360"/>
      </w:pPr>
    </w:lvl>
    <w:lvl w:ilvl="4" w:tplc="03B49024">
      <w:start w:val="1"/>
      <w:numFmt w:val="bullet"/>
      <w:lvlText w:val="○"/>
      <w:lvlJc w:val="left"/>
      <w:pPr>
        <w:ind w:left="3600" w:hanging="360"/>
      </w:pPr>
    </w:lvl>
    <w:lvl w:ilvl="5" w:tplc="267CEB4C">
      <w:start w:val="1"/>
      <w:numFmt w:val="bullet"/>
      <w:lvlText w:val="■"/>
      <w:lvlJc w:val="left"/>
      <w:pPr>
        <w:ind w:left="4320" w:hanging="360"/>
      </w:pPr>
    </w:lvl>
    <w:lvl w:ilvl="6" w:tplc="54B63FB2">
      <w:start w:val="1"/>
      <w:numFmt w:val="bullet"/>
      <w:lvlText w:val="●"/>
      <w:lvlJc w:val="left"/>
      <w:pPr>
        <w:ind w:left="5040" w:hanging="360"/>
      </w:pPr>
    </w:lvl>
    <w:lvl w:ilvl="7" w:tplc="1B40D430">
      <w:start w:val="1"/>
      <w:numFmt w:val="bullet"/>
      <w:lvlText w:val="●"/>
      <w:lvlJc w:val="left"/>
      <w:pPr>
        <w:ind w:left="5760" w:hanging="360"/>
      </w:pPr>
    </w:lvl>
    <w:lvl w:ilvl="8" w:tplc="AFE437F4">
      <w:start w:val="1"/>
      <w:numFmt w:val="bullet"/>
      <w:lvlText w:val="●"/>
      <w:lvlJc w:val="left"/>
      <w:pPr>
        <w:ind w:left="6480" w:hanging="360"/>
      </w:pPr>
    </w:lvl>
  </w:abstractNum>
  <w:abstractNum w:abstractNumId="1" w15:restartNumberingAfterBreak="0">
    <w:nsid w:val="67B55AB8"/>
    <w:multiLevelType w:val="hybridMultilevel"/>
    <w:tmpl w:val="FF7E522C"/>
    <w:lvl w:ilvl="0" w:tplc="CD48F90C">
      <w:start w:val="1"/>
      <w:numFmt w:val="bullet"/>
      <w:lvlText w:val="•"/>
      <w:lvlJc w:val="left"/>
      <w:pPr>
        <w:ind w:left="720" w:hanging="360"/>
      </w:pPr>
    </w:lvl>
    <w:lvl w:ilvl="1" w:tplc="E59E936A">
      <w:numFmt w:val="decimal"/>
      <w:lvlText w:val=""/>
      <w:lvlJc w:val="left"/>
    </w:lvl>
    <w:lvl w:ilvl="2" w:tplc="CA56E5D4">
      <w:numFmt w:val="decimal"/>
      <w:lvlText w:val=""/>
      <w:lvlJc w:val="left"/>
    </w:lvl>
    <w:lvl w:ilvl="3" w:tplc="B7E69DD0">
      <w:numFmt w:val="decimal"/>
      <w:lvlText w:val=""/>
      <w:lvlJc w:val="left"/>
    </w:lvl>
    <w:lvl w:ilvl="4" w:tplc="B5087022">
      <w:numFmt w:val="decimal"/>
      <w:lvlText w:val=""/>
      <w:lvlJc w:val="left"/>
    </w:lvl>
    <w:lvl w:ilvl="5" w:tplc="4454E10A">
      <w:numFmt w:val="decimal"/>
      <w:lvlText w:val=""/>
      <w:lvlJc w:val="left"/>
    </w:lvl>
    <w:lvl w:ilvl="6" w:tplc="E7148122">
      <w:numFmt w:val="decimal"/>
      <w:lvlText w:val=""/>
      <w:lvlJc w:val="left"/>
    </w:lvl>
    <w:lvl w:ilvl="7" w:tplc="7B3047C0">
      <w:numFmt w:val="decimal"/>
      <w:lvlText w:val=""/>
      <w:lvlJc w:val="left"/>
    </w:lvl>
    <w:lvl w:ilvl="8" w:tplc="ED04754E">
      <w:numFmt w:val="decimal"/>
      <w:lvlText w:val=""/>
      <w:lvlJc w:val="left"/>
    </w:lvl>
  </w:abstractNum>
  <w:num w:numId="1" w16cid:durableId="2019768678">
    <w:abstractNumId w:val="0"/>
    <w:lvlOverride w:ilvl="0">
      <w:startOverride w:val="1"/>
    </w:lvlOverride>
  </w:num>
  <w:num w:numId="2" w16cid:durableId="171453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2FD"/>
    <w:rsid w:val="001442FD"/>
    <w:rsid w:val="002172F9"/>
    <w:rsid w:val="00266450"/>
    <w:rsid w:val="004975A3"/>
    <w:rsid w:val="00563975"/>
    <w:rsid w:val="005A4BAB"/>
    <w:rsid w:val="007B3BD0"/>
    <w:rsid w:val="008321EE"/>
    <w:rsid w:val="00847D97"/>
    <w:rsid w:val="00B56D1D"/>
    <w:rsid w:val="00D40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AD09"/>
  <w15:docId w15:val="{47DA21F8-8485-4BCA-A0EF-7AC7FEEF6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Cuerpodeltexto"/>
    <w:uiPriority w:val="9"/>
    <w:qFormat/>
    <w:pPr>
      <w:keepNext/>
      <w:spacing w:before="360" w:after="240" w:line="276" w:lineRule="auto"/>
      <w:outlineLvl w:val="0"/>
    </w:pPr>
    <w:rPr>
      <w:b/>
      <w:bCs/>
      <w:caps/>
      <w:color w:val="000000"/>
      <w:sz w:val="28"/>
      <w:szCs w:val="28"/>
    </w:rPr>
  </w:style>
  <w:style w:type="paragraph" w:styleId="Ttulo2">
    <w:name w:val="heading 2"/>
    <w:next w:val="Cuerpodeltexto"/>
    <w:uiPriority w:val="9"/>
    <w:unhideWhenUsed/>
    <w:qFormat/>
    <w:pPr>
      <w:keepNext/>
      <w:spacing w:before="300" w:after="180" w:line="276" w:lineRule="auto"/>
      <w:outlineLvl w:val="1"/>
    </w:pPr>
    <w:rPr>
      <w:b/>
      <w:bCs/>
      <w:color w:val="000000"/>
      <w:sz w:val="26"/>
      <w:szCs w:val="26"/>
    </w:rPr>
  </w:style>
  <w:style w:type="paragraph" w:styleId="Ttulo3">
    <w:name w:val="heading 3"/>
    <w:next w:val="Cuerpodeltexto"/>
    <w:uiPriority w:val="9"/>
    <w:unhideWhenUsed/>
    <w:qFormat/>
    <w:pPr>
      <w:keepNext/>
      <w:spacing w:before="260" w:after="140" w:line="276" w:lineRule="auto"/>
      <w:outlineLvl w:val="2"/>
    </w:pPr>
    <w:rPr>
      <w:b/>
      <w:bCs/>
      <w:color w:val="000000"/>
    </w:rPr>
  </w:style>
  <w:style w:type="paragraph" w:styleId="Ttulo4">
    <w:name w:val="heading 4"/>
    <w:next w:val="Cuerpodeltexto"/>
    <w:uiPriority w:val="9"/>
    <w:unhideWhenUsed/>
    <w:qFormat/>
    <w:pPr>
      <w:keepNext/>
      <w:spacing w:before="220" w:after="120" w:line="276" w:lineRule="auto"/>
      <w:outlineLvl w:val="3"/>
    </w:pPr>
    <w:rPr>
      <w:b/>
      <w:bCs/>
      <w:i/>
      <w:iCs/>
      <w:color w:val="000000"/>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deltexto">
    <w:name w:val="Cuerpo del texto"/>
    <w:qFormat/>
    <w:pPr>
      <w:spacing w:after="120"/>
      <w:ind w:firstLine="567"/>
      <w:jc w:val="both"/>
    </w:pPr>
  </w:style>
  <w:style w:type="paragraph" w:customStyle="1" w:styleId="Listadeltexto">
    <w:name w:val="Lista del texto"/>
    <w:pPr>
      <w:spacing w:after="80"/>
      <w:jc w:val="both"/>
    </w:pPr>
  </w:style>
  <w:style w:type="paragraph" w:customStyle="1" w:styleId="Leyendadetabla">
    <w:name w:val="Leyenda de tabla"/>
    <w:pPr>
      <w:keepNext/>
      <w:spacing w:before="240" w:after="80" w:line="240" w:lineRule="auto"/>
    </w:pPr>
    <w:rPr>
      <w:b/>
      <w:bCs/>
      <w:sz w:val="22"/>
      <w:szCs w:val="22"/>
    </w:rPr>
  </w:style>
  <w:style w:type="paragraph" w:customStyle="1" w:styleId="Notadetabla">
    <w:name w:val="Nota de tabla"/>
    <w:pPr>
      <w:spacing w:before="60" w:after="240" w:line="240" w:lineRule="auto"/>
    </w:pPr>
    <w:rPr>
      <w:sz w:val="20"/>
      <w:szCs w:val="20"/>
    </w:rPr>
  </w:style>
  <w:style w:type="paragraph" w:customStyle="1" w:styleId="Celdadetabla">
    <w:name w:val="Celda de tabla"/>
    <w:pPr>
      <w:spacing w:before="20" w:after="20" w:line="240" w:lineRule="auto"/>
    </w:pPr>
    <w:rPr>
      <w:sz w:val="20"/>
      <w:szCs w:val="20"/>
    </w:rPr>
  </w:style>
  <w:style w:type="paragraph" w:styleId="TtuloTDC">
    <w:name w:val="TOC Heading"/>
    <w:basedOn w:val="Ttulo1"/>
    <w:next w:val="Normal"/>
    <w:uiPriority w:val="39"/>
    <w:unhideWhenUsed/>
    <w:qFormat/>
    <w:rsid w:val="00D40563"/>
    <w:pPr>
      <w:keepLines/>
      <w:spacing w:before="240" w:after="0" w:line="259" w:lineRule="auto"/>
      <w:outlineLvl w:val="9"/>
    </w:pPr>
    <w:rPr>
      <w:rFonts w:asciiTheme="majorHAnsi" w:eastAsiaTheme="majorEastAsia" w:hAnsiTheme="majorHAnsi" w:cstheme="majorBidi"/>
      <w:b w:val="0"/>
      <w:bCs w:val="0"/>
      <w:caps w:val="0"/>
      <w:color w:val="0F4761" w:themeColor="accent1" w:themeShade="BF"/>
      <w:sz w:val="32"/>
      <w:szCs w:val="32"/>
    </w:rPr>
  </w:style>
  <w:style w:type="paragraph" w:styleId="TDC1">
    <w:name w:val="toc 1"/>
    <w:basedOn w:val="Normal"/>
    <w:next w:val="Normal"/>
    <w:autoRedefine/>
    <w:uiPriority w:val="39"/>
    <w:unhideWhenUsed/>
    <w:rsid w:val="00D40563"/>
    <w:pPr>
      <w:spacing w:after="100"/>
    </w:pPr>
  </w:style>
  <w:style w:type="paragraph" w:styleId="TDC2">
    <w:name w:val="toc 2"/>
    <w:basedOn w:val="Normal"/>
    <w:next w:val="Normal"/>
    <w:autoRedefine/>
    <w:uiPriority w:val="39"/>
    <w:unhideWhenUsed/>
    <w:rsid w:val="00D40563"/>
    <w:pPr>
      <w:spacing w:after="100"/>
      <w:ind w:left="240"/>
    </w:pPr>
  </w:style>
  <w:style w:type="paragraph" w:styleId="TDC3">
    <w:name w:val="toc 3"/>
    <w:basedOn w:val="Normal"/>
    <w:next w:val="Normal"/>
    <w:autoRedefine/>
    <w:uiPriority w:val="39"/>
    <w:unhideWhenUsed/>
    <w:rsid w:val="00D405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CC2D3-82D9-4D39-A9D1-60BEDB3CC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22</Pages>
  <Words>5936</Words>
  <Characters>32654</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Capítulo 4. Pruebas</vt:lpstr>
    </vt:vector>
  </TitlesOfParts>
  <Company/>
  <LinksUpToDate>false</LinksUpToDate>
  <CharactersWithSpaces>38513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Pruebas</dc:title>
  <dc:creator>Andrés Ramírez</dc:creator>
  <dc:description>Capítulo de pruebas del trabajo de grado, conforme a ISO/IEC/IEEE 29119</dc:description>
  <cp:lastModifiedBy>ANDRES RAMIREZ VASQUEZ</cp:lastModifiedBy>
  <cp:revision>3</cp:revision>
  <dcterms:created xsi:type="dcterms:W3CDTF">2026-09-26T15:32:00Z</dcterms:created>
  <dcterms:modified xsi:type="dcterms:W3CDTF">2026-10-05T14:07:00Z</dcterms:modified>
</cp:coreProperties>
</file>