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Costos de operación del modelo generativo</w:t>
      </w:r>
    </w:p>
    <w:p>
      <w:r>
        <w:rPr>
          <w:b w:val="0"/>
          <w:i/>
        </w:rPr>
        <w:t>Chatbot de huertas urbanas — UPZ 84 Bosa Occidental</w:t>
        <w:br/>
        <w:t>Especialización en Ingeniería de Software — Universidad Distrital Francisco José de Caldas</w:t>
      </w:r>
    </w:p>
    <w:p>
      <w:r>
        <w:rPr>
          <w:b w:val="0"/>
          <w:i w:val="0"/>
        </w:rPr>
        <w:t>Fecha: 19 de septiembre de 2026</w:t>
      </w:r>
    </w:p>
    <w:p>
      <w:r>
        <w:rPr>
          <w:b w:val="0"/>
          <w:i w:val="0"/>
        </w:rPr>
        <w:t>Modelo evaluado: gemini-3.6-flash (GEMINI_GENERATIVE_MODEL en Railway)</w:t>
      </w:r>
    </w:p>
    <w:p>
      <w:r>
        <w:rPr>
          <w:b w:val="0"/>
          <w:i w:val="0"/>
        </w:rPr>
        <w:t>Fase del proyecto: 7 — calibración y pruebas</w:t>
      </w:r>
    </w:p>
    <w:p/>
    <w:p>
      <w:pPr>
        <w:pStyle w:val="Heading1"/>
      </w:pPr>
      <w:r>
        <w:t>1. Qué es este documento, y qué no es</w:t>
      </w:r>
    </w:p>
    <w:p>
      <w:r>
        <w:rPr>
          <w:b w:val="0"/>
          <w:i w:val="0"/>
        </w:rPr>
        <w:t>Este documento estima cuántos tokens consume el sistema por mensaje atendido y a cuánto equivale ese consumo en pesos colombianos, con el fin de proyectar el gasto por usuaria durante la evaluación de la Fase 7 y la Fase 8.</w:t>
      </w:r>
    </w:p>
    <w:p>
      <w:r>
        <w:rPr>
          <w:b/>
          <w:color w:val="993300"/>
        </w:rPr>
        <w:t>Advertencia metodológica: las cifras de consumo de este documento son ESTIMACIONES, no mediciones.</w:t>
      </w:r>
    </w:p>
    <w:p>
      <w:r>
        <w:rPr>
          <w:b w:val="0"/>
          <w:i w:val="0"/>
        </w:rPr>
        <w:t>El sistema no instrumenta hoy el consumo de tokens. La API de Gemini devuelve en cada respuesta el campo usage_metadata, con el conteo real de tokens de entrada y salida, y el código lo descarta sin leerlo en los cinco puntos donde llama al modelo: app/agent/agente.py, app/services/orientacion.py, app/services/comunidad.py, app/services/extraccion.py y app/services/onboarding.py. Por lo tanto no existe ninguna serie de consumo real contra la cual contrastar lo que sigue.</w:t>
      </w:r>
    </w:p>
    <w:p>
      <w:r>
        <w:rPr>
          <w:b w:val="0"/>
          <w:i w:val="0"/>
        </w:rPr>
        <w:t>Esto importa porque el proyecto ya registra cuatro ocasiones en que una cifra medida sobre un montaje que no reproducía las condiciones de producción resultó equivocada (CLAUDE.md §12). Una estimación construida a partir del tamaño de los archivos de prompt está un escalón por debajo de eso: sirve para dimensionar un presupuesto, no para sostener una afirmación en el documento de grado. La sección 9 indica cómo obtener la cifra medida.</w:t>
      </w:r>
    </w:p>
    <w:p>
      <w:pPr>
        <w:pStyle w:val="Heading1"/>
      </w:pPr>
      <w:r>
        <w:t>2. Método</w:t>
      </w:r>
    </w:p>
    <w:p>
      <w:r>
        <w:rPr>
          <w:b w:val="0"/>
          <w:i w:val="0"/>
        </w:rPr>
        <w:t>La estimación se construyó así:</w:t>
      </w:r>
    </w:p>
    <w:p>
      <w:pPr>
        <w:pStyle w:val="ListBullet"/>
      </w:pPr>
      <w:r>
        <w:t>Se contaron los caracteres de cada archivo de app/agent/prompts/ y se convirtieron a tokens con una razón de 4 caracteres por token. Esa razón está dentro del rango que el propio proyecto midió para prosa en español durante la ingesta del corpus: entre 3,9 y 4,78 caracteres por token (ADR-0009). La incertidumbre que introduce es de aproximadamente ±20 %.</w:t>
      </w:r>
    </w:p>
    <w:p>
      <w:pPr>
        <w:pStyle w:val="ListBullet"/>
      </w:pPr>
      <w:r>
        <w:t>Se revisó el código de cada caso de uso para determinar cuántas llamadas al modelo dispara un mensaje y qué contexto lleva cada una.</w:t>
      </w:r>
    </w:p>
    <w:p>
      <w:pPr>
        <w:pStyle w:val="ListBullet"/>
      </w:pPr>
      <w:r>
        <w:t>Se aplicaron los parámetros vigentes de CLAUDE.md §8: top-k de 4 fragmentos por colección, fragmentos oficiales de 300 a 500 tokens (se usó 400 como valor medio), ventana de memoria de 10 mensajes y catálogo de 313 barrios en el prompt de desambiguación.</w:t>
      </w:r>
    </w:p>
    <w:p>
      <w:pPr>
        <w:pStyle w:val="ListBullet"/>
      </w:pPr>
      <w:r>
        <w:t>Los precios se verificaron el 19/09/2026 en la documentación oficial de Google, no de memoria.</w:t>
      </w:r>
    </w:p>
    <w:p>
      <w:r>
        <w:rPr>
          <w:b w:val="0"/>
          <w:i/>
        </w:rPr>
        <w:t>Lo que la estimación no puede capturar: la longitud real de los mensajes de las usuarias y de las respuestas del modelo, que aquí se supusieron, y el hecho de que no todas las consultas recuperan los cuatro fragmentos que permite el top-k.</w:t>
      </w:r>
    </w:p>
    <w:p>
      <w:pPr>
        <w:pStyle w:val="Heading1"/>
      </w:pPr>
      <w:r>
        <w:t>3. Precios vigentes</w:t>
      </w:r>
    </w:p>
    <w:p>
      <w:r>
        <w:rPr>
          <w:b w:val="0"/>
          <w:i w:val="0"/>
        </w:rPr>
        <w:t>Precios de la API de Gemini para el modelo en producción, verificados en ai.google.dev/gemini-api/docs/pricing el 19/09/2026. El modelo generativo lo fija la variable GEMINI_GENERATIVE_MODEL de Railway, que hoy vale gemini-3.6-flash.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Modelo y periodo</w:t>
            </w:r>
          </w:p>
        </w:tc>
        <w:tc>
          <w:tcPr>
            <w:tcW w:type="dxa" w:w="2880"/>
          </w:tcPr>
          <w:p>
            <w:r/>
            <w:r>
              <w:rPr>
                <w:b/>
              </w:rPr>
              <w:t>Entrada (USD / 1M tokens)</w:t>
            </w:r>
          </w:p>
        </w:tc>
        <w:tc>
          <w:tcPr>
            <w:tcW w:type="dxa" w:w="2880"/>
          </w:tcPr>
          <w:p>
            <w:r/>
            <w:r>
              <w:rPr>
                <w:b/>
              </w:rPr>
              <w:t>Salida (USD / 1M tokens)</w:t>
            </w:r>
          </w:p>
        </w:tc>
      </w:tr>
      <w:tr>
        <w:tc>
          <w:tcPr>
            <w:tcW w:type="dxa" w:w="2880"/>
          </w:tcPr>
          <w:p>
            <w:r>
              <w:t>gemini-3.6-flash, hasta el 31/12/2026</w:t>
            </w:r>
          </w:p>
        </w:tc>
        <w:tc>
          <w:tcPr>
            <w:tcW w:type="dxa" w:w="2880"/>
          </w:tcPr>
          <w:p>
            <w:r>
              <w:t>0,75</w:t>
            </w:r>
          </w:p>
        </w:tc>
        <w:tc>
          <w:tcPr>
            <w:tcW w:type="dxa" w:w="2880"/>
          </w:tcPr>
          <w:p>
            <w:r>
              <w:t>3,75</w:t>
            </w:r>
          </w:p>
        </w:tc>
      </w:tr>
      <w:tr>
        <w:tc>
          <w:tcPr>
            <w:tcW w:type="dxa" w:w="2880"/>
          </w:tcPr>
          <w:p>
            <w:r>
              <w:t>gemini-3.6-flash, desde el 01/01/2027</w:t>
            </w:r>
          </w:p>
        </w:tc>
        <w:tc>
          <w:tcPr>
            <w:tcW w:type="dxa" w:w="2880"/>
          </w:tcPr>
          <w:p>
            <w:r>
              <w:t>1,50</w:t>
            </w:r>
          </w:p>
        </w:tc>
        <w:tc>
          <w:tcPr>
            <w:tcW w:type="dxa" w:w="2880"/>
          </w:tcPr>
          <w:p>
            <w:r>
              <w:t>7,50</w:t>
            </w:r>
          </w:p>
        </w:tc>
      </w:tr>
      <w:tr>
        <w:tc>
          <w:tcPr>
            <w:tcW w:type="dxa" w:w="2880"/>
          </w:tcPr>
          <w:p>
            <w:r>
              <w:t>gemini-embedding-001 (vectorización)</w:t>
            </w:r>
          </w:p>
        </w:tc>
        <w:tc>
          <w:tcPr>
            <w:tcW w:type="dxa" w:w="2880"/>
          </w:tcPr>
          <w:p>
            <w:r>
              <w:t>0,15</w:t>
            </w:r>
          </w:p>
        </w:tc>
        <w:tc>
          <w:tcPr>
            <w:tcW w:type="dxa" w:w="2880"/>
          </w:tcPr>
          <w:p>
            <w:r>
              <w:t>no aplica</w:t>
            </w:r>
          </w:p>
        </w:tc>
      </w:tr>
    </w:tbl>
    <w:p/>
    <w:p>
      <w:r>
        <w:rPr>
          <w:b/>
          <w:color w:val="993300"/>
        </w:rPr>
        <w:t>El precio se duplica el 1 de enero de 2027. Toda proyección que alcance la Fase 8 debe usar la tarifa de 2027.</w:t>
      </w:r>
    </w:p>
    <w:p>
      <w:r>
        <w:rPr>
          <w:b w:val="0"/>
          <w:i w:val="0"/>
        </w:rPr>
        <w:t>El precio actual es una tarifa introductoria. Los embeddings no cobran tokens de salida: la respuesta es un vector de dimensión fija.</w:t>
      </w:r>
    </w:p>
    <w:p>
      <w:pPr>
        <w:pStyle w:val="Heading1"/>
      </w:pPr>
      <w:r>
        <w:t>4. Tasa de cambio</w:t>
      </w:r>
    </w:p>
    <w:p>
      <w:r>
        <w:rPr>
          <w:b w:val="0"/>
          <w:i w:val="0"/>
        </w:rPr>
        <w:t>Se usó la TRM de 3.192,92 pesos por dólar, vigente del 19 al 21 de septiembre de 2026. Es un valor diario: para un presupuesto formal conviene reconsultarla en el Banco de la República en el momento de usarla. Una variación del 5 % en la TRM mueve las cifras de este documento en la misma proporción.</w:t>
      </w:r>
    </w:p>
    <w:p>
      <w:pPr>
        <w:pStyle w:val="Heading1"/>
      </w:pPr>
      <w:r>
        <w:t>5. Consumo estimado por llamada al modelo</w:t>
      </w:r>
    </w:p>
    <w:p>
      <w:r>
        <w:rPr>
          <w:b w:val="0"/>
          <w:i w:val="0"/>
        </w:rPr>
        <w:t>Un mensaje de la usuaria no produce una llamada al modelo, sino entre una y tres. La primera siempre es la del agente, que decide a qué herramienta enrutar; las demás dependen de lo que haya decidido.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Llamada</w:t>
            </w:r>
          </w:p>
        </w:tc>
        <w:tc>
          <w:tcPr>
            <w:tcW w:type="dxa" w:w="2160"/>
          </w:tcPr>
          <w:p>
            <w:r/>
            <w:r>
              <w:rPr>
                <w:b/>
              </w:rPr>
              <w:t>Cuándo ocurre</w:t>
            </w:r>
          </w:p>
        </w:tc>
        <w:tc>
          <w:tcPr>
            <w:tcW w:type="dxa" w:w="2160"/>
          </w:tcPr>
          <w:p>
            <w:r/>
            <w:r>
              <w:rPr>
                <w:b/>
              </w:rPr>
              <w:t>Tokens entrada</w:t>
            </w:r>
          </w:p>
        </w:tc>
        <w:tc>
          <w:tcPr>
            <w:tcW w:type="dxa" w:w="2160"/>
          </w:tcPr>
          <w:p>
            <w:r/>
            <w:r>
              <w:rPr>
                <w:b/>
              </w:rPr>
              <w:t>Tokens salida</w:t>
            </w:r>
          </w:p>
        </w:tc>
      </w:tr>
      <w:tr>
        <w:tc>
          <w:tcPr>
            <w:tcW w:type="dxa" w:w="2160"/>
          </w:tcPr>
          <w:p>
            <w:r>
              <w:t>Agente (enrutador)</w:t>
            </w:r>
          </w:p>
        </w:tc>
        <w:tc>
          <w:tcPr>
            <w:tcW w:type="dxa" w:w="2160"/>
          </w:tcPr>
          <w:p>
            <w:r>
              <w:t>En todo mensaje</w:t>
            </w:r>
          </w:p>
        </w:tc>
        <w:tc>
          <w:tcPr>
            <w:tcW w:type="dxa" w:w="2160"/>
          </w:tcPr>
          <w:p>
            <w:r>
              <w:t>≈ 2.050</w:t>
            </w:r>
          </w:p>
        </w:tc>
        <w:tc>
          <w:tcPr>
            <w:tcW w:type="dxa" w:w="2160"/>
          </w:tcPr>
          <w:p>
            <w:r>
              <w:t>≈ 80</w:t>
            </w:r>
          </w:p>
        </w:tc>
      </w:tr>
      <w:tr>
        <w:tc>
          <w:tcPr>
            <w:tcW w:type="dxa" w:w="2160"/>
          </w:tcPr>
          <w:p>
            <w:r>
              <w:t>CU2 con respaldo oficial</w:t>
            </w:r>
          </w:p>
        </w:tc>
        <w:tc>
          <w:tcPr>
            <w:tcW w:type="dxa" w:w="2160"/>
          </w:tcPr>
          <w:p>
            <w:r>
              <w:t>Duda agroecológica que supera el umbral</w:t>
            </w:r>
          </w:p>
        </w:tc>
        <w:tc>
          <w:tcPr>
            <w:tcW w:type="dxa" w:w="2160"/>
          </w:tcPr>
          <w:p>
            <w:r>
              <w:t>≈ 2.250</w:t>
            </w:r>
          </w:p>
        </w:tc>
        <w:tc>
          <w:tcPr>
            <w:tcW w:type="dxa" w:w="2160"/>
          </w:tcPr>
          <w:p>
            <w:r>
              <w:t>≈ 110</w:t>
            </w:r>
          </w:p>
        </w:tc>
      </w:tr>
      <w:tr>
        <w:tc>
          <w:tcPr>
            <w:tcW w:type="dxa" w:w="2160"/>
          </w:tcPr>
          <w:p>
            <w:r>
              <w:t>CU2 sin respaldo oficial</w:t>
            </w:r>
          </w:p>
        </w:tc>
        <w:tc>
          <w:tcPr>
            <w:tcW w:type="dxa" w:w="2160"/>
          </w:tcPr>
          <w:p>
            <w:r>
              <w:t>Duda agroecológica que no supera el umbral</w:t>
            </w:r>
          </w:p>
        </w:tc>
        <w:tc>
          <w:tcPr>
            <w:tcW w:type="dxa" w:w="2160"/>
          </w:tcPr>
          <w:p>
            <w:r>
              <w:t>≈ 760</w:t>
            </w:r>
          </w:p>
        </w:tc>
        <w:tc>
          <w:tcPr>
            <w:tcW w:type="dxa" w:w="2160"/>
          </w:tcPr>
          <w:p>
            <w:r>
              <w:t>≈ 100</w:t>
            </w:r>
          </w:p>
        </w:tc>
      </w:tr>
      <w:tr>
        <w:tc>
          <w:tcPr>
            <w:tcW w:type="dxa" w:w="2160"/>
          </w:tcPr>
          <w:p>
            <w:r>
              <w:t>CU7 búsqueda en la comunidad</w:t>
            </w:r>
          </w:p>
        </w:tc>
        <w:tc>
          <w:tcPr>
            <w:tcW w:type="dxa" w:w="2160"/>
          </w:tcPr>
          <w:p>
            <w:r>
              <w:t>Pregunta por un cultivo concreto</w:t>
            </w:r>
          </w:p>
        </w:tc>
        <w:tc>
          <w:tcPr>
            <w:tcW w:type="dxa" w:w="2160"/>
          </w:tcPr>
          <w:p>
            <w:r>
              <w:t>≈ 750</w:t>
            </w:r>
          </w:p>
        </w:tc>
        <w:tc>
          <w:tcPr>
            <w:tcW w:type="dxa" w:w="2160"/>
          </w:tcPr>
          <w:p>
            <w:r>
              <w:t>≈ 80</w:t>
            </w:r>
          </w:p>
        </w:tc>
      </w:tr>
      <w:tr>
        <w:tc>
          <w:tcPr>
            <w:tcW w:type="dxa" w:w="2160"/>
          </w:tcPr>
          <w:p>
            <w:r>
              <w:t>CU3 extracción de cultivos</w:t>
            </w:r>
          </w:p>
        </w:tc>
        <w:tc>
          <w:tcPr>
            <w:tcW w:type="dxa" w:w="2160"/>
          </w:tcPr>
          <w:p>
            <w:r>
              <w:t>Contó algo de su propia huerta</w:t>
            </w:r>
          </w:p>
        </w:tc>
        <w:tc>
          <w:tcPr>
            <w:tcW w:type="dxa" w:w="2160"/>
          </w:tcPr>
          <w:p>
            <w:r>
              <w:t>≈ 470</w:t>
            </w:r>
          </w:p>
        </w:tc>
        <w:tc>
          <w:tcPr>
            <w:tcW w:type="dxa" w:w="2160"/>
          </w:tcPr>
          <w:p>
            <w:r>
              <w:t>≈ 40</w:t>
            </w:r>
          </w:p>
        </w:tc>
      </w:tr>
      <w:tr>
        <w:tc>
          <w:tcPr>
            <w:tcW w:type="dxa" w:w="2160"/>
          </w:tcPr>
          <w:p>
            <w:r>
              <w:t>CU6 desambiguación del barrio</w:t>
            </w:r>
          </w:p>
        </w:tc>
        <w:tc>
          <w:tcPr>
            <w:tcW w:type="dxa" w:w="2160"/>
          </w:tcPr>
          <w:p>
            <w:r>
              <w:t>Onboarding, una sola vez por usuaria</w:t>
            </w:r>
          </w:p>
        </w:tc>
        <w:tc>
          <w:tcPr>
            <w:tcW w:type="dxa" w:w="2160"/>
          </w:tcPr>
          <w:p>
            <w:r>
              <w:t>≈ 3.950</w:t>
            </w:r>
          </w:p>
        </w:tc>
        <w:tc>
          <w:tcPr>
            <w:tcW w:type="dxa" w:w="2160"/>
          </w:tcPr>
          <w:p>
            <w:r>
              <w:t>≈ 25</w:t>
            </w:r>
          </w:p>
        </w:tc>
      </w:tr>
      <w:tr>
        <w:tc>
          <w:tcPr>
            <w:tcW w:type="dxa" w:w="2160"/>
          </w:tcPr>
          <w:p>
            <w:r>
              <w:t>Vectorización de la consulta</w:t>
            </w:r>
          </w:p>
        </w:tc>
        <w:tc>
          <w:tcPr>
            <w:tcW w:type="dxa" w:w="2160"/>
          </w:tcPr>
          <w:p>
            <w:r>
              <w:t>Cada CU2 y cada CU7</w:t>
            </w:r>
          </w:p>
        </w:tc>
        <w:tc>
          <w:tcPr>
            <w:tcW w:type="dxa" w:w="2160"/>
          </w:tcPr>
          <w:p>
            <w:r>
              <w:t>≈ 20</w:t>
            </w:r>
          </w:p>
        </w:tc>
        <w:tc>
          <w:tcPr>
            <w:tcW w:type="dxa" w:w="2160"/>
          </w:tcPr>
          <w:p>
            <w:r>
              <w:t>no aplica</w:t>
            </w:r>
          </w:p>
        </w:tc>
      </w:tr>
    </w:tbl>
    <w:p/>
    <w:p>
      <w:r>
        <w:rPr>
          <w:b w:val="0"/>
          <w:i w:val="0"/>
        </w:rPr>
        <w:t>Tres observaciones sobre esta tabla:</w:t>
      </w:r>
    </w:p>
    <w:p>
      <w:pPr>
        <w:pStyle w:val="ListBullet"/>
      </w:pPr>
      <w:r>
        <w:t>La llamada del agente es el costo fijo de cada mensaje y está dominada por el prompt del sistema (agente_v1.md, unos 1.280 tokens) más las declaraciones de las cinco herramientas (unos 500). Se paga aunque la respuesta sea un texto fijo que no pasa por el modelo, como la bienvenida del CU5.</w:t>
      </w:r>
    </w:p>
    <w:p>
      <w:pPr>
        <w:pStyle w:val="ListBullet"/>
      </w:pPr>
      <w:r>
        <w:t>El CU2 con respaldo es el caso más caro porque inyecta hasta cuatro fragmentos oficiales de 300 a 500 tokens cada uno. Subir RAG_TOP_K encarece proporcionalmente el caso de uso más frecuente.</w:t>
      </w:r>
    </w:p>
    <w:p>
      <w:pPr>
        <w:pStyle w:val="ListBullet"/>
      </w:pPr>
      <w:r>
        <w:t>La desambiguación del barrio es la llamada individual más cara del sistema —lleva el catálogo completo de 313 barrios en el prompt—, pero se paga una sola vez por usuaria. Que sea así, y no una vez por mensaje, es consecuencia directa del ADR-0016, que sacó el barrio de la extracción de entidades.</w:t>
      </w:r>
    </w:p>
    <w:p>
      <w:pPr>
        <w:pStyle w:val="Heading1"/>
      </w:pPr>
      <w:r>
        <w:t>6. Costo estimado por mensaje atendido</w:t>
      </w:r>
    </w:p>
    <w:p>
      <w:r>
        <w:rPr>
          <w:b w:val="0"/>
          <w:i w:val="0"/>
        </w:rPr>
        <w:t>Cada fila suma la llamada del agente más la de la herramienta que haya elegido. La última columna proyecta el mismo consumo con la tarifa que rige desde el 1 de enero de 2027.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Caso de uso</w:t>
            </w:r>
          </w:p>
        </w:tc>
        <w:tc>
          <w:tcPr>
            <w:tcW w:type="dxa" w:w="1728"/>
          </w:tcPr>
          <w:p>
            <w:r/>
            <w:r>
              <w:rPr>
                <w:b/>
              </w:rPr>
              <w:t>Tokens (entrada + salida)</w:t>
            </w:r>
          </w:p>
        </w:tc>
        <w:tc>
          <w:tcPr>
            <w:tcW w:type="dxa" w:w="1728"/>
          </w:tcPr>
          <w:p>
            <w:r/>
            <w:r>
              <w:rPr>
                <w:b/>
              </w:rPr>
              <w:t>USD</w:t>
            </w:r>
          </w:p>
        </w:tc>
        <w:tc>
          <w:tcPr>
            <w:tcW w:type="dxa" w:w="1728"/>
          </w:tcPr>
          <w:p>
            <w:r/>
            <w:r>
              <w:rPr>
                <w:b/>
              </w:rPr>
              <w:t>COP (2026)</w:t>
            </w:r>
          </w:p>
        </w:tc>
        <w:tc>
          <w:tcPr>
            <w:tcW w:type="dxa" w:w="1728"/>
          </w:tcPr>
          <w:p>
            <w:r/>
            <w:r>
              <w:rPr>
                <w:b/>
              </w:rPr>
              <w:t>COP (2027)</w:t>
            </w:r>
          </w:p>
        </w:tc>
      </w:tr>
      <w:tr>
        <w:tc>
          <w:tcPr>
            <w:tcW w:type="dxa" w:w="1728"/>
          </w:tcPr>
          <w:p>
            <w:r>
              <w:t>CU5 ayuda, CU4 listado, CU8 mi huerta</w:t>
            </w:r>
          </w:p>
        </w:tc>
        <w:tc>
          <w:tcPr>
            <w:tcW w:type="dxa" w:w="1728"/>
          </w:tcPr>
          <w:p>
            <w:r>
              <w:t>2.050 + 60</w:t>
            </w:r>
          </w:p>
        </w:tc>
        <w:tc>
          <w:tcPr>
            <w:tcW w:type="dxa" w:w="1728"/>
          </w:tcPr>
          <w:p>
            <w:r>
              <w:t>0,00176</w:t>
            </w:r>
          </w:p>
        </w:tc>
        <w:tc>
          <w:tcPr>
            <w:tcW w:type="dxa" w:w="1728"/>
          </w:tcPr>
          <w:p>
            <w:r>
              <w:t>5,63</w:t>
            </w:r>
          </w:p>
        </w:tc>
        <w:tc>
          <w:tcPr>
            <w:tcW w:type="dxa" w:w="1728"/>
          </w:tcPr>
          <w:p>
            <w:r>
              <w:t>11,25</w:t>
            </w:r>
          </w:p>
        </w:tc>
      </w:tr>
      <w:tr>
        <w:tc>
          <w:tcPr>
            <w:tcW w:type="dxa" w:w="1728"/>
          </w:tcPr>
          <w:p>
            <w:r>
              <w:t>CU3 registro (agente + extracción)</w:t>
            </w:r>
          </w:p>
        </w:tc>
        <w:tc>
          <w:tcPr>
            <w:tcW w:type="dxa" w:w="1728"/>
          </w:tcPr>
          <w:p>
            <w:r>
              <w:t>2.520 + 120</w:t>
            </w:r>
          </w:p>
        </w:tc>
        <w:tc>
          <w:tcPr>
            <w:tcW w:type="dxa" w:w="1728"/>
          </w:tcPr>
          <w:p>
            <w:r>
              <w:t>0,00234</w:t>
            </w:r>
          </w:p>
        </w:tc>
        <w:tc>
          <w:tcPr>
            <w:tcW w:type="dxa" w:w="1728"/>
          </w:tcPr>
          <w:p>
            <w:r>
              <w:t>7,47</w:t>
            </w:r>
          </w:p>
        </w:tc>
        <w:tc>
          <w:tcPr>
            <w:tcW w:type="dxa" w:w="1728"/>
          </w:tcPr>
          <w:p>
            <w:r>
              <w:t>14,94</w:t>
            </w:r>
          </w:p>
        </w:tc>
      </w:tr>
      <w:tr>
        <w:tc>
          <w:tcPr>
            <w:tcW w:type="dxa" w:w="1728"/>
          </w:tcPr>
          <w:p>
            <w:r>
              <w:t>CU7 búsqueda de un cultivo</w:t>
            </w:r>
          </w:p>
        </w:tc>
        <w:tc>
          <w:tcPr>
            <w:tcW w:type="dxa" w:w="1728"/>
          </w:tcPr>
          <w:p>
            <w:r>
              <w:t>2.800 + 160</w:t>
            </w:r>
          </w:p>
        </w:tc>
        <w:tc>
          <w:tcPr>
            <w:tcW w:type="dxa" w:w="1728"/>
          </w:tcPr>
          <w:p>
            <w:r>
              <w:t>0,00270</w:t>
            </w:r>
          </w:p>
        </w:tc>
        <w:tc>
          <w:tcPr>
            <w:tcW w:type="dxa" w:w="1728"/>
          </w:tcPr>
          <w:p>
            <w:r>
              <w:t>8,62</w:t>
            </w:r>
          </w:p>
        </w:tc>
        <w:tc>
          <w:tcPr>
            <w:tcW w:type="dxa" w:w="1728"/>
          </w:tcPr>
          <w:p>
            <w:r>
              <w:t>17,24</w:t>
            </w:r>
          </w:p>
        </w:tc>
      </w:tr>
      <w:tr>
        <w:tc>
          <w:tcPr>
            <w:tcW w:type="dxa" w:w="1728"/>
          </w:tcPr>
          <w:p>
            <w:r>
              <w:t>CU2 sin respaldo oficial</w:t>
            </w:r>
          </w:p>
        </w:tc>
        <w:tc>
          <w:tcPr>
            <w:tcW w:type="dxa" w:w="1728"/>
          </w:tcPr>
          <w:p>
            <w:r>
              <w:t>2.810 + 180</w:t>
            </w:r>
          </w:p>
        </w:tc>
        <w:tc>
          <w:tcPr>
            <w:tcW w:type="dxa" w:w="1728"/>
          </w:tcPr>
          <w:p>
            <w:r>
              <w:t>0,00278</w:t>
            </w:r>
          </w:p>
        </w:tc>
        <w:tc>
          <w:tcPr>
            <w:tcW w:type="dxa" w:w="1728"/>
          </w:tcPr>
          <w:p>
            <w:r>
              <w:t>8,88</w:t>
            </w:r>
          </w:p>
        </w:tc>
        <w:tc>
          <w:tcPr>
            <w:tcW w:type="dxa" w:w="1728"/>
          </w:tcPr>
          <w:p>
            <w:r>
              <w:t>17,77</w:t>
            </w:r>
          </w:p>
        </w:tc>
      </w:tr>
      <w:tr>
        <w:tc>
          <w:tcPr>
            <w:tcW w:type="dxa" w:w="1728"/>
          </w:tcPr>
          <w:p>
            <w:r>
              <w:t>CU2 con respaldo oficial</w:t>
            </w:r>
          </w:p>
        </w:tc>
        <w:tc>
          <w:tcPr>
            <w:tcW w:type="dxa" w:w="1728"/>
          </w:tcPr>
          <w:p>
            <w:r>
              <w:t>4.300 + 190</w:t>
            </w:r>
          </w:p>
        </w:tc>
        <w:tc>
          <w:tcPr>
            <w:tcW w:type="dxa" w:w="1728"/>
          </w:tcPr>
          <w:p>
            <w:r>
              <w:t>0,00394</w:t>
            </w:r>
          </w:p>
        </w:tc>
        <w:tc>
          <w:tcPr>
            <w:tcW w:type="dxa" w:w="1728"/>
          </w:tcPr>
          <w:p>
            <w:r>
              <w:t>12,57</w:t>
            </w:r>
          </w:p>
        </w:tc>
        <w:tc>
          <w:tcPr>
            <w:tcW w:type="dxa" w:w="1728"/>
          </w:tcPr>
          <w:p>
            <w:r>
              <w:t>25,14</w:t>
            </w:r>
          </w:p>
        </w:tc>
      </w:tr>
      <w:tr>
        <w:tc>
          <w:tcPr>
            <w:tcW w:type="dxa" w:w="1728"/>
          </w:tcPr>
          <w:p>
            <w:r>
              <w:t>CU6 onboarding, paso del barrio</w:t>
            </w:r>
          </w:p>
        </w:tc>
        <w:tc>
          <w:tcPr>
            <w:tcW w:type="dxa" w:w="1728"/>
          </w:tcPr>
          <w:p>
            <w:r>
              <w:t>3.950 + 25</w:t>
            </w:r>
          </w:p>
        </w:tc>
        <w:tc>
          <w:tcPr>
            <w:tcW w:type="dxa" w:w="1728"/>
          </w:tcPr>
          <w:p>
            <w:r>
              <w:t>0,00306</w:t>
            </w:r>
          </w:p>
        </w:tc>
        <w:tc>
          <w:tcPr>
            <w:tcW w:type="dxa" w:w="1728"/>
          </w:tcPr>
          <w:p>
            <w:r>
              <w:t>9,76</w:t>
            </w:r>
          </w:p>
        </w:tc>
        <w:tc>
          <w:tcPr>
            <w:tcW w:type="dxa" w:w="1728"/>
          </w:tcPr>
          <w:p>
            <w:r>
              <w:t>19,52</w:t>
            </w:r>
          </w:p>
        </w:tc>
      </w:tr>
    </w:tbl>
    <w:p/>
    <w:p>
      <w:r>
        <w:rPr>
          <w:b/>
          <w:i w:val="0"/>
        </w:rPr>
        <w:t>En síntesis: un mensaje cuesta entre 6 y 13 pesos colombianos con la tarifa de 2026, y entre 11 y 25 con la de 2027. Un mensaje que dispare dos herramientas a la vez —multi-intención, CLAUDE.md §5— no llega a 15 pesos, porque el costo fijo del agente ya es la parte mayor del total.</w:t>
      </w:r>
    </w:p>
    <w:p>
      <w:pPr>
        <w:pStyle w:val="Heading1"/>
      </w:pPr>
      <w:r>
        <w:t>7. Proyección de gasto por usuaria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Escenario</w:t>
            </w:r>
          </w:p>
        </w:tc>
        <w:tc>
          <w:tcPr>
            <w:tcW w:type="dxa" w:w="2880"/>
          </w:tcPr>
          <w:p>
            <w:r/>
            <w:r>
              <w:rPr>
                <w:b/>
              </w:rPr>
              <w:t>COP (2026)</w:t>
            </w:r>
          </w:p>
        </w:tc>
        <w:tc>
          <w:tcPr>
            <w:tcW w:type="dxa" w:w="2880"/>
          </w:tcPr>
          <w:p>
            <w:r/>
            <w:r>
              <w:rPr>
                <w:b/>
              </w:rPr>
              <w:t>COP (2027)</w:t>
            </w:r>
          </w:p>
        </w:tc>
      </w:tr>
      <w:tr>
        <w:tc>
          <w:tcPr>
            <w:tcW w:type="dxa" w:w="2880"/>
          </w:tcPr>
          <w:p>
            <w:r>
              <w:t>100 mensajes de una usuaria</w:t>
            </w:r>
          </w:p>
        </w:tc>
        <w:tc>
          <w:tcPr>
            <w:tcW w:type="dxa" w:w="2880"/>
          </w:tcPr>
          <w:p>
            <w:r>
              <w:t>600 – 1.300</w:t>
            </w:r>
          </w:p>
        </w:tc>
        <w:tc>
          <w:tcPr>
            <w:tcW w:type="dxa" w:w="2880"/>
          </w:tcPr>
          <w:p>
            <w:r>
              <w:t>1.200 – 2.600</w:t>
            </w:r>
          </w:p>
        </w:tc>
      </w:tr>
      <w:tr>
        <w:tc>
          <w:tcPr>
            <w:tcW w:type="dxa" w:w="2880"/>
          </w:tcPr>
          <w:p>
            <w:r>
              <w:t>Onboarding completo (una vez por usuaria)</w:t>
            </w:r>
          </w:p>
        </w:tc>
        <w:tc>
          <w:tcPr>
            <w:tcW w:type="dxa" w:w="2880"/>
          </w:tcPr>
          <w:p>
            <w:r>
              <w:t>≈ 10</w:t>
            </w:r>
          </w:p>
        </w:tc>
        <w:tc>
          <w:tcPr>
            <w:tcW w:type="dxa" w:w="2880"/>
          </w:tcPr>
          <w:p>
            <w:r>
              <w:t>≈ 20</w:t>
            </w:r>
          </w:p>
        </w:tc>
      </w:tr>
      <w:tr>
        <w:tc>
          <w:tcPr>
            <w:tcW w:type="dxa" w:w="2880"/>
          </w:tcPr>
          <w:p>
            <w:r>
              <w:t>Cohorte de 7 usuarias × 100 mensajes</w:t>
            </w:r>
          </w:p>
        </w:tc>
        <w:tc>
          <w:tcPr>
            <w:tcW w:type="dxa" w:w="2880"/>
          </w:tcPr>
          <w:p>
            <w:r>
              <w:t>4.200 – 9.100</w:t>
            </w:r>
          </w:p>
        </w:tc>
        <w:tc>
          <w:tcPr>
            <w:tcW w:type="dxa" w:w="2880"/>
          </w:tcPr>
          <w:p>
            <w:r>
              <w:t>8.400 – 18.200</w:t>
            </w:r>
          </w:p>
        </w:tc>
      </w:tr>
    </w:tbl>
    <w:p/>
    <w:p>
      <w:r>
        <w:rPr>
          <w:b w:val="0"/>
          <w:i w:val="0"/>
        </w:rPr>
        <w:t>Contraste con los datos reales de producción al 17/09/2026: la base registra 204 filas en la tabla mensaje para nueve usuarias. Esas filas incluyen los dos roles, el de la usuaria y el del asistente, de modo que corresponden a unos 100 turnos atendidos. El gasto de esos ocho días de operación con nueve usuarias estaría entonces entre 600 y 1.300 pesos.</w:t>
      </w:r>
    </w:p>
    <w:p>
      <w:r>
        <w:rPr>
          <w:b/>
          <w:color w:val="993300"/>
        </w:rPr>
        <w:t>El modelo generativo no es lo que presiona el presupuesto de este prototipo.</w:t>
      </w:r>
    </w:p>
    <w:p>
      <w:r>
        <w:rPr>
          <w:b w:val="0"/>
          <w:i w:val="0"/>
        </w:rPr>
        <w:t>El plan Hobby de Railway cuesta 5 dólares mensuales, unos 15.965 pesos a la TRM de hoy: entre doce y veintiséis veces el gasto proyectado en tokens para una cohorte completa de evaluación. La conclusión operativa es que el costo por token no condiciona ninguna decisión de diseño del prototipo —ni el top-k, ni la ventana de memoria, ni la elección entre gemini-3.6-flash y la variante lite—, y que esas decisiones deben tomarse por calidad de respuesta, que es el criterio con el que ya se tomaron.</w:t>
      </w:r>
    </w:p>
    <w:p>
      <w:pPr>
        <w:pStyle w:val="Heading1"/>
      </w:pPr>
      <w:r>
        <w:t>8. Lo que este cálculo no incluye</w:t>
      </w:r>
    </w:p>
    <w:p>
      <w:pPr>
        <w:pStyle w:val="ListBullet"/>
      </w:pPr>
      <w:r>
        <w:t>Transcripción de notas de voz. Gemini tarifa el audio por tokens y esa tarifa no se verificó con el mismo rigor que las demás. Si la entrada por voz resulta ser una fracción alta del tráfico durante la evaluación, hay que medirla aparte.</w:t>
      </w:r>
    </w:p>
    <w:p>
      <w:pPr>
        <w:pStyle w:val="ListBullet"/>
      </w:pPr>
      <w:r>
        <w:t>Ingesta del corpus oficial. Los 765 fragmentos ya vectorizados son un costo administrativo ya incurrido, de una sola vez, y no un costo por usuaria. Solo reaparece si se reingiere una fuente.</w:t>
      </w:r>
    </w:p>
    <w:p>
      <w:pPr>
        <w:pStyle w:val="ListBullet"/>
      </w:pPr>
      <w:r>
        <w:t>Reintentos de Meta. La garantía del sistema es «al menos una vez» (ADR-0005): un mensaje reprocesado llama al modelo dos veces y cuesta dos veces. La proporción en que eso ocurre no está medida.</w:t>
      </w:r>
    </w:p>
    <w:p>
      <w:pPr>
        <w:pStyle w:val="ListBullet"/>
      </w:pPr>
      <w:r>
        <w:t>El segundo intento de recuperación del CU2. Cuando el recorte de la consulta que hace el agente no recupera nada, orientacion.py reintenta con el mensaje completo, lo que añade una vectorización más (ADR-0013). Su costo es despreciable, pero la frecuencia con que ocurre sí es dato de la Fase 7.</w:t>
      </w:r>
    </w:p>
    <w:p>
      <w:pPr>
        <w:pStyle w:val="Heading1"/>
      </w:pPr>
      <w:r>
        <w:t>9. Cómo obtener la cifra medida</w:t>
      </w:r>
    </w:p>
    <w:p>
      <w:r>
        <w:rPr>
          <w:b w:val="0"/>
          <w:i w:val="0"/>
        </w:rPr>
        <w:t>Hay dos caminos, y conviene no confundirlos porque responden preguntas distintas.</w:t>
      </w:r>
    </w:p>
    <w:p>
      <w:pPr>
        <w:pStyle w:val="Heading2"/>
      </w:pPr>
      <w:r>
        <w:t>9.1. Conteo exacto sin tráfico real</w:t>
      </w:r>
    </w:p>
    <w:p>
      <w:r>
        <w:rPr>
          <w:b w:val="0"/>
          <w:i w:val="0"/>
        </w:rPr>
        <w:t>El SDK google-genai expone client.models.count_tokens(), que devuelve el conteo exacto de tokens de un prompt sin generar respuesta y sin costo de generación. Aplicado sobre los prompts reales del repositorio, sustituiría la aproximación de 4 caracteres por token por el conteo del tokenizador de Google. Es un script de una sola pasada, no requiere cambios de esquema ni de código de producción, y cierra la mitad de la incertidumbre de este documento: la de la entrada. No puede medir los tokens de salida, que dependen de lo que el modelo decida escribir.</w:t>
      </w:r>
    </w:p>
    <w:p>
      <w:pPr>
        <w:pStyle w:val="Heading2"/>
      </w:pPr>
      <w:r>
        <w:t>9.2. Registro del consumo real en producción</w:t>
      </w:r>
    </w:p>
    <w:p>
      <w:r>
        <w:rPr>
          <w:b w:val="0"/>
          <w:i w:val="0"/>
        </w:rPr>
        <w:t>Leer usage_metadata en cada llamada y persistir el conteo. Es lo único que da la cifra verdadera, incluida la de salida, y permite además responder preguntas que esta estimación no alcanza: qué proporción de las consultas del CU2 termina sin respaldo oficial, cuánto contexto recupera de verdad el RAG, y si el modelo influye en el consumo tanto como se midió que influye en el acierto del enrutamiento. Implica una migración de esquema y tocar los cinco módulos que llaman al modelo, y requiere su propio ADR.</w:t>
      </w:r>
    </w:p>
    <w:p>
      <w:r>
        <w:rPr>
          <w:b/>
          <w:i w:val="0"/>
        </w:rPr>
        <w:t>Recomendación: hacer primero 9.1, que es barato y no toca producción, y decidir 9.2 en función de si el documento de grado necesita una serie de consumo real o le basta con una estimación declarada como tal.</w:t>
      </w:r>
    </w:p>
    <w:p>
      <w:pPr>
        <w:pStyle w:val="Heading1"/>
      </w:pPr>
      <w:r>
        <w:t>10. Fuentes consultadas</w:t>
      </w:r>
    </w:p>
    <w:p>
      <w:pPr>
        <w:pStyle w:val="ListBullet"/>
      </w:pPr>
      <w:r>
        <w:t>Google AI for Developers — Gemini Developer API pricing. ai.google.dev/gemini-api/docs/pricing. Consultado el 19/09/2026.</w:t>
      </w:r>
    </w:p>
    <w:p>
      <w:pPr>
        <w:pStyle w:val="ListBullet"/>
      </w:pPr>
      <w:r>
        <w:t>Banco de la República / TRM vigente del 19 al 21 de septiembre de 2026: 3.192,92 COP por USD.</w:t>
      </w:r>
    </w:p>
    <w:p>
      <w:pPr>
        <w:pStyle w:val="ListBullet"/>
      </w:pPr>
      <w:r>
        <w:t>Repositorio del proyecto: app/config.py, app/agent/agente.py, app/agent/prompts/, app/services/orientacion.py, app/services/comunidad.py, app/services/extraccion.py, app/services/onboarding.py, app/services/recuperacion.py.</w:t>
      </w:r>
    </w:p>
    <w:p>
      <w:pPr>
        <w:pStyle w:val="ListBullet"/>
      </w:pPr>
      <w:r>
        <w:t>CLAUDE.md §8 (parámetros del modelo) y §12 (criterios de medición); docs/ESTADO.md; ADR-0009, ADR-0013, ADR-0016, ADR-0021.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