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C9963B" w:sz="6" w:space="1"/>
        </w:pBdr>
        <w:spacing w:after="400"/>
        <w:jc w:val="center"/>
      </w:pPr>
    </w:p>
    <w:p>
      <w:pPr>
        <w:spacing w:after="100"/>
        <w:jc w:val="center"/>
      </w:pPr>
      <w:r>
        <w:rPr>
          <w:rFonts w:ascii="Arial" w:cs="Arial" w:eastAsia="Arial" w:hAnsi="Arial"/>
          <w:b/>
          <w:bCs/>
          <w:color w:val="C9963B"/>
          <w:spacing w:val="300"/>
          <w:sz w:val="20"/>
          <w:szCs w:val="20"/>
        </w:rPr>
        <w:t xml:space="preserve">BRIEFING NOTE</w:t>
      </w:r>
    </w:p>
    <w:p>
      <w:pPr>
        <w:spacing w:after="200"/>
        <w:jc w:val="center"/>
      </w:pPr>
      <w:r>
        <w:rPr>
          <w:rFonts w:ascii="Arial" w:cs="Arial" w:eastAsia="Arial" w:hAnsi="Arial"/>
          <w:b/>
          <w:bCs/>
          <w:color w:val="1B2A4A"/>
          <w:sz w:val="40"/>
          <w:szCs w:val="40"/>
        </w:rPr>
        <w:t xml:space="preserve">Gold vs. Bitcoin in Wartime Contexts</w:t>
      </w:r>
    </w:p>
    <w:p>
      <w:pPr>
        <w:spacing w:after="100"/>
        <w:jc w:val="center"/>
      </w:pPr>
      <w:r>
        <w:rPr>
          <w:rFonts w:ascii="Georgia" w:cs="Georgia" w:eastAsia="Georgia" w:hAnsi="Georgia"/>
          <w:i/>
          <w:iCs/>
          <w:color w:val="666666"/>
          <w:sz w:val="26"/>
          <w:szCs w:val="26"/>
        </w:rPr>
        <w:t xml:space="preserve">From historical safe haven to escape infrastructure</w:t>
      </w:r>
    </w:p>
    <w:p>
      <w:pPr>
        <w:pBdr>
          <w:top w:val="single" w:color="C9963B" w:sz="6" w:space="1"/>
        </w:pBdr>
        <w:spacing w:before="400" w:after="600"/>
        <w:jc w:val="center"/>
      </w:pPr>
    </w:p>
    <w:p>
      <w:pPr>
        <w:spacing w:after="60"/>
        <w:jc w:val="center"/>
      </w:pPr>
      <w:r>
        <w:rPr>
          <w:rFonts w:ascii="Arial" w:cs="Arial" w:eastAsia="Arial" w:hAnsi="Arial"/>
          <w:b/>
          <w:bCs/>
          <w:color w:val="1B2A4A"/>
          <w:sz w:val="20"/>
          <w:szCs w:val="20"/>
        </w:rPr>
        <w:t xml:space="preserve">Core thesis:</w:t>
      </w:r>
    </w:p>
    <w:p>
      <w:pPr>
        <w:spacing w:after="600"/>
        <w:jc w:val="center"/>
      </w:pPr>
      <w:r>
        <w:rPr>
          <w:rFonts w:ascii="Georgia" w:cs="Georgia" w:eastAsia="Georgia" w:hAnsi="Georgia"/>
          <w:i/>
          <w:iCs/>
          <w:color w:val="333333"/>
          <w:sz w:val="24"/>
          <w:szCs w:val="24"/>
        </w:rPr>
        <w:t xml:space="preserve">«Before the war, the market buys shelter.
During the war, people buy an exit.»</w:t>
      </w:r>
    </w:p>
    <w:p>
      <w:pPr>
        <w:spacing w:before="1000"/>
        <w:jc w:val="center"/>
      </w:pPr>
      <w:r>
        <w:rPr>
          <w:rFonts w:ascii="Arial" w:cs="Arial" w:eastAsia="Arial" w:hAnsi="Arial"/>
          <w:color w:val="666666"/>
          <w:sz w:val="20"/>
          <w:szCs w:val="20"/>
        </w:rPr>
        <w:t xml:space="preserve">March 2026</w:t>
      </w:r>
    </w:p>
    <w:p>
      <w:pPr>
        <w:spacing w:before="120"/>
        <w:jc w:val="center"/>
      </w:pPr>
      <w:r>
        <w:rPr>
          <w:rFonts w:ascii="Arial" w:cs="Arial" w:eastAsia="Arial" w:hAnsi="Arial"/>
          <w:b/>
          <w:bCs/>
          <w:color w:val="1B2A4A"/>
          <w:sz w:val="22"/>
          <w:szCs w:val="22"/>
        </w:rPr>
        <w:t xml:space="preserve">Ing. Andrés Recabarren</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2A4A"/>
          <w:sz w:val="30"/>
          <w:szCs w:val="30"/>
        </w:rPr>
        <w:t xml:space="preserve">Introduction</w:t>
      </w:r>
    </w:p>
    <w:p>
      <w:pPr>
        <w:spacing w:after="200" w:line="320"/>
        <w:jc w:val="both"/>
      </w:pPr>
      <w:r>
        <w:rPr>
          <w:rFonts w:ascii="Georgia" w:cs="Georgia" w:eastAsia="Georgia" w:hAnsi="Georgia"/>
          <w:color w:val="333333"/>
          <w:sz w:val="22"/>
          <w:szCs w:val="22"/>
        </w:rPr>
        <w:t xml:space="preserve">For centuries, when the world turns uncertain, investors do the same thing: they buy gold. This is not irrational; it is historical memory. Gold has survived empires, devaluations, confiscations, and monetary crises. However, this note proposes a fundamental distinction that markets tend to overlook: the difference between a theoretical safe-haven asset and an operational safe-haven asset when order actually breaks down.</w:t>
      </w:r>
    </w:p>
    <w:p>
      <w:pPr>
        <w:spacing w:after="200" w:line="320"/>
        <w:jc w:val="both"/>
      </w:pPr>
      <w:r>
        <w:rPr>
          <w:rFonts w:ascii="Georgia" w:cs="Georgia" w:eastAsia="Georgia" w:hAnsi="Georgia"/>
          <w:color w:val="333333"/>
          <w:sz w:val="22"/>
          <w:szCs w:val="22"/>
        </w:rPr>
        <w:t xml:space="preserve">The core thesis is that Bitcoin does not compete with gold as “digital gold,” but as a monetary technology designed for scenarios where wealth needs to become portable, self-custodied, and resistant to territorial blockage.</w:t>
      </w:r>
    </w:p>
    <w:p>
      <w:pPr>
        <w:pStyle w:val="Heading1"/>
      </w:pPr>
      <w:r>
        <w:rPr>
          <w:rFonts w:ascii="Arial" w:cs="Arial" w:eastAsia="Arial" w:hAnsi="Arial"/>
          <w:b/>
          <w:bCs/>
          <w:color w:val="1B2A4A"/>
          <w:sz w:val="30"/>
          <w:szCs w:val="30"/>
        </w:rPr>
        <w:t xml:space="preserve">1. The Market Before War: Historical Narrative</w:t>
      </w:r>
    </w:p>
    <w:p>
      <w:pPr>
        <w:spacing w:after="200" w:line="320"/>
        <w:jc w:val="both"/>
      </w:pPr>
      <w:r>
        <w:rPr>
          <w:rFonts w:ascii="Georgia" w:cs="Georgia" w:eastAsia="Georgia" w:hAnsi="Georgia"/>
          <w:color w:val="333333"/>
          <w:sz w:val="22"/>
          <w:szCs w:val="22"/>
        </w:rPr>
        <w:t xml:space="preserve">When war is still a probability, investors do not react to the actual logistics of the conflict but to historical memory. In virtually every modern conflict the pattern has been the same: geopolitical uncertainty, inflation, or financial collapse translates into gold purchases.</w:t>
      </w:r>
    </w:p>
    <w:p>
      <w:pPr>
        <w:spacing w:after="200" w:line="320"/>
        <w:jc w:val="both"/>
      </w:pPr>
      <w:r>
        <w:rPr>
          <w:rFonts w:ascii="Georgia" w:cs="Georgia" w:eastAsia="Georgia" w:hAnsi="Georgia"/>
          <w:color w:val="333333"/>
          <w:sz w:val="22"/>
          <w:szCs w:val="22"/>
        </w:rPr>
        <w:t xml:space="preserve">When geopolitical risk rises, the market’s mental algorithm is simple: geopolitical risk goes up, gold goes up, risk assets go down. Within “risk assets,” many investors still place Bitcoin, because its history is short (2009–present). Markets do not reason from scratch; they reason by historical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9963B" w:sz="12"/>
              <w:bottom w:val="none" w:sz="0"/>
              <w:right w:val="none" w:sz="0"/>
            </w:tcBorders>
            <w:shd w:fill="F5F5F0" w:val="clear"/>
            <w:tcMar>
              <w:top w:type="dxa" w:w="200"/>
              <w:left w:type="dxa" w:w="300"/>
              <w:bottom w:type="dxa" w:w="200"/>
              <w:right w:type="dxa" w:w="300"/>
            </w:tcMar>
          </w:tcPr>
          <w:p>
            <w:pPr>
              <w:spacing w:after="0"/>
              <w:jc w:val="left"/>
            </w:pPr>
            <w:r>
              <w:rPr>
                <w:rFonts w:ascii="Georgia" w:cs="Georgia" w:eastAsia="Georgia" w:hAnsi="Georgia"/>
                <w:i/>
                <w:iCs/>
                <w:color w:val="1B2A4A"/>
                <w:sz w:val="24"/>
                <w:szCs w:val="24"/>
              </w:rPr>
              <w:t xml:space="preserve">“Before the war, the market buys history.
During the war, people buy mobility.”</w:t>
            </w:r>
          </w:p>
        </w:tc>
      </w:tr>
    </w:tbl>
    <w:p>
      <w:pPr>
        <w:pStyle w:val="Heading1"/>
      </w:pPr>
      <w:r>
        <w:rPr>
          <w:rFonts w:ascii="Arial" w:cs="Arial" w:eastAsia="Arial" w:hAnsi="Arial"/>
          <w:b/>
          <w:bCs/>
          <w:color w:val="1B2A4A"/>
          <w:sz w:val="30"/>
          <w:szCs w:val="30"/>
        </w:rPr>
        <w:t xml:space="preserve">2. The Conceptual Error: Store of Value vs. Mobility of Value</w:t>
      </w:r>
    </w:p>
    <w:p>
      <w:pPr>
        <w:spacing w:after="200" w:line="320"/>
        <w:jc w:val="both"/>
      </w:pPr>
      <w:r>
        <w:rPr>
          <w:rFonts w:ascii="Georgia" w:cs="Georgia" w:eastAsia="Georgia" w:hAnsi="Georgia"/>
          <w:color w:val="333333"/>
          <w:sz w:val="22"/>
          <w:szCs w:val="22"/>
        </w:rPr>
        <w:t xml:space="preserve">Gold is excellent as a static store of value, but it has serious limitations as an escape vehicle. Its real-world properties in a war context reveal fundamental weaknesses: it is heavy, visible, confiscable, difficult to transport in large quantities, and controllable at borders.</w:t>
      </w:r>
    </w:p>
    <w:p>
      <w:pPr>
        <w:spacing w:after="200" w:line="320"/>
        <w:jc w:val="both"/>
      </w:pPr>
      <w:r>
        <w:rPr>
          <w:rFonts w:ascii="Georgia" w:cs="Georgia" w:eastAsia="Georgia" w:hAnsi="Georgia"/>
          <w:color w:val="333333"/>
          <w:sz w:val="22"/>
          <w:szCs w:val="22"/>
        </w:rPr>
        <w:t xml:space="preserve">A one-million-dollar gold holding weighs roughly 16 kg. Attempting to cross a border with that amount is virtually impossible.</w:t>
      </w:r>
    </w:p>
    <w:p>
      <w:pPr>
        <w:pStyle w:val="Heading2"/>
      </w:pPr>
      <w:r>
        <w:rPr>
          <w:rFonts w:ascii="Arial" w:cs="Arial" w:eastAsia="Arial" w:hAnsi="Arial"/>
          <w:b/>
          <w:bCs/>
          <w:color w:val="1B2A4A"/>
          <w:sz w:val="26"/>
          <w:szCs w:val="26"/>
        </w:rPr>
        <w:t xml:space="preserve">Operational Properties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312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Gold</w:t>
            </w:r>
          </w:p>
        </w:tc>
        <w:tc>
          <w:tcPr>
            <w:tcW w:type="dxa" w:w="312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Bitcoin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Transportability</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Poor</w:t>
            </w:r>
          </w:p>
        </w:tc>
        <w:tc>
          <w:tcPr>
            <w:tcW w:type="dxa" w:w="3120"/>
            <w:tcBorders>
              <w:top w:val="single" w:color="D0D0D0" w:sz="1"/>
              <w:left w:val="single" w:color="D0D0D0" w:sz="1"/>
              <w:bottom w:val="single" w:color="D0D0D0" w:sz="1"/>
              <w:right w:val="single" w:color="D0D0D0" w:sz="1"/>
            </w:tcBorders>
            <w:shd w:fill="E8F0E8" w:val="clear"/>
            <w:tcMar>
              <w:top w:type="dxa" w:w="80"/>
              <w:left w:type="dxa" w:w="120"/>
              <w:bottom w:type="dxa" w:w="80"/>
              <w:right w:type="dxa" w:w="120"/>
            </w:tcMar>
            <w:vAlign w:val="center"/>
          </w:tcPr>
          <w:p>
            <w:pPr>
              <w:jc w:val="center"/>
            </w:pPr>
            <w:r>
              <w:rPr>
                <w:rFonts w:ascii="Georgia" w:cs="Georgia" w:eastAsia="Georgia" w:hAnsi="Georgia"/>
                <w:b/>
                <w:bCs/>
                <w:color w:val="333333"/>
                <w:sz w:val="20"/>
                <w:szCs w:val="20"/>
              </w:rPr>
              <w:t xml:space="preserve">Extreme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Confiscation</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Easy</w:t>
            </w:r>
          </w:p>
        </w:tc>
        <w:tc>
          <w:tcPr>
            <w:tcW w:type="dxa" w:w="3120"/>
            <w:tcBorders>
              <w:top w:val="single" w:color="D0D0D0" w:sz="1"/>
              <w:left w:val="single" w:color="D0D0D0" w:sz="1"/>
              <w:bottom w:val="single" w:color="D0D0D0" w:sz="1"/>
              <w:right w:val="single" w:color="D0D0D0" w:sz="1"/>
            </w:tcBorders>
            <w:shd w:fill="E8F0E8" w:val="clear"/>
            <w:tcMar>
              <w:top w:type="dxa" w:w="80"/>
              <w:left w:type="dxa" w:w="120"/>
              <w:bottom w:type="dxa" w:w="80"/>
              <w:right w:type="dxa" w:w="120"/>
            </w:tcMar>
            <w:vAlign w:val="center"/>
          </w:tcPr>
          <w:p>
            <w:pPr>
              <w:jc w:val="center"/>
            </w:pPr>
            <w:r>
              <w:rPr>
                <w:rFonts w:ascii="Georgia" w:cs="Georgia" w:eastAsia="Georgia" w:hAnsi="Georgia"/>
                <w:b/>
                <w:bCs/>
                <w:color w:val="333333"/>
                <w:sz w:val="20"/>
                <w:szCs w:val="20"/>
              </w:rPr>
              <w:t xml:space="preserve">Very difficult</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Global liquidity</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Medium</w:t>
            </w:r>
          </w:p>
        </w:tc>
        <w:tc>
          <w:tcPr>
            <w:tcW w:type="dxa" w:w="3120"/>
            <w:tcBorders>
              <w:top w:val="single" w:color="D0D0D0" w:sz="1"/>
              <w:left w:val="single" w:color="D0D0D0" w:sz="1"/>
              <w:bottom w:val="single" w:color="D0D0D0" w:sz="1"/>
              <w:right w:val="single" w:color="D0D0D0" w:sz="1"/>
            </w:tcBorders>
            <w:shd w:fill="E8F0E8" w:val="clear"/>
            <w:tcMar>
              <w:top w:type="dxa" w:w="80"/>
              <w:left w:type="dxa" w:w="120"/>
              <w:bottom w:type="dxa" w:w="80"/>
              <w:right w:type="dxa" w:w="120"/>
            </w:tcMar>
            <w:vAlign w:val="center"/>
          </w:tcPr>
          <w:p>
            <w:pPr>
              <w:jc w:val="center"/>
            </w:pPr>
            <w:r>
              <w:rPr>
                <w:rFonts w:ascii="Georgia" w:cs="Georgia" w:eastAsia="Georgia" w:hAnsi="Georgia"/>
                <w:b/>
                <w:bCs/>
                <w:color w:val="333333"/>
                <w:sz w:val="20"/>
                <w:szCs w:val="20"/>
              </w:rPr>
              <w:t xml:space="preserve">High</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Crossing borders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Difficult</w:t>
            </w:r>
          </w:p>
        </w:tc>
        <w:tc>
          <w:tcPr>
            <w:tcW w:type="dxa" w:w="3120"/>
            <w:tcBorders>
              <w:top w:val="single" w:color="D0D0D0" w:sz="1"/>
              <w:left w:val="single" w:color="D0D0D0" w:sz="1"/>
              <w:bottom w:val="single" w:color="D0D0D0" w:sz="1"/>
              <w:right w:val="single" w:color="D0D0D0" w:sz="1"/>
            </w:tcBorders>
            <w:shd w:fill="E8F0E8" w:val="clear"/>
            <w:tcMar>
              <w:top w:type="dxa" w:w="80"/>
              <w:left w:type="dxa" w:w="120"/>
              <w:bottom w:type="dxa" w:w="80"/>
              <w:right w:type="dxa" w:w="120"/>
            </w:tcMar>
            <w:vAlign w:val="center"/>
          </w:tcPr>
          <w:p>
            <w:pPr>
              <w:jc w:val="center"/>
            </w:pPr>
            <w:r>
              <w:rPr>
                <w:rFonts w:ascii="Georgia" w:cs="Georgia" w:eastAsia="Georgia" w:hAnsi="Georgia"/>
                <w:b/>
                <w:bCs/>
                <w:color w:val="333333"/>
                <w:sz w:val="20"/>
                <w:szCs w:val="20"/>
              </w:rPr>
              <w:t xml:space="preserve">Trivial</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Divisibility</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Limited</w:t>
            </w:r>
          </w:p>
        </w:tc>
        <w:tc>
          <w:tcPr>
            <w:tcW w:type="dxa" w:w="3120"/>
            <w:tcBorders>
              <w:top w:val="single" w:color="D0D0D0" w:sz="1"/>
              <w:left w:val="single" w:color="D0D0D0" w:sz="1"/>
              <w:bottom w:val="single" w:color="D0D0D0" w:sz="1"/>
              <w:right w:val="single" w:color="D0D0D0" w:sz="1"/>
            </w:tcBorders>
            <w:shd w:fill="E8F0E8" w:val="clear"/>
            <w:tcMar>
              <w:top w:type="dxa" w:w="80"/>
              <w:left w:type="dxa" w:w="120"/>
              <w:bottom w:type="dxa" w:w="80"/>
              <w:right w:type="dxa" w:w="120"/>
            </w:tcMar>
            <w:vAlign w:val="center"/>
          </w:tcPr>
          <w:p>
            <w:pPr>
              <w:jc w:val="center"/>
            </w:pPr>
            <w:r>
              <w:rPr>
                <w:rFonts w:ascii="Georgia" w:cs="Georgia" w:eastAsia="Georgia" w:hAnsi="Georgia"/>
                <w:b/>
                <w:bCs/>
                <w:color w:val="333333"/>
                <w:sz w:val="20"/>
                <w:szCs w:val="20"/>
              </w:rPr>
              <w:t xml:space="preserve">Virtually infinite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Self-custody</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333333"/>
                <w:sz w:val="20"/>
                <w:szCs w:val="20"/>
              </w:rPr>
              <w:t xml:space="preserve">Requires physical space</w:t>
            </w:r>
          </w:p>
        </w:tc>
        <w:tc>
          <w:tcPr>
            <w:tcW w:type="dxa" w:w="3120"/>
            <w:tcBorders>
              <w:top w:val="single" w:color="D0D0D0" w:sz="1"/>
              <w:left w:val="single" w:color="D0D0D0" w:sz="1"/>
              <w:bottom w:val="single" w:color="D0D0D0" w:sz="1"/>
              <w:right w:val="single" w:color="D0D0D0" w:sz="1"/>
            </w:tcBorders>
            <w:shd w:fill="E8F0E8" w:val="clear"/>
            <w:tcMar>
              <w:top w:type="dxa" w:w="80"/>
              <w:left w:type="dxa" w:w="120"/>
              <w:bottom w:type="dxa" w:w="80"/>
              <w:right w:type="dxa" w:w="120"/>
            </w:tcMar>
            <w:vAlign w:val="center"/>
          </w:tcPr>
          <w:p>
            <w:pPr>
              <w:jc w:val="center"/>
            </w:pPr>
            <w:r>
              <w:rPr>
                <w:rFonts w:ascii="Georgia" w:cs="Georgia" w:eastAsia="Georgia" w:hAnsi="Georgia"/>
                <w:b/>
                <w:bCs/>
                <w:color w:val="333333"/>
                <w:sz w:val="20"/>
                <w:szCs w:val="20"/>
              </w:rPr>
              <w:t xml:space="preserve">Digital / mental</w:t>
            </w:r>
          </w:p>
        </w:tc>
      </w:tr>
    </w:tbl>
    <w:p>
      <w:pPr>
        <w:spacing w:after="200"/>
      </w:pPr>
    </w:p>
    <w:p>
      <w:pPr>
        <w:spacing w:after="200" w:line="320"/>
        <w:jc w:val="both"/>
      </w:pPr>
      <w:r>
        <w:rPr>
          <w:rFonts w:ascii="Georgia" w:cs="Georgia" w:eastAsia="Georgia" w:hAnsi="Georgia"/>
          <w:color w:val="333333"/>
          <w:sz w:val="22"/>
          <w:szCs w:val="22"/>
        </w:rPr>
        <w:t xml:space="preserve">With Bitcoin, by contrast, a person can cross a country carrying a memorized seed phrase, a hardware wallet, or even just 12 words in their head. This shift in context turns Bitcoin into escape infrastructure, not merely an investment.</w:t>
      </w:r>
    </w:p>
    <w:p>
      <w:pPr>
        <w:pStyle w:val="Heading1"/>
      </w:pPr>
      <w:r>
        <w:rPr>
          <w:rFonts w:ascii="Arial" w:cs="Arial" w:eastAsia="Arial" w:hAnsi="Arial"/>
          <w:b/>
          <w:bCs/>
          <w:color w:val="1B2A4A"/>
          <w:sz w:val="30"/>
          <w:szCs w:val="30"/>
        </w:rPr>
        <w:t xml:space="preserve">3. When War Materializes: Priorities Shift</w:t>
      </w:r>
    </w:p>
    <w:p>
      <w:pPr>
        <w:spacing w:after="200" w:line="320"/>
        <w:jc w:val="both"/>
      </w:pPr>
      <w:r>
        <w:rPr>
          <w:rFonts w:ascii="Georgia" w:cs="Georgia" w:eastAsia="Georgia" w:hAnsi="Georgia"/>
          <w:color w:val="333333"/>
          <w:sz w:val="22"/>
          <w:szCs w:val="22"/>
        </w:rPr>
        <w:t xml:space="preserve">When a conflict moves from risk to reality, the economic problem changes radically. The question is no longer “Where do I preserve value?” but rather “How do I get my wealth out of here right now?” At that point, the relevant properties of an asset change completely.</w:t>
      </w:r>
    </w:p>
    <w:p>
      <w:pPr>
        <w:spacing w:after="200" w:line="320"/>
        <w:jc w:val="both"/>
      </w:pPr>
      <w:r>
        <w:rPr>
          <w:rFonts w:ascii="Georgia" w:cs="Georgia" w:eastAsia="Georgia" w:hAnsi="Georgia"/>
          <w:color w:val="333333"/>
          <w:sz w:val="22"/>
          <w:szCs w:val="22"/>
        </w:rPr>
        <w:t xml:space="preserve">Historically, severe crises produce the phenomenon of local gold discounting. This has occurred during the Vietnam War, the Lebanese crisis, Argentina’s repeated financial collapses, and the war in Ukraine. Gold is sold at a discount locally not because it ceases to be valuable, but because its physical form no longer fits the immediate need: people require instant liquidity, there are few buyers, confiscation risk is real, and transporting it is dangerous.</w:t>
      </w:r>
    </w:p>
    <w:p>
      <w:pPr>
        <w:pStyle w:val="Heading1"/>
      </w:pPr>
      <w:r>
        <w:rPr>
          <w:rFonts w:ascii="Arial" w:cs="Arial" w:eastAsia="Arial" w:hAnsi="Arial"/>
          <w:b/>
          <w:bCs/>
          <w:color w:val="1B2A4A"/>
          <w:sz w:val="30"/>
          <w:szCs w:val="30"/>
        </w:rPr>
        <w:t xml:space="preserve">4. Bitcoin as “Wealth Without Mass”</w:t>
      </w:r>
    </w:p>
    <w:p>
      <w:pPr>
        <w:spacing w:after="200" w:line="320"/>
        <w:jc w:val="both"/>
      </w:pPr>
      <w:r>
        <w:rPr>
          <w:rFonts w:ascii="Georgia" w:cs="Georgia" w:eastAsia="Georgia" w:hAnsi="Georgia"/>
          <w:color w:val="333333"/>
          <w:sz w:val="22"/>
          <w:szCs w:val="22"/>
        </w:rPr>
        <w:t xml:space="preserve">Bitcoin introduces something civilizationally enormous: for the first time in modern history there exists a form of wealth that combines scarcity, self-custody, global liquidation, extreme portability, confiscation resistance, and relative state independence. In other words: wealth without mass.</w:t>
      </w:r>
    </w:p>
    <w:p>
      <w:pPr>
        <w:spacing w:after="200" w:line="320"/>
        <w:jc w:val="both"/>
      </w:pPr>
      <w:r>
        <w:rPr>
          <w:rFonts w:ascii="Georgia" w:cs="Georgia" w:eastAsia="Georgia" w:hAnsi="Georgia"/>
          <w:color w:val="333333"/>
          <w:sz w:val="22"/>
          <w:szCs w:val="22"/>
        </w:rPr>
        <w:t xml:space="preserve">This changes a relationship that seemed inevitable: the relationship between wealth and territorial control. With gold, moving wealth depends on routes, customs, weight, visibility, and custody. With Bitcoin, wealth can remain its owner’s even if nearly everything else is taken away, as long as the key—or the ability to reconstruct it—is preserved.</w:t>
      </w:r>
    </w:p>
    <w:p>
      <w:pPr>
        <w:pStyle w:val="Heading2"/>
      </w:pPr>
      <w:r>
        <w:rPr>
          <w:rFonts w:ascii="Arial" w:cs="Arial" w:eastAsia="Arial" w:hAnsi="Arial"/>
          <w:b/>
          <w:bCs/>
          <w:color w:val="1B2A4A"/>
          <w:sz w:val="26"/>
          <w:szCs w:val="26"/>
        </w:rPr>
        <w:t xml:space="preserve">Key Distinction: Store of Value vs. Continuity of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963B" w:sz="2"/>
              <w:left w:val="none" w:sz="0"/>
              <w:bottom w:val="single" w:color="C9963B" w:sz="2"/>
              <w:right w:val="none" w:sz="0"/>
            </w:tcBorders>
            <w:shd w:fill="FFFFFF" w:val="clear"/>
            <w:tcMar>
              <w:top w:type="dxa" w:w="100"/>
              <w:left w:type="dxa" w:w="200"/>
              <w:bottom w:type="dxa" w:w="100"/>
              <w:right w:type="dxa" w:w="200"/>
            </w:tcMar>
          </w:tcPr>
          <w:p>
            <w:r>
              <w:rPr>
                <w:rFonts w:ascii="Arial" w:cs="Arial" w:eastAsia="Arial" w:hAnsi="Arial"/>
                <w:b/>
                <w:bCs/>
                <w:color w:val="1B2A4A"/>
                <w:sz w:val="20"/>
                <w:szCs w:val="20"/>
              </w:rPr>
              <w:t xml:space="preserve">Concept</w:t>
            </w:r>
          </w:p>
        </w:tc>
        <w:tc>
          <w:tcPr>
            <w:tcW w:type="dxa" w:w="3120"/>
            <w:tcBorders>
              <w:top w:val="single" w:color="C9963B" w:sz="2"/>
              <w:left w:val="none" w:sz="0"/>
              <w:bottom w:val="single" w:color="C9963B" w:sz="2"/>
              <w:right w:val="none" w:sz="0"/>
            </w:tcBorders>
            <w:shd w:fill="FFFFFF" w:val="clear"/>
            <w:tcMar>
              <w:top w:type="dxa" w:w="100"/>
              <w:left w:type="dxa" w:w="200"/>
              <w:bottom w:type="dxa" w:w="100"/>
              <w:right w:type="dxa" w:w="200"/>
            </w:tcMar>
          </w:tcPr>
          <w:p>
            <w:r>
              <w:rPr>
                <w:rFonts w:ascii="Arial" w:cs="Arial" w:eastAsia="Arial" w:hAnsi="Arial"/>
                <w:b/>
                <w:bCs/>
                <w:color w:val="1B2A4A"/>
                <w:sz w:val="20"/>
                <w:szCs w:val="20"/>
              </w:rPr>
              <w:t xml:space="preserve">Store of Value</w:t>
            </w:r>
          </w:p>
        </w:tc>
        <w:tc>
          <w:tcPr>
            <w:tcW w:type="dxa" w:w="3120"/>
            <w:tcBorders>
              <w:top w:val="single" w:color="C9963B" w:sz="2"/>
              <w:left w:val="none" w:sz="0"/>
              <w:bottom w:val="single" w:color="C9963B" w:sz="2"/>
              <w:right w:val="none" w:sz="0"/>
            </w:tcBorders>
            <w:shd w:fill="FFFFFF" w:val="clear"/>
            <w:tcMar>
              <w:top w:type="dxa" w:w="100"/>
              <w:left w:type="dxa" w:w="200"/>
              <w:bottom w:type="dxa" w:w="100"/>
              <w:right w:type="dxa" w:w="200"/>
            </w:tcMar>
          </w:tcPr>
          <w:p>
            <w:r>
              <w:rPr>
                <w:rFonts w:ascii="Arial" w:cs="Arial" w:eastAsia="Arial" w:hAnsi="Arial"/>
                <w:b/>
                <w:bCs/>
                <w:color w:val="1B2A4A"/>
                <w:sz w:val="20"/>
                <w:szCs w:val="20"/>
              </w:rPr>
              <w:t xml:space="preserve">Continuity of Value</w:t>
            </w:r>
          </w:p>
        </w:tc>
      </w:tr>
      <w:tr>
        <w:tc>
          <w:tcPr>
            <w:tcW w:type="dxa" w:w="3120"/>
            <w:tcBorders>
              <w:top w:val="single" w:color="D0D0D0" w:sz="1"/>
              <w:left w:val="none" w:sz="0"/>
              <w:bottom w:val="single" w:color="D0D0D0" w:sz="1"/>
              <w:right w:val="none" w:sz="0"/>
            </w:tcBorders>
            <w:shd w:fill="F5F5F0" w:val="clear"/>
            <w:tcMar>
              <w:top w:type="dxa" w:w="120"/>
              <w:left w:type="dxa" w:w="200"/>
              <w:bottom w:type="dxa" w:w="120"/>
              <w:right w:type="dxa" w:w="200"/>
            </w:tcMar>
          </w:tcPr>
          <w:p>
            <w:r>
              <w:rPr>
                <w:rFonts w:ascii="Georgia" w:cs="Georgia" w:eastAsia="Georgia" w:hAnsi="Georgia"/>
                <w:color w:val="333333"/>
                <w:sz w:val="21"/>
                <w:szCs w:val="21"/>
              </w:rPr>
              <w:t xml:space="preserve">Core question</w:t>
            </w:r>
          </w:p>
        </w:tc>
        <w:tc>
          <w:tcPr>
            <w:tcW w:type="dxa" w:w="3120"/>
            <w:tcBorders>
              <w:top w:val="single" w:color="D0D0D0" w:sz="1"/>
              <w:left w:val="none" w:sz="0"/>
              <w:bottom w:val="single" w:color="D0D0D0" w:sz="1"/>
              <w:right w:val="none" w:sz="0"/>
            </w:tcBorders>
            <w:shd w:fill="F5F5F0" w:val="clear"/>
            <w:tcMar>
              <w:top w:type="dxa" w:w="120"/>
              <w:left w:type="dxa" w:w="200"/>
              <w:bottom w:type="dxa" w:w="120"/>
              <w:right w:type="dxa" w:w="200"/>
            </w:tcMar>
          </w:tcPr>
          <w:p>
            <w:r>
              <w:rPr>
                <w:rFonts w:ascii="Georgia" w:cs="Georgia" w:eastAsia="Georgia" w:hAnsi="Georgia"/>
                <w:color w:val="333333"/>
                <w:sz w:val="21"/>
                <w:szCs w:val="21"/>
              </w:rPr>
              <w:t xml:space="preserve">How do I avoid becoming poorer?</w:t>
            </w:r>
          </w:p>
        </w:tc>
        <w:tc>
          <w:tcPr>
            <w:tcW w:type="dxa" w:w="3120"/>
            <w:tcBorders>
              <w:top w:val="single" w:color="D0D0D0" w:sz="1"/>
              <w:left w:val="none" w:sz="0"/>
              <w:bottom w:val="single" w:color="D0D0D0" w:sz="1"/>
              <w:right w:val="none" w:sz="0"/>
            </w:tcBorders>
            <w:shd w:fill="F5F5F0" w:val="clear"/>
            <w:tcMar>
              <w:top w:type="dxa" w:w="120"/>
              <w:left w:type="dxa" w:w="200"/>
              <w:bottom w:type="dxa" w:w="120"/>
              <w:right w:type="dxa" w:w="200"/>
            </w:tcMar>
          </w:tcPr>
          <w:p>
            <w:r>
              <w:rPr>
                <w:rFonts w:ascii="Georgia" w:cs="Georgia" w:eastAsia="Georgia" w:hAnsi="Georgia"/>
                <w:color w:val="333333"/>
                <w:sz w:val="21"/>
                <w:szCs w:val="21"/>
              </w:rPr>
              <w:t xml:space="preserve">How do I remain economically myself, even if torn from my context?</w:t>
            </w:r>
          </w:p>
        </w:tc>
      </w:tr>
      <w:tr>
        <w:tc>
          <w:tcPr>
            <w:tcW w:type="dxa" w:w="3120"/>
            <w:tcBorders>
              <w:top w:val="single" w:color="D0D0D0" w:sz="1"/>
              <w:left w:val="none" w:sz="0"/>
              <w:bottom w:val="single" w:color="D0D0D0" w:sz="1"/>
              <w:right w:val="none" w:sz="0"/>
            </w:tcBorders>
            <w:shd w:fill="FFFFFF" w:val="clear"/>
            <w:tcMar>
              <w:top w:type="dxa" w:w="120"/>
              <w:left w:type="dxa" w:w="200"/>
              <w:bottom w:type="dxa" w:w="120"/>
              <w:right w:type="dxa" w:w="200"/>
            </w:tcMar>
          </w:tcPr>
          <w:p>
            <w:r>
              <w:rPr>
                <w:rFonts w:ascii="Georgia" w:cs="Georgia" w:eastAsia="Georgia" w:hAnsi="Georgia"/>
                <w:color w:val="333333"/>
                <w:sz w:val="21"/>
                <w:szCs w:val="21"/>
              </w:rPr>
              <w:t xml:space="preserve">Function</w:t>
            </w:r>
          </w:p>
        </w:tc>
        <w:tc>
          <w:tcPr>
            <w:tcW w:type="dxa" w:w="3120"/>
            <w:tcBorders>
              <w:top w:val="single" w:color="D0D0D0" w:sz="1"/>
              <w:left w:val="none" w:sz="0"/>
              <w:bottom w:val="single" w:color="D0D0D0" w:sz="1"/>
              <w:right w:val="none" w:sz="0"/>
            </w:tcBorders>
            <w:shd w:fill="FFFFFF" w:val="clear"/>
            <w:tcMar>
              <w:top w:type="dxa" w:w="120"/>
              <w:left w:type="dxa" w:w="200"/>
              <w:bottom w:type="dxa" w:w="120"/>
              <w:right w:type="dxa" w:w="200"/>
            </w:tcMar>
          </w:tcPr>
          <w:p>
            <w:r>
              <w:rPr>
                <w:rFonts w:ascii="Georgia" w:cs="Georgia" w:eastAsia="Georgia" w:hAnsi="Georgia"/>
                <w:color w:val="333333"/>
                <w:sz w:val="21"/>
                <w:szCs w:val="21"/>
              </w:rPr>
              <w:t xml:space="preserve">Preserve purchasing power over time</w:t>
            </w:r>
          </w:p>
        </w:tc>
        <w:tc>
          <w:tcPr>
            <w:tcW w:type="dxa" w:w="3120"/>
            <w:tcBorders>
              <w:top w:val="single" w:color="D0D0D0" w:sz="1"/>
              <w:left w:val="none" w:sz="0"/>
              <w:bottom w:val="single" w:color="D0D0D0" w:sz="1"/>
              <w:right w:val="none" w:sz="0"/>
            </w:tcBorders>
            <w:shd w:fill="FFFFFF" w:val="clear"/>
            <w:tcMar>
              <w:top w:type="dxa" w:w="120"/>
              <w:left w:type="dxa" w:w="200"/>
              <w:bottom w:type="dxa" w:w="120"/>
              <w:right w:type="dxa" w:w="200"/>
            </w:tcMar>
          </w:tcPr>
          <w:p>
            <w:r>
              <w:rPr>
                <w:rFonts w:ascii="Georgia" w:cs="Georgia" w:eastAsia="Georgia" w:hAnsi="Georgia"/>
                <w:color w:val="333333"/>
                <w:sz w:val="21"/>
                <w:szCs w:val="21"/>
              </w:rPr>
              <w:t xml:space="preserve">Preserve economic agency under disruption</w:t>
            </w:r>
          </w:p>
        </w:tc>
      </w:tr>
      <w:tr>
        <w:tc>
          <w:tcPr>
            <w:tcW w:type="dxa" w:w="3120"/>
            <w:tcBorders>
              <w:top w:val="single" w:color="D0D0D0" w:sz="1"/>
              <w:left w:val="none" w:sz="0"/>
              <w:bottom w:val="single" w:color="D0D0D0" w:sz="1"/>
              <w:right w:val="none" w:sz="0"/>
            </w:tcBorders>
            <w:shd w:fill="F5F5F0" w:val="clear"/>
            <w:tcMar>
              <w:top w:type="dxa" w:w="120"/>
              <w:left w:type="dxa" w:w="200"/>
              <w:bottom w:type="dxa" w:w="120"/>
              <w:right w:type="dxa" w:w="200"/>
            </w:tcMar>
          </w:tcPr>
          <w:p>
            <w:r>
              <w:rPr>
                <w:rFonts w:ascii="Georgia" w:cs="Georgia" w:eastAsia="Georgia" w:hAnsi="Georgia"/>
                <w:color w:val="333333"/>
                <w:sz w:val="21"/>
                <w:szCs w:val="21"/>
              </w:rPr>
              <w:t xml:space="preserve">Dominant historical asset</w:t>
            </w:r>
          </w:p>
        </w:tc>
        <w:tc>
          <w:tcPr>
            <w:tcW w:type="dxa" w:w="3120"/>
            <w:tcBorders>
              <w:top w:val="single" w:color="D0D0D0" w:sz="1"/>
              <w:left w:val="none" w:sz="0"/>
              <w:bottom w:val="single" w:color="D0D0D0" w:sz="1"/>
              <w:right w:val="none" w:sz="0"/>
            </w:tcBorders>
            <w:shd w:fill="F5F5F0" w:val="clear"/>
            <w:tcMar>
              <w:top w:type="dxa" w:w="120"/>
              <w:left w:type="dxa" w:w="200"/>
              <w:bottom w:type="dxa" w:w="120"/>
              <w:right w:type="dxa" w:w="200"/>
            </w:tcMar>
          </w:tcPr>
          <w:p>
            <w:r>
              <w:rPr>
                <w:rFonts w:ascii="Georgia" w:cs="Georgia" w:eastAsia="Georgia" w:hAnsi="Georgia"/>
                <w:color w:val="333333"/>
                <w:sz w:val="21"/>
                <w:szCs w:val="21"/>
              </w:rPr>
              <w:t xml:space="preserve">Gold</w:t>
            </w:r>
          </w:p>
        </w:tc>
        <w:tc>
          <w:tcPr>
            <w:tcW w:type="dxa" w:w="3120"/>
            <w:tcBorders>
              <w:top w:val="single" w:color="D0D0D0" w:sz="1"/>
              <w:left w:val="none" w:sz="0"/>
              <w:bottom w:val="single" w:color="D0D0D0" w:sz="1"/>
              <w:right w:val="none" w:sz="0"/>
            </w:tcBorders>
            <w:shd w:fill="F5F5F0" w:val="clear"/>
            <w:tcMar>
              <w:top w:type="dxa" w:w="120"/>
              <w:left w:type="dxa" w:w="200"/>
              <w:bottom w:type="dxa" w:w="120"/>
              <w:right w:type="dxa" w:w="200"/>
            </w:tcMar>
          </w:tcPr>
          <w:p>
            <w:r>
              <w:rPr>
                <w:rFonts w:ascii="Georgia" w:cs="Georgia" w:eastAsia="Georgia" w:hAnsi="Georgia"/>
                <w:color w:val="333333"/>
                <w:sz w:val="21"/>
                <w:szCs w:val="21"/>
              </w:rPr>
              <w:t xml:space="preserve">Bitcoin (emerging)</w:t>
            </w:r>
          </w:p>
        </w:tc>
      </w:tr>
      <w:tr>
        <w:tc>
          <w:tcPr>
            <w:tcW w:type="dxa" w:w="3120"/>
            <w:tcBorders>
              <w:top w:val="single" w:color="D0D0D0" w:sz="1"/>
              <w:left w:val="none" w:sz="0"/>
              <w:bottom w:val="single" w:color="D0D0D0" w:sz="1"/>
              <w:right w:val="none" w:sz="0"/>
            </w:tcBorders>
            <w:shd w:fill="FFFFFF" w:val="clear"/>
            <w:tcMar>
              <w:top w:type="dxa" w:w="120"/>
              <w:left w:type="dxa" w:w="200"/>
              <w:bottom w:type="dxa" w:w="120"/>
              <w:right w:type="dxa" w:w="200"/>
            </w:tcMar>
          </w:tcPr>
          <w:p>
            <w:r>
              <w:rPr>
                <w:rFonts w:ascii="Georgia" w:cs="Georgia" w:eastAsia="Georgia" w:hAnsi="Georgia"/>
                <w:color w:val="333333"/>
                <w:sz w:val="21"/>
                <w:szCs w:val="21"/>
              </w:rPr>
              <w:t xml:space="preserve">Context where it shines</w:t>
            </w:r>
          </w:p>
        </w:tc>
        <w:tc>
          <w:tcPr>
            <w:tcW w:type="dxa" w:w="3120"/>
            <w:tcBorders>
              <w:top w:val="single" w:color="D0D0D0" w:sz="1"/>
              <w:left w:val="none" w:sz="0"/>
              <w:bottom w:val="single" w:color="D0D0D0" w:sz="1"/>
              <w:right w:val="none" w:sz="0"/>
            </w:tcBorders>
            <w:shd w:fill="FFFFFF" w:val="clear"/>
            <w:tcMar>
              <w:top w:type="dxa" w:w="120"/>
              <w:left w:type="dxa" w:w="200"/>
              <w:bottom w:type="dxa" w:w="120"/>
              <w:right w:type="dxa" w:w="200"/>
            </w:tcMar>
          </w:tcPr>
          <w:p>
            <w:r>
              <w:rPr>
                <w:rFonts w:ascii="Georgia" w:cs="Georgia" w:eastAsia="Georgia" w:hAnsi="Georgia"/>
                <w:color w:val="333333"/>
                <w:sz w:val="21"/>
                <w:szCs w:val="21"/>
              </w:rPr>
              <w:t xml:space="preserve">Inflation, monetary degradation, sovereign default</w:t>
            </w:r>
          </w:p>
        </w:tc>
        <w:tc>
          <w:tcPr>
            <w:tcW w:type="dxa" w:w="3120"/>
            <w:tcBorders>
              <w:top w:val="single" w:color="D0D0D0" w:sz="1"/>
              <w:left w:val="none" w:sz="0"/>
              <w:bottom w:val="single" w:color="D0D0D0" w:sz="1"/>
              <w:right w:val="none" w:sz="0"/>
            </w:tcBorders>
            <w:shd w:fill="FFFFFF" w:val="clear"/>
            <w:tcMar>
              <w:top w:type="dxa" w:w="120"/>
              <w:left w:type="dxa" w:w="200"/>
              <w:bottom w:type="dxa" w:w="120"/>
              <w:right w:type="dxa" w:w="200"/>
            </w:tcMar>
          </w:tcPr>
          <w:p>
            <w:r>
              <w:rPr>
                <w:rFonts w:ascii="Georgia" w:cs="Georgia" w:eastAsia="Georgia" w:hAnsi="Georgia"/>
                <w:color w:val="333333"/>
                <w:sz w:val="21"/>
                <w:szCs w:val="21"/>
              </w:rPr>
              <w:t xml:space="preserve">War, exile, sanctions, capital controls, institutional collapse</w:t>
            </w:r>
          </w:p>
        </w:tc>
      </w:tr>
    </w:tbl>
    <w:p>
      <w:pPr>
        <w:spacing w:after="200"/>
      </w:pPr>
    </w:p>
    <w:p>
      <w:pPr>
        <w:pStyle w:val="Heading1"/>
      </w:pPr>
      <w:r>
        <w:rPr>
          <w:rFonts w:ascii="Arial" w:cs="Arial" w:eastAsia="Arial" w:hAnsi="Arial"/>
          <w:b/>
          <w:bCs/>
          <w:color w:val="1B2A4A"/>
          <w:sz w:val="30"/>
          <w:szCs w:val="30"/>
        </w:rPr>
        <w:t xml:space="preserve">5. Why the Market Failed to Anticipate This</w:t>
      </w:r>
    </w:p>
    <w:p>
      <w:pPr>
        <w:spacing w:after="200" w:line="320"/>
        <w:jc w:val="both"/>
      </w:pPr>
      <w:r>
        <w:rPr>
          <w:rFonts w:ascii="Georgia" w:cs="Georgia" w:eastAsia="Georgia" w:hAnsi="Georgia"/>
          <w:color w:val="333333"/>
          <w:sz w:val="22"/>
          <w:szCs w:val="22"/>
        </w:rPr>
        <w:t xml:space="preserve">Three reasons explain this collective blind spot.</w:t>
      </w:r>
    </w:p>
    <w:p>
      <w:pPr>
        <w:spacing w:after="200" w:line="320"/>
        <w:jc w:val="both"/>
      </w:pPr>
      <w:r>
        <w:rPr>
          <w:rFonts w:ascii="Georgia" w:cs="Georgia" w:eastAsia="Georgia" w:hAnsi="Georgia"/>
          <w:color w:val="333333"/>
          <w:sz w:val="22"/>
          <w:szCs w:val="22"/>
        </w:rPr>
        <w:t xml:space="preserve">The first is the tyranny of history: when an asset has served as a safe haven for thousands of years, the collective mind takes an extremely long time to admit that another has emerged with decisive advantages in certain scenarios.</w:t>
      </w:r>
    </w:p>
    <w:p>
      <w:pPr>
        <w:spacing w:after="200" w:line="320"/>
        <w:jc w:val="both"/>
      </w:pPr>
      <w:r>
        <w:rPr>
          <w:rFonts w:ascii="Georgia" w:cs="Georgia" w:eastAsia="Georgia" w:hAnsi="Georgia"/>
          <w:color w:val="333333"/>
          <w:sz w:val="22"/>
          <w:szCs w:val="22"/>
        </w:rPr>
        <w:t xml:space="preserve">The second is the blindness of stability: most people reason about crises from normal conditions—open markets, available buyers, reasonable mobility—and fail to imagine the moment when physical wealth becomes a burden.</w:t>
      </w:r>
    </w:p>
    <w:p>
      <w:pPr>
        <w:spacing w:after="200" w:line="320"/>
        <w:jc w:val="both"/>
      </w:pPr>
      <w:r>
        <w:rPr>
          <w:rFonts w:ascii="Georgia" w:cs="Georgia" w:eastAsia="Georgia" w:hAnsi="Georgia"/>
          <w:color w:val="333333"/>
          <w:sz w:val="22"/>
          <w:szCs w:val="22"/>
        </w:rPr>
        <w:t xml:space="preserve">The third is an incomplete definition of hard money: for a long time, “hard” primarily meant “difficult to produce.” But in a world of sanctions, hostile borders, and financial surveillance, “hard” may also need to include: difficult to confiscate, easy to self-custody without intermediaries, and easy to transport without friction.</w:t>
      </w:r>
    </w:p>
    <w:p>
      <w:pPr>
        <w:pStyle w:val="Heading1"/>
      </w:pPr>
      <w:r>
        <w:rPr>
          <w:rFonts w:ascii="Arial" w:cs="Arial" w:eastAsia="Arial" w:hAnsi="Arial"/>
          <w:b/>
          <w:bCs/>
          <w:color w:val="1B2A4A"/>
          <w:sz w:val="30"/>
          <w:szCs w:val="30"/>
        </w:rPr>
        <w:t xml:space="preserve">6. Volatility Is Not Fragility</w:t>
      </w:r>
    </w:p>
    <w:p>
      <w:pPr>
        <w:spacing w:after="200" w:line="320"/>
        <w:jc w:val="both"/>
      </w:pPr>
      <w:r>
        <w:rPr>
          <w:rFonts w:ascii="Georgia" w:cs="Georgia" w:eastAsia="Georgia" w:hAnsi="Georgia"/>
          <w:color w:val="333333"/>
          <w:sz w:val="22"/>
          <w:szCs w:val="22"/>
        </w:rPr>
        <w:t xml:space="preserve">A common error is dismissing Bitcoin because its price moves a great deal. But volatility and fragility are different things. A fragile asset is one that ceases to function when the environment turns hostile. A volatile asset may nonetheless remain highly antifragile in functional terms.</w:t>
      </w:r>
    </w:p>
    <w:p>
      <w:pPr>
        <w:spacing w:after="200" w:line="320"/>
        <w:jc w:val="both"/>
      </w:pPr>
      <w:r>
        <w:rPr>
          <w:rFonts w:ascii="Georgia" w:cs="Georgia" w:eastAsia="Georgia" w:hAnsi="Georgia"/>
          <w:color w:val="333333"/>
          <w:sz w:val="22"/>
          <w:szCs w:val="22"/>
        </w:rPr>
        <w:t xml:space="preserve">Gold may have great theoretical value and little escape utility. Bitcoin may have high volatility and extremely high utility under coercion. Markets are slow to integrate this difference because they are trained to think in terms of price, not extreme functionality.</w:t>
      </w:r>
    </w:p>
    <w:p>
      <w:pPr>
        <w:pStyle w:val="Heading1"/>
      </w:pPr>
      <w:r>
        <w:rPr>
          <w:rFonts w:ascii="Arial" w:cs="Arial" w:eastAsia="Arial" w:hAnsi="Arial"/>
          <w:b/>
          <w:bCs/>
          <w:color w:val="1B2A4A"/>
          <w:sz w:val="30"/>
          <w:szCs w:val="30"/>
        </w:rPr>
        <w:t xml:space="preserve">7. Redefining Hard Money</w:t>
      </w:r>
    </w:p>
    <w:p>
      <w:pPr>
        <w:spacing w:after="200" w:line="320"/>
        <w:jc w:val="both"/>
      </w:pPr>
      <w:r>
        <w:rPr>
          <w:rFonts w:ascii="Georgia" w:cs="Georgia" w:eastAsia="Georgia" w:hAnsi="Georgia"/>
          <w:color w:val="333333"/>
          <w:sz w:val="22"/>
          <w:szCs w:val="22"/>
        </w:rPr>
        <w:t xml:space="preserve">Historically, “hard money” meant something difficult to produce. That was gold’s great virtue. But in a world of rising financial sanctions, capital controls, economic surveillance, and geopolitical fractures, the concept may be expanding to include:</w:t>
      </w:r>
    </w:p>
    <w:p>
      <w:pPr>
        <w:pStyle w:val="ListParagraph"/>
        <w:numPr>
          <w:ilvl w:val="0"/>
          <w:numId w:val="2"/>
        </w:numPr>
        <w:spacing w:after="80" w:line="300"/>
      </w:pPr>
      <w:r>
        <w:rPr>
          <w:rFonts w:ascii="Georgia" w:cs="Georgia" w:eastAsia="Georgia" w:hAnsi="Georgia"/>
          <w:color w:val="333333"/>
          <w:sz w:val="22"/>
          <w:szCs w:val="22"/>
        </w:rPr>
        <w:t xml:space="preserve">Difficult to produce</w:t>
      </w:r>
    </w:p>
    <w:p>
      <w:pPr>
        <w:pStyle w:val="ListParagraph"/>
        <w:numPr>
          <w:ilvl w:val="0"/>
          <w:numId w:val="2"/>
        </w:numPr>
        <w:spacing w:after="80" w:line="300"/>
      </w:pPr>
      <w:r>
        <w:rPr>
          <w:rFonts w:ascii="Georgia" w:cs="Georgia" w:eastAsia="Georgia" w:hAnsi="Georgia"/>
          <w:color w:val="333333"/>
          <w:sz w:val="22"/>
          <w:szCs w:val="22"/>
        </w:rPr>
        <w:t xml:space="preserve">Difficult to confiscate</w:t>
      </w:r>
    </w:p>
    <w:p>
      <w:pPr>
        <w:pStyle w:val="ListParagraph"/>
        <w:numPr>
          <w:ilvl w:val="0"/>
          <w:numId w:val="2"/>
        </w:numPr>
        <w:spacing w:after="80" w:line="300"/>
      </w:pPr>
      <w:r>
        <w:rPr>
          <w:rFonts w:ascii="Georgia" w:cs="Georgia" w:eastAsia="Georgia" w:hAnsi="Georgia"/>
          <w:color w:val="333333"/>
          <w:sz w:val="22"/>
          <w:szCs w:val="22"/>
        </w:rPr>
        <w:t xml:space="preserve">Easy to self-custody</w:t>
      </w:r>
    </w:p>
    <w:p>
      <w:pPr>
        <w:pStyle w:val="ListParagraph"/>
        <w:numPr>
          <w:ilvl w:val="0"/>
          <w:numId w:val="2"/>
        </w:numPr>
        <w:spacing w:after="80" w:line="300"/>
      </w:pPr>
      <w:r>
        <w:rPr>
          <w:rFonts w:ascii="Georgia" w:cs="Georgia" w:eastAsia="Georgia" w:hAnsi="Georgia"/>
          <w:color w:val="333333"/>
          <w:sz w:val="22"/>
          <w:szCs w:val="22"/>
        </w:rPr>
        <w:t xml:space="preserve">Easy to transport</w:t>
      </w:r>
    </w:p>
    <w:p>
      <w:pPr>
        <w:pStyle w:val="ListParagraph"/>
        <w:numPr>
          <w:ilvl w:val="0"/>
          <w:numId w:val="2"/>
        </w:numPr>
        <w:spacing w:after="80" w:line="300"/>
      </w:pPr>
      <w:r>
        <w:rPr>
          <w:rFonts w:ascii="Georgia" w:cs="Georgia" w:eastAsia="Georgia" w:hAnsi="Georgia"/>
          <w:color w:val="333333"/>
          <w:sz w:val="22"/>
          <w:szCs w:val="22"/>
        </w:rPr>
        <w:t xml:space="preserve">Globally liquid</w:t>
      </w:r>
    </w:p>
    <w:p>
      <w:pPr>
        <w:pStyle w:val="ListParagraph"/>
        <w:numPr>
          <w:ilvl w:val="0"/>
          <w:numId w:val="2"/>
        </w:numPr>
        <w:spacing w:after="80" w:line="300"/>
      </w:pPr>
      <w:r>
        <w:rPr>
          <w:rFonts w:ascii="Georgia" w:cs="Georgia" w:eastAsia="Georgia" w:hAnsi="Georgia"/>
          <w:color w:val="333333"/>
          <w:sz w:val="22"/>
          <w:szCs w:val="22"/>
        </w:rPr>
        <w:t xml:space="preserve">Resistant to territorial control</w:t>
      </w:r>
    </w:p>
    <w:p>
      <w:pPr>
        <w:spacing w:after="200" w:line="320"/>
        <w:jc w:val="both"/>
      </w:pPr>
      <w:r>
        <w:rPr>
          <w:rFonts w:ascii="Georgia" w:cs="Georgia" w:eastAsia="Georgia" w:hAnsi="Georgia"/>
          <w:color w:val="333333"/>
          <w:sz w:val="22"/>
          <w:szCs w:val="22"/>
        </w:rPr>
        <w:t xml:space="preserve">If this redefinition takes hold, the debate between gold and Bitcoin ceases to be a simple competition between assets and becomes an evolution in the function of money itself.</w:t>
      </w:r>
    </w:p>
    <w:p>
      <w:pPr>
        <w:pStyle w:val="Heading1"/>
      </w:pPr>
      <w:r>
        <w:rPr>
          <w:rFonts w:ascii="Arial" w:cs="Arial" w:eastAsia="Arial" w:hAnsi="Arial"/>
          <w:b/>
          <w:bCs/>
          <w:color w:val="1B2A4A"/>
          <w:sz w:val="30"/>
          <w:szCs w:val="30"/>
        </w:rPr>
        <w:t xml:space="preserve">Conclusion</w:t>
      </w:r>
    </w:p>
    <w:p>
      <w:pPr>
        <w:spacing w:after="200" w:line="320"/>
        <w:jc w:val="both"/>
      </w:pPr>
      <w:r>
        <w:rPr>
          <w:rFonts w:ascii="Georgia" w:cs="Georgia" w:eastAsia="Georgia" w:hAnsi="Georgia"/>
          <w:color w:val="333333"/>
          <w:sz w:val="22"/>
          <w:szCs w:val="22"/>
        </w:rPr>
        <w:t xml:space="preserve">Gold was, for millennia, humanity’s answer to the risk that power would degrade money. Bitcoin may be the answer to a different risk: that power would block the person.</w:t>
      </w:r>
    </w:p>
    <w:p>
      <w:pPr>
        <w:spacing w:after="200" w:line="320"/>
        <w:jc w:val="both"/>
      </w:pPr>
      <w:r>
        <w:rPr>
          <w:rFonts w:ascii="Georgia" w:cs="Georgia" w:eastAsia="Georgia" w:hAnsi="Georgia"/>
          <w:color w:val="333333"/>
          <w:sz w:val="22"/>
          <w:szCs w:val="22"/>
        </w:rPr>
        <w:t xml:space="preserve">Gold protects wealth from degradation; Bitcoin can also protect it from immobilization. This is not about one replacing the other, but about each fulfilling distinct functions that reveal themselves in different contexts.</w:t>
      </w:r>
    </w:p>
    <w:p>
      <w:pPr>
        <w:spacing w:after="200" w:line="320"/>
        <w:jc w:val="both"/>
      </w:pPr>
      <w:r>
        <w:rPr>
          <w:rFonts w:ascii="Georgia" w:cs="Georgia" w:eastAsia="Georgia" w:hAnsi="Georgia"/>
          <w:color w:val="333333"/>
          <w:sz w:val="22"/>
          <w:szCs w:val="22"/>
        </w:rPr>
        <w:t xml:space="preserve">If the twenty-first century moves toward greater geopolitical fragmentation, more sanctions, more controls, and more discontinuities, then Bitcoin would not be a speculative accident of an era of easy liquidity. It would be the asset that arrived before the world fully understood what it was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9963B" w:sz="12"/>
              <w:bottom w:val="none" w:sz="0"/>
              <w:right w:val="none" w:sz="0"/>
            </w:tcBorders>
            <w:shd w:fill="F5F5F0" w:val="clear"/>
            <w:tcMar>
              <w:top w:type="dxa" w:w="200"/>
              <w:left w:type="dxa" w:w="300"/>
              <w:bottom w:type="dxa" w:w="200"/>
              <w:right w:type="dxa" w:w="300"/>
            </w:tcMar>
          </w:tcPr>
          <w:p>
            <w:pPr>
              <w:spacing w:after="0"/>
              <w:jc w:val="left"/>
            </w:pPr>
            <w:r>
              <w:rPr>
                <w:rFonts w:ascii="Georgia" w:cs="Georgia" w:eastAsia="Georgia" w:hAnsi="Georgia"/>
                <w:i/>
                <w:iCs/>
                <w:color w:val="1B2A4A"/>
                <w:sz w:val="24"/>
                <w:szCs w:val="24"/>
              </w:rPr>
              <w:t xml:space="preserve">“Before the war, the market buys shelter.
During the war, people buy an exit.
And an asset that works as an exit may end up
rewriting the monetary hierarchy.”</w:t>
            </w:r>
          </w:p>
        </w:tc>
      </w:tr>
    </w:tbl>
    <w:p>
      <w:pPr>
        <w:pStyle w:val="Heading2"/>
      </w:pPr>
      <w:r>
        <w:rPr>
          <w:rFonts w:ascii="Arial" w:cs="Arial" w:eastAsia="Arial" w:hAnsi="Arial"/>
          <w:b/>
          <w:bCs/>
          <w:color w:val="1B2A4A"/>
          <w:sz w:val="26"/>
          <w:szCs w:val="26"/>
        </w:rPr>
        <w:t xml:space="preserve">References</w:t>
      </w:r>
    </w:p>
    <w:p>
      <w:pPr>
        <w:pStyle w:val="ListParagraph"/>
        <w:numPr>
          <w:ilvl w:val="0"/>
          <w:numId w:val="2"/>
        </w:numPr>
        <w:spacing w:after="60" w:line="280"/>
      </w:pPr>
      <w:r>
        <w:rPr>
          <w:rFonts w:ascii="Georgia" w:cs="Georgia" w:eastAsia="Georgia" w:hAnsi="Georgia"/>
          <w:i/>
          <w:iCs/>
          <w:color w:val="666666"/>
          <w:sz w:val="20"/>
          <w:szCs w:val="20"/>
        </w:rPr>
        <w:t xml:space="preserve">World Gold Council — “Why gold in 2026? A cross-asset perspective”</w:t>
      </w:r>
    </w:p>
    <w:p>
      <w:pPr>
        <w:pStyle w:val="ListParagraph"/>
        <w:numPr>
          <w:ilvl w:val="0"/>
          <w:numId w:val="2"/>
        </w:numPr>
        <w:spacing w:after="60" w:line="280"/>
      </w:pPr>
      <w:r>
        <w:rPr>
          <w:rFonts w:ascii="Georgia" w:cs="Georgia" w:eastAsia="Georgia" w:hAnsi="Georgia"/>
          <w:i/>
          <w:iCs/>
          <w:color w:val="666666"/>
          <w:sz w:val="20"/>
          <w:szCs w:val="20"/>
        </w:rPr>
        <w:t xml:space="preserve">IMF — “How Rising Geopolitical Risks Weigh on Asset Prices” (April 2025)</w:t>
      </w:r>
    </w:p>
    <w:p>
      <w:pPr>
        <w:pStyle w:val="ListParagraph"/>
        <w:numPr>
          <w:ilvl w:val="0"/>
          <w:numId w:val="2"/>
        </w:numPr>
        <w:spacing w:after="60" w:line="280"/>
      </w:pPr>
      <w:r>
        <w:rPr>
          <w:rFonts w:ascii="Georgia" w:cs="Georgia" w:eastAsia="Georgia" w:hAnsi="Georgia"/>
          <w:i/>
          <w:iCs/>
          <w:color w:val="666666"/>
          <w:sz w:val="20"/>
          <w:szCs w:val="20"/>
        </w:rPr>
        <w:t xml:space="preserve">ScienceDirect — “Cryptocurrencies as safe havens for geopolitical risk? A quantile analysis approach”</w:t>
      </w:r>
    </w:p>
    <w:p>
      <w:pPr>
        <w:pStyle w:val="ListParagraph"/>
        <w:numPr>
          <w:ilvl w:val="0"/>
          <w:numId w:val="2"/>
        </w:numPr>
        <w:spacing w:after="60" w:line="280"/>
      </w:pPr>
      <w:r>
        <w:rPr>
          <w:rFonts w:ascii="Georgia" w:cs="Georgia" w:eastAsia="Georgia" w:hAnsi="Georgia"/>
          <w:i/>
          <w:iCs/>
          <w:color w:val="666666"/>
          <w:sz w:val="20"/>
          <w:szCs w:val="20"/>
        </w:rPr>
        <w:t xml:space="preserve">Chainalysis — “Crypto Sanctions: 2026 Crypto Crime Report”</w:t>
      </w:r>
    </w:p>
    <w:p>
      <w:pPr>
        <w:pStyle w:val="ListParagraph"/>
        <w:numPr>
          <w:ilvl w:val="0"/>
          <w:numId w:val="2"/>
        </w:numPr>
        <w:spacing w:after="60" w:line="280"/>
      </w:pPr>
      <w:r>
        <w:rPr>
          <w:rFonts w:ascii="Georgia" w:cs="Georgia" w:eastAsia="Georgia" w:hAnsi="Georgia"/>
          <w:i/>
          <w:iCs/>
          <w:color w:val="666666"/>
          <w:sz w:val="20"/>
          <w:szCs w:val="20"/>
        </w:rPr>
        <w:t xml:space="preserve">IMF — “Gold’s Lasting Luster”</w:t>
      </w:r>
    </w:p>
    <w:p>
      <w:pPr>
        <w:pBdr>
          <w:top w:val="single" w:color="C9963B" w:sz="4" w:space="8"/>
        </w:pBdr>
        <w:spacing w:before="600"/>
      </w:pPr>
    </w:p>
    <w:p>
      <w:pPr>
        <w:spacing w:before="200" w:after="40"/>
        <w:jc w:val="right"/>
      </w:pPr>
      <w:r>
        <w:rPr>
          <w:rFonts w:ascii="Arial" w:cs="Arial" w:eastAsia="Arial" w:hAnsi="Arial"/>
          <w:b/>
          <w:bCs/>
          <w:color w:val="1B2A4A"/>
          <w:sz w:val="24"/>
          <w:szCs w:val="24"/>
        </w:rPr>
        <w:t xml:space="preserve">Ing. Andrés Recabarren</w:t>
      </w:r>
    </w:p>
    <w:p>
      <w:pPr>
        <w:spacing w:after="40"/>
        <w:jc w:val="right"/>
      </w:pPr>
      <w:r>
        <w:rPr>
          <w:rFonts w:ascii="Georgia" w:cs="Georgia" w:eastAsia="Georgia" w:hAnsi="Georgia"/>
          <w:i/>
          <w:iCs/>
          <w:color w:val="666666"/>
          <w:sz w:val="20"/>
          <w:szCs w:val="20"/>
        </w:rPr>
        <w:t xml:space="preserve">Author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2" w:space="4"/>
      </w:pBd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63B" w:sz="2" w:space="4"/>
      </w:pBdr>
      <w:spacing w:after="200"/>
    </w:pPr>
    <w:r>
      <w:rPr>
        <w:rFonts w:ascii="Arial" w:cs="Arial" w:eastAsia="Arial" w:hAnsi="Arial"/>
        <w:i/>
        <w:iCs/>
        <w:color w:val="666666"/>
        <w:sz w:val="16"/>
        <w:szCs w:val="16"/>
      </w:rPr>
      <w:t xml:space="preserve">Briefing Note  |  Gold vs. Bitcoin in Wartime Contexts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0"/>
      <w:szCs w:val="30"/>
    </w:rPr>
  </w:style>
  <w:style w:type="paragraph" w:styleId="Heading2">
    <w:name w:val="Heading 2"/>
    <w:basedOn w:val="Normal"/>
    <w:next w:val="Normal"/>
    <w:qFormat/>
    <w:pPr>
      <w:spacing w:before="280" w:after="16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2026-03-10T00:27:40.422Z</dcterms:created>
  <dcterms:modified xsi:type="dcterms:W3CDTF">2026-03-10T00:27:40.423Z</dcterms:modified>
</cp:coreProperties>
</file>

<file path=docProps/custom.xml><?xml version="1.0" encoding="utf-8"?>
<Properties xmlns="http://schemas.openxmlformats.org/officeDocument/2006/custom-properties" xmlns:vt="http://schemas.openxmlformats.org/officeDocument/2006/docPropsVTypes"/>
</file>