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Bdr>
          <w:bottom w:val="single" w:color="C9963B" w:sz="6" w:space="1"/>
        </w:pBdr>
        <w:spacing w:after="400"/>
        <w:jc w:val="center"/>
      </w:pPr>
    </w:p>
    <w:p>
      <w:pPr>
        <w:spacing w:after="100"/>
        <w:jc w:val="center"/>
      </w:pPr>
      <w:r>
        <w:rPr>
          <w:rFonts w:ascii="Arial" w:cs="Arial" w:eastAsia="Arial" w:hAnsi="Arial"/>
          <w:b/>
          <w:bCs/>
          <w:color w:val="C9963B"/>
          <w:spacing w:val="300"/>
          <w:sz w:val="20"/>
          <w:szCs w:val="20"/>
        </w:rPr>
        <w:t xml:space="preserve">NOTA INFORMATIVA</w:t>
      </w:r>
    </w:p>
    <w:p>
      <w:pPr>
        <w:spacing w:after="200"/>
        <w:jc w:val="center"/>
      </w:pPr>
      <w:r>
        <w:rPr>
          <w:rFonts w:ascii="Arial" w:cs="Arial" w:eastAsia="Arial" w:hAnsi="Arial"/>
          <w:b/>
          <w:bCs/>
          <w:color w:val="1B2A4A"/>
          <w:sz w:val="40"/>
          <w:szCs w:val="40"/>
        </w:rPr>
        <w:t xml:space="preserve">Oro vs. Bitcoin en Contextos de Guerra</w:t>
      </w:r>
    </w:p>
    <w:p>
      <w:pPr>
        <w:spacing w:after="100"/>
        <w:jc w:val="center"/>
      </w:pPr>
      <w:r>
        <w:rPr>
          <w:rFonts w:ascii="Georgia" w:cs="Georgia" w:eastAsia="Georgia" w:hAnsi="Georgia"/>
          <w:i/>
          <w:iCs/>
          <w:color w:val="666666"/>
          <w:sz w:val="26"/>
          <w:szCs w:val="26"/>
        </w:rPr>
        <w:t xml:space="preserve">Del refugio histórico a la infraestructura de escape</w:t>
      </w:r>
    </w:p>
    <w:p>
      <w:pPr>
        <w:pBdr>
          <w:top w:val="single" w:color="C9963B" w:sz="6" w:space="1"/>
        </w:pBdr>
        <w:spacing w:before="400" w:after="600"/>
        <w:jc w:val="center"/>
      </w:pPr>
    </w:p>
    <w:p>
      <w:pPr>
        <w:spacing w:after="60"/>
        <w:jc w:val="center"/>
      </w:pPr>
      <w:r>
        <w:rPr>
          <w:rFonts w:ascii="Arial" w:cs="Arial" w:eastAsia="Arial" w:hAnsi="Arial"/>
          <w:b/>
          <w:bCs/>
          <w:color w:val="1B2A4A"/>
          <w:sz w:val="20"/>
          <w:szCs w:val="20"/>
        </w:rPr>
        <w:t xml:space="preserve">Tesis central:</w:t>
      </w:r>
    </w:p>
    <w:p>
      <w:pPr>
        <w:spacing w:after="600"/>
        <w:jc w:val="center"/>
      </w:pPr>
      <w:r>
        <w:rPr>
          <w:rFonts w:ascii="Georgia" w:cs="Georgia" w:eastAsia="Georgia" w:hAnsi="Georgia"/>
          <w:i/>
          <w:iCs/>
          <w:color w:val="333333"/>
          <w:sz w:val="24"/>
          <w:szCs w:val="24"/>
        </w:rPr>
        <w:t xml:space="preserve">«Antes de la guerra el mercado compra refugio.
Durante la guerra, la gente compra salida.»</w:t>
      </w:r>
    </w:p>
    <w:p>
      <w:pPr>
        <w:spacing w:before="1200"/>
        <w:jc w:val="center"/>
      </w:pPr>
      <w:r>
        <w:rPr>
          <w:rFonts w:ascii="Arial" w:cs="Arial" w:eastAsia="Arial" w:hAnsi="Arial"/>
          <w:color w:val="666666"/>
          <w:sz w:val="20"/>
          <w:szCs w:val="20"/>
        </w:rPr>
        <w:t xml:space="preserve">Marzo 2026</w:t>
      </w:r>
    </w:p>
    <w:p>
      <w:pPr>
        <w:spacing w:before="120"/>
        <w:jc w:val="center"/>
      </w:pPr>
      <w:r>
        <w:rPr>
          <w:rFonts w:ascii="Arial" w:cs="Arial" w:eastAsia="Arial" w:hAnsi="Arial"/>
          <w:color w:val="1B2A4A"/>
          <w:sz w:val="22"/>
          <w:szCs w:val="22"/>
          <w:b/>
        </w:rPr>
        <w:t xml:space="preserve">Ing. Andrés Recabarren</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2A4A"/>
          <w:sz w:val="30"/>
          <w:szCs w:val="30"/>
        </w:rPr>
        <w:t xml:space="preserve">Introducción</w:t>
      </w:r>
    </w:p>
    <w:p>
      <w:pPr>
        <w:spacing w:after="200" w:line="320"/>
        <w:jc w:val="both"/>
      </w:pPr>
      <w:r>
        <w:rPr>
          <w:rFonts w:ascii="Georgia" w:cs="Georgia" w:eastAsia="Georgia" w:hAnsi="Georgia"/>
          <w:color w:val="333333"/>
          <w:sz w:val="22"/>
          <w:szCs w:val="22"/>
        </w:rPr>
        <w:t xml:space="preserve">Durante siglos, cuando el mundo se vuelve incierto, los inversores hacen lo mismo: compran oro. No es una reacción irracional; es una memoria histórica. El oro sobrevivió imperios, devaluaciones, confiscaciones y crisis monetarias. Sin embargo, esta nota propone una distinción fundamental que el mercado suele pasar por alto: la diferencia entre un activo refugio teórico y un activo refugio operativo cuando el orden realmente se rompe.</w:t>
      </w:r>
    </w:p>
    <w:p>
      <w:pPr>
        <w:spacing w:after="200" w:line="320"/>
        <w:jc w:val="both"/>
      </w:pPr>
      <w:r>
        <w:rPr>
          <w:rFonts w:ascii="Georgia" w:cs="Georgia" w:eastAsia="Georgia" w:hAnsi="Georgia"/>
          <w:color w:val="333333"/>
          <w:sz w:val="22"/>
          <w:szCs w:val="22"/>
        </w:rPr>
        <w:t xml:space="preserve">La tesis central es que Bitcoin no compite con el oro como “oro digital”, sino como una tecnología monetaria diseñada para escenarios donde la riqueza necesita volverse portátil, autocustodiable y resistente al bloqueo territorial.</w:t>
      </w:r>
    </w:p>
    <w:p>
      <w:pPr>
        <w:pStyle w:val="Heading1"/>
      </w:pPr>
      <w:r>
        <w:rPr>
          <w:rFonts w:ascii="Arial" w:cs="Arial" w:eastAsia="Arial" w:hAnsi="Arial"/>
          <w:b/>
          <w:bCs/>
          <w:color w:val="1B2A4A"/>
          <w:sz w:val="30"/>
          <w:szCs w:val="30"/>
        </w:rPr>
        <w:t xml:space="preserve">1. El mercado antes de la guerra: la narrativa histórica</w:t>
      </w:r>
    </w:p>
    <w:p>
      <w:pPr>
        <w:spacing w:after="200" w:line="320"/>
        <w:jc w:val="both"/>
      </w:pPr>
      <w:r>
        <w:rPr>
          <w:rFonts w:ascii="Georgia" w:cs="Georgia" w:eastAsia="Georgia" w:hAnsi="Georgia"/>
          <w:color w:val="333333"/>
          <w:sz w:val="22"/>
          <w:szCs w:val="22"/>
        </w:rPr>
        <w:t xml:space="preserve">Cuando la guerra todavía es una probabilidad, los inversores no reaccionan a la logística real del conflicto sino a la memoria histórica. En prácticamente todos los conflictos modernos el patrón fue el mismo: incertidumbre geopolítica, inflación o colapso financiero se traducen en compra de oro.</w:t>
      </w:r>
    </w:p>
    <w:p>
      <w:pPr>
        <w:spacing w:after="200" w:line="320"/>
        <w:jc w:val="both"/>
      </w:pPr>
      <w:r>
        <w:rPr>
          <w:rFonts w:ascii="Georgia" w:cs="Georgia" w:eastAsia="Georgia" w:hAnsi="Georgia"/>
          <w:color w:val="333333"/>
          <w:sz w:val="22"/>
          <w:szCs w:val="22"/>
        </w:rPr>
        <w:t xml:space="preserve">Por eso, cuando aumenta el riesgo de guerra, el algoritmo mental del mercado es simple: riesgo geopolítico sube, el oro sube y los activos de riesgo bajan. Dentro de “activos de riesgo” muchos inversores todavía colocan a Bitcoin, porque su historia es corta (2009-hoy). El mercado no razona desde cero; razona por analogía histórica.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9963B" w:sz="12"/>
              <w:bottom w:val="none" w:sz="0"/>
              <w:right w:val="none" w:sz="0"/>
            </w:tcBorders>
            <w:shd w:fill="F5F5F0" w:val="clear"/>
            <w:tcMar>
              <w:top w:type="dxa" w:w="200"/>
              <w:left w:type="dxa" w:w="300"/>
              <w:bottom w:type="dxa" w:w="200"/>
              <w:right w:type="dxa" w:w="300"/>
            </w:tcMar>
          </w:tcPr>
          <w:p>
            <w:pPr>
              <w:spacing w:after="0"/>
              <w:jc w:val="left"/>
            </w:pPr>
            <w:r>
              <w:rPr>
                <w:rFonts w:ascii="Georgia" w:cs="Georgia" w:eastAsia="Georgia" w:hAnsi="Georgia"/>
                <w:i/>
                <w:iCs/>
                <w:color w:val="1B2A4A"/>
                <w:sz w:val="24"/>
                <w:szCs w:val="24"/>
              </w:rPr>
              <w:t xml:space="preserve">“Antes de la guerra el mercado compra historia.
Durante la guerra, la gente compra movilidad.”</w:t>
            </w:r>
          </w:p>
        </w:tc>
      </w:tr>
    </w:tbl>
    <w:p>
      <w:pPr>
        <w:pStyle w:val="Heading1"/>
      </w:pPr>
      <w:r>
        <w:rPr>
          <w:rFonts w:ascii="Arial" w:cs="Arial" w:eastAsia="Arial" w:hAnsi="Arial"/>
          <w:b/>
          <w:bCs/>
          <w:color w:val="1B2A4A"/>
          <w:sz w:val="30"/>
          <w:szCs w:val="30"/>
        </w:rPr>
        <w:t xml:space="preserve">2. El error conceptual: reserva de valor vs. movilidad de valor</w:t>
      </w:r>
    </w:p>
    <w:p>
      <w:pPr>
        <w:spacing w:after="200" w:line="320"/>
        <w:jc w:val="both"/>
      </w:pPr>
      <w:r>
        <w:rPr>
          <w:rFonts w:ascii="Georgia" w:cs="Georgia" w:eastAsia="Georgia" w:hAnsi="Georgia"/>
          <w:color w:val="333333"/>
          <w:sz w:val="22"/>
          <w:szCs w:val="22"/>
        </w:rPr>
        <w:t xml:space="preserve">El oro es excelente como reserva de valor estática, pero tiene serias limitaciones como vehículo de escape. Sus propiedades en un contexto de guerra real revelan debilidades fundamentales: es pesado, visible, confiscable, difícil de transportar en grandes cantidades y controlable en fronteras.</w:t>
      </w:r>
    </w:p>
    <w:p>
      <w:pPr>
        <w:spacing w:after="200" w:line="320"/>
        <w:jc w:val="both"/>
      </w:pPr>
      <w:r>
        <w:rPr>
          <w:rFonts w:ascii="Georgia" w:cs="Georgia" w:eastAsia="Georgia" w:hAnsi="Georgia"/>
          <w:color w:val="333333"/>
          <w:sz w:val="22"/>
          <w:szCs w:val="22"/>
        </w:rPr>
        <w:t xml:space="preserve">Un patrimonio de un millón de dólares en oro equivale a unos 16 kg. Intentar cruzar una frontera con esa cantidad es prácticamente imposible.</w:t>
      </w:r>
    </w:p>
    <w:p>
      <w:pPr>
        <w:pStyle w:val="Heading2"/>
      </w:pPr>
      <w:r>
        <w:rPr>
          <w:rFonts w:ascii="Arial" w:cs="Arial" w:eastAsia="Arial" w:hAnsi="Arial"/>
          <w:b/>
          <w:bCs/>
          <w:color w:val="1B2A4A"/>
          <w:sz w:val="26"/>
          <w:szCs w:val="26"/>
        </w:rPr>
        <w:t xml:space="preserve">Comparativa de propiedades operativas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Propiedad</w:t>
            </w:r>
          </w:p>
        </w:tc>
        <w:tc>
          <w:tcPr>
            <w:tcW w:type="dxa" w:w="312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Oro</w:t>
            </w:r>
          </w:p>
        </w:tc>
        <w:tc>
          <w:tcPr>
            <w:tcW w:type="dxa" w:w="312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Bitcoin</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333333"/>
                <w:sz w:val="20"/>
                <w:szCs w:val="20"/>
              </w:rPr>
              <w:t xml:space="preserve">Transportabilidad</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333333"/>
                <w:sz w:val="20"/>
                <w:szCs w:val="20"/>
              </w:rPr>
              <w:t xml:space="preserve">Mala</w:t>
            </w:r>
          </w:p>
        </w:tc>
        <w:tc>
          <w:tcPr>
            <w:tcW w:type="dxa" w:w="3120"/>
            <w:tcBorders>
              <w:top w:val="single" w:color="D0D0D0" w:sz="1"/>
              <w:left w:val="single" w:color="D0D0D0" w:sz="1"/>
              <w:bottom w:val="single" w:color="D0D0D0" w:sz="1"/>
              <w:right w:val="single" w:color="D0D0D0" w:sz="1"/>
            </w:tcBorders>
            <w:shd w:fill="E8F0E8" w:val="clear"/>
            <w:tcMar>
              <w:top w:type="dxa" w:w="80"/>
              <w:left w:type="dxa" w:w="120"/>
              <w:bottom w:type="dxa" w:w="80"/>
              <w:right w:type="dxa" w:w="120"/>
            </w:tcMar>
            <w:vAlign w:val="center"/>
          </w:tcPr>
          <w:p>
            <w:pPr>
              <w:jc w:val="center"/>
            </w:pPr>
            <w:r>
              <w:rPr>
                <w:rFonts w:ascii="Georgia" w:cs="Georgia" w:eastAsia="Georgia" w:hAnsi="Georgia"/>
                <w:b/>
                <w:bCs/>
                <w:color w:val="333333"/>
                <w:sz w:val="20"/>
                <w:szCs w:val="20"/>
              </w:rPr>
              <w:t xml:space="preserve">Extrema</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333333"/>
                <w:sz w:val="20"/>
                <w:szCs w:val="20"/>
              </w:rPr>
              <w:t xml:space="preserve">Confiscación</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333333"/>
                <w:sz w:val="20"/>
                <w:szCs w:val="20"/>
              </w:rPr>
              <w:t xml:space="preserve">Fácil</w:t>
            </w:r>
          </w:p>
        </w:tc>
        <w:tc>
          <w:tcPr>
            <w:tcW w:type="dxa" w:w="3120"/>
            <w:tcBorders>
              <w:top w:val="single" w:color="D0D0D0" w:sz="1"/>
              <w:left w:val="single" w:color="D0D0D0" w:sz="1"/>
              <w:bottom w:val="single" w:color="D0D0D0" w:sz="1"/>
              <w:right w:val="single" w:color="D0D0D0" w:sz="1"/>
            </w:tcBorders>
            <w:shd w:fill="E8F0E8" w:val="clear"/>
            <w:tcMar>
              <w:top w:type="dxa" w:w="80"/>
              <w:left w:type="dxa" w:w="120"/>
              <w:bottom w:type="dxa" w:w="80"/>
              <w:right w:type="dxa" w:w="120"/>
            </w:tcMar>
            <w:vAlign w:val="center"/>
          </w:tcPr>
          <w:p>
            <w:pPr>
              <w:jc w:val="center"/>
            </w:pPr>
            <w:r>
              <w:rPr>
                <w:rFonts w:ascii="Georgia" w:cs="Georgia" w:eastAsia="Georgia" w:hAnsi="Georgia"/>
                <w:b/>
                <w:bCs/>
                <w:color w:val="333333"/>
                <w:sz w:val="20"/>
                <w:szCs w:val="20"/>
              </w:rPr>
              <w:t xml:space="preserve">Muy difícil</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333333"/>
                <w:sz w:val="20"/>
                <w:szCs w:val="20"/>
              </w:rPr>
              <w:t xml:space="preserve">Liquidez global</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333333"/>
                <w:sz w:val="20"/>
                <w:szCs w:val="20"/>
              </w:rPr>
              <w:t xml:space="preserve">Media</w:t>
            </w:r>
          </w:p>
        </w:tc>
        <w:tc>
          <w:tcPr>
            <w:tcW w:type="dxa" w:w="3120"/>
            <w:tcBorders>
              <w:top w:val="single" w:color="D0D0D0" w:sz="1"/>
              <w:left w:val="single" w:color="D0D0D0" w:sz="1"/>
              <w:bottom w:val="single" w:color="D0D0D0" w:sz="1"/>
              <w:right w:val="single" w:color="D0D0D0" w:sz="1"/>
            </w:tcBorders>
            <w:shd w:fill="E8F0E8" w:val="clear"/>
            <w:tcMar>
              <w:top w:type="dxa" w:w="80"/>
              <w:left w:type="dxa" w:w="120"/>
              <w:bottom w:type="dxa" w:w="80"/>
              <w:right w:type="dxa" w:w="120"/>
            </w:tcMar>
            <w:vAlign w:val="center"/>
          </w:tcPr>
          <w:p>
            <w:pPr>
              <w:jc w:val="center"/>
            </w:pPr>
            <w:r>
              <w:rPr>
                <w:rFonts w:ascii="Georgia" w:cs="Georgia" w:eastAsia="Georgia" w:hAnsi="Georgia"/>
                <w:b/>
                <w:bCs/>
                <w:color w:val="333333"/>
                <w:sz w:val="20"/>
                <w:szCs w:val="20"/>
              </w:rPr>
              <w:t xml:space="preserve">Alta</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333333"/>
                <w:sz w:val="20"/>
                <w:szCs w:val="20"/>
              </w:rPr>
              <w:t xml:space="preserve">Cruzar fronteras</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333333"/>
                <w:sz w:val="20"/>
                <w:szCs w:val="20"/>
              </w:rPr>
              <w:t xml:space="preserve">Difícil</w:t>
            </w:r>
          </w:p>
        </w:tc>
        <w:tc>
          <w:tcPr>
            <w:tcW w:type="dxa" w:w="3120"/>
            <w:tcBorders>
              <w:top w:val="single" w:color="D0D0D0" w:sz="1"/>
              <w:left w:val="single" w:color="D0D0D0" w:sz="1"/>
              <w:bottom w:val="single" w:color="D0D0D0" w:sz="1"/>
              <w:right w:val="single" w:color="D0D0D0" w:sz="1"/>
            </w:tcBorders>
            <w:shd w:fill="E8F0E8" w:val="clear"/>
            <w:tcMar>
              <w:top w:type="dxa" w:w="80"/>
              <w:left w:type="dxa" w:w="120"/>
              <w:bottom w:type="dxa" w:w="80"/>
              <w:right w:type="dxa" w:w="120"/>
            </w:tcMar>
            <w:vAlign w:val="center"/>
          </w:tcPr>
          <w:p>
            <w:pPr>
              <w:jc w:val="center"/>
            </w:pPr>
            <w:r>
              <w:rPr>
                <w:rFonts w:ascii="Georgia" w:cs="Georgia" w:eastAsia="Georgia" w:hAnsi="Georgia"/>
                <w:b/>
                <w:bCs/>
                <w:color w:val="333333"/>
                <w:sz w:val="20"/>
                <w:szCs w:val="20"/>
              </w:rPr>
              <w:t xml:space="preserve">Trivial</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333333"/>
                <w:sz w:val="20"/>
                <w:szCs w:val="20"/>
              </w:rPr>
              <w:t xml:space="preserve">Divisibilidad</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333333"/>
                <w:sz w:val="20"/>
                <w:szCs w:val="20"/>
              </w:rPr>
              <w:t xml:space="preserve">Limitada</w:t>
            </w:r>
          </w:p>
        </w:tc>
        <w:tc>
          <w:tcPr>
            <w:tcW w:type="dxa" w:w="3120"/>
            <w:tcBorders>
              <w:top w:val="single" w:color="D0D0D0" w:sz="1"/>
              <w:left w:val="single" w:color="D0D0D0" w:sz="1"/>
              <w:bottom w:val="single" w:color="D0D0D0" w:sz="1"/>
              <w:right w:val="single" w:color="D0D0D0" w:sz="1"/>
            </w:tcBorders>
            <w:shd w:fill="E8F0E8" w:val="clear"/>
            <w:tcMar>
              <w:top w:type="dxa" w:w="80"/>
              <w:left w:type="dxa" w:w="120"/>
              <w:bottom w:type="dxa" w:w="80"/>
              <w:right w:type="dxa" w:w="120"/>
            </w:tcMar>
            <w:vAlign w:val="center"/>
          </w:tcPr>
          <w:p>
            <w:pPr>
              <w:jc w:val="center"/>
            </w:pPr>
            <w:r>
              <w:rPr>
                <w:rFonts w:ascii="Georgia" w:cs="Georgia" w:eastAsia="Georgia" w:hAnsi="Georgia"/>
                <w:b/>
                <w:bCs/>
                <w:color w:val="333333"/>
                <w:sz w:val="20"/>
                <w:szCs w:val="20"/>
              </w:rPr>
              <w:t xml:space="preserve">Infinita</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333333"/>
                <w:sz w:val="20"/>
                <w:szCs w:val="20"/>
              </w:rPr>
              <w:t xml:space="preserve">Autocustodia</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333333"/>
                <w:sz w:val="20"/>
                <w:szCs w:val="20"/>
              </w:rPr>
              <w:t xml:space="preserve">Requiere espacio físico</w:t>
            </w:r>
          </w:p>
        </w:tc>
        <w:tc>
          <w:tcPr>
            <w:tcW w:type="dxa" w:w="3120"/>
            <w:tcBorders>
              <w:top w:val="single" w:color="D0D0D0" w:sz="1"/>
              <w:left w:val="single" w:color="D0D0D0" w:sz="1"/>
              <w:bottom w:val="single" w:color="D0D0D0" w:sz="1"/>
              <w:right w:val="single" w:color="D0D0D0" w:sz="1"/>
            </w:tcBorders>
            <w:shd w:fill="E8F0E8" w:val="clear"/>
            <w:tcMar>
              <w:top w:type="dxa" w:w="80"/>
              <w:left w:type="dxa" w:w="120"/>
              <w:bottom w:type="dxa" w:w="80"/>
              <w:right w:type="dxa" w:w="120"/>
            </w:tcMar>
            <w:vAlign w:val="center"/>
          </w:tcPr>
          <w:p>
            <w:pPr>
              <w:jc w:val="center"/>
            </w:pPr>
            <w:r>
              <w:rPr>
                <w:rFonts w:ascii="Georgia" w:cs="Georgia" w:eastAsia="Georgia" w:hAnsi="Georgia"/>
                <w:b/>
                <w:bCs/>
                <w:color w:val="333333"/>
                <w:sz w:val="20"/>
                <w:szCs w:val="20"/>
              </w:rPr>
              <w:t xml:space="preserve">Digital / mental</w:t>
            </w:r>
          </w:p>
        </w:tc>
      </w:tr>
    </w:tbl>
    <w:p>
      <w:pPr>
        <w:spacing w:after="200"/>
      </w:pPr>
    </w:p>
    <w:p>
      <w:pPr>
        <w:spacing w:after="200" w:line="320"/>
        <w:jc w:val="both"/>
      </w:pPr>
      <w:r>
        <w:rPr>
          <w:rFonts w:ascii="Georgia" w:cs="Georgia" w:eastAsia="Georgia" w:hAnsi="Georgia"/>
          <w:color w:val="333333"/>
          <w:sz w:val="22"/>
          <w:szCs w:val="22"/>
        </w:rPr>
        <w:t xml:space="preserve">Con Bitcoin, en cambio, una persona puede cruzar un país con una seed phrase memorizada, un hardware wallet, o incluso solo con 12 palabras en la memoria. Ese cambio de contexto convierte a Bitcoin en infraestructura de escape, no solo en inversión.</w:t>
      </w:r>
    </w:p>
    <w:p>
      <w:pPr>
        <w:pStyle w:val="Heading1"/>
      </w:pPr>
      <w:r>
        <w:rPr>
          <w:rFonts w:ascii="Arial" w:cs="Arial" w:eastAsia="Arial" w:hAnsi="Arial"/>
          <w:b/>
          <w:bCs/>
          <w:color w:val="1B2A4A"/>
          <w:sz w:val="30"/>
          <w:szCs w:val="30"/>
        </w:rPr>
        <w:t xml:space="preserve">3. Cuando la guerra se materializa: cambian las prioridades</w:t>
      </w:r>
    </w:p>
    <w:p>
      <w:pPr>
        <w:spacing w:after="200" w:line="320"/>
        <w:jc w:val="both"/>
      </w:pPr>
      <w:r>
        <w:rPr>
          <w:rFonts w:ascii="Georgia" w:cs="Georgia" w:eastAsia="Georgia" w:hAnsi="Georgia"/>
          <w:color w:val="333333"/>
          <w:sz w:val="22"/>
          <w:szCs w:val="22"/>
        </w:rPr>
        <w:t xml:space="preserve">Cuando el conflicto pasa de riesgo a realidad, el problema económico cambia radicalmente. La pregunta ya no es “¿Dónde preservo valor?” sino “¿Cómo saco mi riqueza de aquí ahora?”. En ese punto, las propiedades relevantes de un activo cambian por completo.</w:t>
      </w:r>
    </w:p>
    <w:p>
      <w:pPr>
        <w:spacing w:after="200" w:line="320"/>
        <w:jc w:val="both"/>
      </w:pPr>
      <w:r>
        <w:rPr>
          <w:rFonts w:ascii="Georgia" w:cs="Georgia" w:eastAsia="Georgia" w:hAnsi="Georgia"/>
          <w:color w:val="333333"/>
          <w:sz w:val="22"/>
          <w:szCs w:val="22"/>
        </w:rPr>
        <w:t xml:space="preserve">Históricamente, en crisis severas aparece el fenómeno del descuento local del oro. Esto ha ocurrido en la Guerra de Vietnam, la crisis en Líbano, las crisis financieras argentinas y la guerra en Ucrania. El oro se remata localmente no porque deje de ser valioso, sino porque su forma física deja de encajar con la necesidad inmediata: la gente necesita liquidez inmediata, hay pocos compradores, existe riesgo de confiscación y transportarlo es peligroso.</w:t>
      </w:r>
    </w:p>
    <w:p>
      <w:pPr>
        <w:pStyle w:val="Heading1"/>
      </w:pPr>
      <w:r>
        <w:rPr>
          <w:rFonts w:ascii="Arial" w:cs="Arial" w:eastAsia="Arial" w:hAnsi="Arial"/>
          <w:b/>
          <w:bCs/>
          <w:color w:val="1B2A4A"/>
          <w:sz w:val="30"/>
          <w:szCs w:val="30"/>
        </w:rPr>
        <w:t xml:space="preserve">4. Bitcoin como “riqueza sin masa”</w:t>
      </w:r>
    </w:p>
    <w:p>
      <w:pPr>
        <w:spacing w:after="200" w:line="320"/>
        <w:jc w:val="both"/>
      </w:pPr>
      <w:r>
        <w:rPr>
          <w:rFonts w:ascii="Georgia" w:cs="Georgia" w:eastAsia="Georgia" w:hAnsi="Georgia"/>
          <w:color w:val="333333"/>
          <w:sz w:val="22"/>
          <w:szCs w:val="22"/>
        </w:rPr>
        <w:t xml:space="preserve">Bitcoin introduce algo civilizatoriamente enorme: por primera vez en la historia moderna existe una forma de riqueza que combina escasez, autocustodia, liquidación global, portabilidad extrema, resistencia a confiscación e independencia estatal relativa. Es decir: riqueza sin masa.</w:t>
      </w:r>
    </w:p>
    <w:p>
      <w:pPr>
        <w:spacing w:after="200" w:line="320"/>
        <w:jc w:val="both"/>
      </w:pPr>
      <w:r>
        <w:rPr>
          <w:rFonts w:ascii="Georgia" w:cs="Georgia" w:eastAsia="Georgia" w:hAnsi="Georgia"/>
          <w:color w:val="333333"/>
          <w:sz w:val="22"/>
          <w:szCs w:val="22"/>
        </w:rPr>
        <w:t xml:space="preserve">Esto cambia una relación que parecía inevitable: la relación entre patrimonio y control territorial. Con oro, mover la riqueza depende de rutas, aduanas, peso, visibilidad y custodia. Con Bitcoin, la riqueza puede seguir siendo de su dueño aunque le quiten casi todo lo demás, siempre que conserve la clave o la posibilidad de reconstruirla.</w:t>
      </w:r>
    </w:p>
    <w:p>
      <w:pPr>
        <w:pStyle w:val="Heading2"/>
      </w:pPr>
      <w:r>
        <w:rPr>
          <w:rFonts w:ascii="Arial" w:cs="Arial" w:eastAsia="Arial" w:hAnsi="Arial"/>
          <w:b/>
          <w:bCs/>
          <w:color w:val="1B2A4A"/>
          <w:sz w:val="26"/>
          <w:szCs w:val="26"/>
        </w:rPr>
        <w:t xml:space="preserve">Distinción clave: reserva de valor vs. continuidad de valor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963B" w:sz="2"/>
              <w:left w:val="none" w:sz="0"/>
              <w:bottom w:val="single" w:color="C9963B" w:sz="2"/>
              <w:right w:val="none" w:sz="0"/>
            </w:tcBorders>
            <w:shd w:fill="FFFFFF" w:val="clear"/>
            <w:tcMar>
              <w:top w:type="dxa" w:w="100"/>
              <w:left w:type="dxa" w:w="200"/>
              <w:bottom w:type="dxa" w:w="100"/>
              <w:right w:type="dxa" w:w="200"/>
            </w:tcMar>
          </w:tcPr>
          <w:p>
            <w:r>
              <w:rPr>
                <w:rFonts w:ascii="Arial" w:cs="Arial" w:eastAsia="Arial" w:hAnsi="Arial"/>
                <w:b/>
                <w:bCs/>
                <w:color w:val="1B2A4A"/>
                <w:sz w:val="20"/>
                <w:szCs w:val="20"/>
              </w:rPr>
              <w:t xml:space="preserve">Concepto</w:t>
            </w:r>
          </w:p>
        </w:tc>
        <w:tc>
          <w:tcPr>
            <w:tcW w:type="dxa" w:w="3120"/>
            <w:tcBorders>
              <w:top w:val="single" w:color="C9963B" w:sz="2"/>
              <w:left w:val="none" w:sz="0"/>
              <w:bottom w:val="single" w:color="C9963B" w:sz="2"/>
              <w:right w:val="none" w:sz="0"/>
            </w:tcBorders>
            <w:shd w:fill="FFFFFF" w:val="clear"/>
            <w:tcMar>
              <w:top w:type="dxa" w:w="100"/>
              <w:left w:type="dxa" w:w="200"/>
              <w:bottom w:type="dxa" w:w="100"/>
              <w:right w:type="dxa" w:w="200"/>
            </w:tcMar>
          </w:tcPr>
          <w:p>
            <w:r>
              <w:rPr>
                <w:rFonts w:ascii="Arial" w:cs="Arial" w:eastAsia="Arial" w:hAnsi="Arial"/>
                <w:b/>
                <w:bCs/>
                <w:color w:val="1B2A4A"/>
                <w:sz w:val="20"/>
                <w:szCs w:val="20"/>
              </w:rPr>
              <w:t xml:space="preserve">Reserva de valor</w:t>
            </w:r>
          </w:p>
        </w:tc>
        <w:tc>
          <w:tcPr>
            <w:tcW w:type="dxa" w:w="3120"/>
            <w:tcBorders>
              <w:top w:val="single" w:color="C9963B" w:sz="2"/>
              <w:left w:val="none" w:sz="0"/>
              <w:bottom w:val="single" w:color="C9963B" w:sz="2"/>
              <w:right w:val="none" w:sz="0"/>
            </w:tcBorders>
            <w:shd w:fill="FFFFFF" w:val="clear"/>
            <w:tcMar>
              <w:top w:type="dxa" w:w="100"/>
              <w:left w:type="dxa" w:w="200"/>
              <w:bottom w:type="dxa" w:w="100"/>
              <w:right w:type="dxa" w:w="200"/>
            </w:tcMar>
          </w:tcPr>
          <w:p>
            <w:r>
              <w:rPr>
                <w:rFonts w:ascii="Arial" w:cs="Arial" w:eastAsia="Arial" w:hAnsi="Arial"/>
                <w:b/>
                <w:bCs/>
                <w:color w:val="1B2A4A"/>
                <w:sz w:val="20"/>
                <w:szCs w:val="20"/>
              </w:rPr>
              <w:t xml:space="preserve">Continuidad de valor</w:t>
            </w:r>
          </w:p>
        </w:tc>
      </w:tr>
      <w:tr>
        <w:tc>
          <w:tcPr>
            <w:tcW w:type="dxa" w:w="3120"/>
            <w:tcBorders>
              <w:top w:val="single" w:color="D0D0D0" w:sz="1"/>
              <w:left w:val="none" w:sz="0"/>
              <w:bottom w:val="single" w:color="D0D0D0" w:sz="1"/>
              <w:right w:val="none" w:sz="0"/>
            </w:tcBorders>
            <w:shd w:fill="F5F5F0" w:val="clear"/>
            <w:tcMar>
              <w:top w:type="dxa" w:w="120"/>
              <w:left w:type="dxa" w:w="200"/>
              <w:bottom w:type="dxa" w:w="120"/>
              <w:right w:type="dxa" w:w="200"/>
            </w:tcMar>
          </w:tcPr>
          <w:p>
            <w:r>
              <w:rPr>
                <w:rFonts w:ascii="Georgia" w:cs="Georgia" w:eastAsia="Georgia" w:hAnsi="Georgia"/>
                <w:color w:val="333333"/>
                <w:sz w:val="21"/>
                <w:szCs w:val="21"/>
              </w:rPr>
              <w:t xml:space="preserve">Pregunta central</w:t>
            </w:r>
          </w:p>
        </w:tc>
        <w:tc>
          <w:tcPr>
            <w:tcW w:type="dxa" w:w="3120"/>
            <w:tcBorders>
              <w:top w:val="single" w:color="D0D0D0" w:sz="1"/>
              <w:left w:val="none" w:sz="0"/>
              <w:bottom w:val="single" w:color="D0D0D0" w:sz="1"/>
              <w:right w:val="none" w:sz="0"/>
            </w:tcBorders>
            <w:shd w:fill="F5F5F0" w:val="clear"/>
            <w:tcMar>
              <w:top w:type="dxa" w:w="120"/>
              <w:left w:type="dxa" w:w="200"/>
              <w:bottom w:type="dxa" w:w="120"/>
              <w:right w:type="dxa" w:w="200"/>
            </w:tcMar>
          </w:tcPr>
          <w:p>
            <w:r>
              <w:rPr>
                <w:rFonts w:ascii="Georgia" w:cs="Georgia" w:eastAsia="Georgia" w:hAnsi="Georgia"/>
                <w:color w:val="333333"/>
                <w:sz w:val="21"/>
                <w:szCs w:val="21"/>
              </w:rPr>
              <w:t xml:space="preserve">¿Cómo no empobrecerme?</w:t>
            </w:r>
          </w:p>
        </w:tc>
        <w:tc>
          <w:tcPr>
            <w:tcW w:type="dxa" w:w="3120"/>
            <w:tcBorders>
              <w:top w:val="single" w:color="D0D0D0" w:sz="1"/>
              <w:left w:val="none" w:sz="0"/>
              <w:bottom w:val="single" w:color="D0D0D0" w:sz="1"/>
              <w:right w:val="none" w:sz="0"/>
            </w:tcBorders>
            <w:shd w:fill="F5F5F0" w:val="clear"/>
            <w:tcMar>
              <w:top w:type="dxa" w:w="120"/>
              <w:left w:type="dxa" w:w="200"/>
              <w:bottom w:type="dxa" w:w="120"/>
              <w:right w:type="dxa" w:w="200"/>
            </w:tcMar>
          </w:tcPr>
          <w:p>
            <w:r>
              <w:rPr>
                <w:rFonts w:ascii="Georgia" w:cs="Georgia" w:eastAsia="Georgia" w:hAnsi="Georgia"/>
                <w:color w:val="333333"/>
                <w:sz w:val="21"/>
                <w:szCs w:val="21"/>
              </w:rPr>
              <w:t xml:space="preserve">¿Cómo sigo siendo económicamente yo, aunque me arranquen de mi contexto?</w:t>
            </w:r>
          </w:p>
        </w:tc>
      </w:tr>
      <w:tr>
        <w:tc>
          <w:tcPr>
            <w:tcW w:type="dxa" w:w="3120"/>
            <w:tcBorders>
              <w:top w:val="single" w:color="D0D0D0" w:sz="1"/>
              <w:left w:val="none" w:sz="0"/>
              <w:bottom w:val="single" w:color="D0D0D0" w:sz="1"/>
              <w:right w:val="none" w:sz="0"/>
            </w:tcBorders>
            <w:shd w:fill="FFFFFF" w:val="clear"/>
            <w:tcMar>
              <w:top w:type="dxa" w:w="120"/>
              <w:left w:type="dxa" w:w="200"/>
              <w:bottom w:type="dxa" w:w="120"/>
              <w:right w:type="dxa" w:w="200"/>
            </w:tcMar>
          </w:tcPr>
          <w:p>
            <w:r>
              <w:rPr>
                <w:rFonts w:ascii="Georgia" w:cs="Georgia" w:eastAsia="Georgia" w:hAnsi="Georgia"/>
                <w:color w:val="333333"/>
                <w:sz w:val="21"/>
                <w:szCs w:val="21"/>
              </w:rPr>
              <w:t xml:space="preserve">Función</w:t>
            </w:r>
          </w:p>
        </w:tc>
        <w:tc>
          <w:tcPr>
            <w:tcW w:type="dxa" w:w="3120"/>
            <w:tcBorders>
              <w:top w:val="single" w:color="D0D0D0" w:sz="1"/>
              <w:left w:val="none" w:sz="0"/>
              <w:bottom w:val="single" w:color="D0D0D0" w:sz="1"/>
              <w:right w:val="none" w:sz="0"/>
            </w:tcBorders>
            <w:shd w:fill="FFFFFF" w:val="clear"/>
            <w:tcMar>
              <w:top w:type="dxa" w:w="120"/>
              <w:left w:type="dxa" w:w="200"/>
              <w:bottom w:type="dxa" w:w="120"/>
              <w:right w:type="dxa" w:w="200"/>
            </w:tcMar>
          </w:tcPr>
          <w:p>
            <w:r>
              <w:rPr>
                <w:rFonts w:ascii="Georgia" w:cs="Georgia" w:eastAsia="Georgia" w:hAnsi="Georgia"/>
                <w:color w:val="333333"/>
                <w:sz w:val="21"/>
                <w:szCs w:val="21"/>
              </w:rPr>
              <w:t xml:space="preserve">Preservar poder adquisitivo en el tiempo</w:t>
            </w:r>
          </w:p>
        </w:tc>
        <w:tc>
          <w:tcPr>
            <w:tcW w:type="dxa" w:w="3120"/>
            <w:tcBorders>
              <w:top w:val="single" w:color="D0D0D0" w:sz="1"/>
              <w:left w:val="none" w:sz="0"/>
              <w:bottom w:val="single" w:color="D0D0D0" w:sz="1"/>
              <w:right w:val="none" w:sz="0"/>
            </w:tcBorders>
            <w:shd w:fill="FFFFFF" w:val="clear"/>
            <w:tcMar>
              <w:top w:type="dxa" w:w="120"/>
              <w:left w:type="dxa" w:w="200"/>
              <w:bottom w:type="dxa" w:w="120"/>
              <w:right w:type="dxa" w:w="200"/>
            </w:tcMar>
          </w:tcPr>
          <w:p>
            <w:r>
              <w:rPr>
                <w:rFonts w:ascii="Georgia" w:cs="Georgia" w:eastAsia="Georgia" w:hAnsi="Georgia"/>
                <w:color w:val="333333"/>
                <w:sz w:val="21"/>
                <w:szCs w:val="21"/>
              </w:rPr>
              <w:t xml:space="preserve">Preservar agencia económica bajo ruptura</w:t>
            </w:r>
          </w:p>
        </w:tc>
      </w:tr>
      <w:tr>
        <w:tc>
          <w:tcPr>
            <w:tcW w:type="dxa" w:w="3120"/>
            <w:tcBorders>
              <w:top w:val="single" w:color="D0D0D0" w:sz="1"/>
              <w:left w:val="none" w:sz="0"/>
              <w:bottom w:val="single" w:color="D0D0D0" w:sz="1"/>
              <w:right w:val="none" w:sz="0"/>
            </w:tcBorders>
            <w:shd w:fill="F5F5F0" w:val="clear"/>
            <w:tcMar>
              <w:top w:type="dxa" w:w="120"/>
              <w:left w:type="dxa" w:w="200"/>
              <w:bottom w:type="dxa" w:w="120"/>
              <w:right w:type="dxa" w:w="200"/>
            </w:tcMar>
          </w:tcPr>
          <w:p>
            <w:r>
              <w:rPr>
                <w:rFonts w:ascii="Georgia" w:cs="Georgia" w:eastAsia="Georgia" w:hAnsi="Georgia"/>
                <w:color w:val="333333"/>
                <w:sz w:val="21"/>
                <w:szCs w:val="21"/>
              </w:rPr>
              <w:t xml:space="preserve">Activo dominante histórico</w:t>
            </w:r>
          </w:p>
        </w:tc>
        <w:tc>
          <w:tcPr>
            <w:tcW w:type="dxa" w:w="3120"/>
            <w:tcBorders>
              <w:top w:val="single" w:color="D0D0D0" w:sz="1"/>
              <w:left w:val="none" w:sz="0"/>
              <w:bottom w:val="single" w:color="D0D0D0" w:sz="1"/>
              <w:right w:val="none" w:sz="0"/>
            </w:tcBorders>
            <w:shd w:fill="F5F5F0" w:val="clear"/>
            <w:tcMar>
              <w:top w:type="dxa" w:w="120"/>
              <w:left w:type="dxa" w:w="200"/>
              <w:bottom w:type="dxa" w:w="120"/>
              <w:right w:type="dxa" w:w="200"/>
            </w:tcMar>
          </w:tcPr>
          <w:p>
            <w:r>
              <w:rPr>
                <w:rFonts w:ascii="Georgia" w:cs="Georgia" w:eastAsia="Georgia" w:hAnsi="Georgia"/>
                <w:color w:val="333333"/>
                <w:sz w:val="21"/>
                <w:szCs w:val="21"/>
              </w:rPr>
              <w:t xml:space="preserve">Oro</w:t>
            </w:r>
          </w:p>
        </w:tc>
        <w:tc>
          <w:tcPr>
            <w:tcW w:type="dxa" w:w="3120"/>
            <w:tcBorders>
              <w:top w:val="single" w:color="D0D0D0" w:sz="1"/>
              <w:left w:val="none" w:sz="0"/>
              <w:bottom w:val="single" w:color="D0D0D0" w:sz="1"/>
              <w:right w:val="none" w:sz="0"/>
            </w:tcBorders>
            <w:shd w:fill="F5F5F0" w:val="clear"/>
            <w:tcMar>
              <w:top w:type="dxa" w:w="120"/>
              <w:left w:type="dxa" w:w="200"/>
              <w:bottom w:type="dxa" w:w="120"/>
              <w:right w:type="dxa" w:w="200"/>
            </w:tcMar>
          </w:tcPr>
          <w:p>
            <w:r>
              <w:rPr>
                <w:rFonts w:ascii="Georgia" w:cs="Georgia" w:eastAsia="Georgia" w:hAnsi="Georgia"/>
                <w:color w:val="333333"/>
                <w:sz w:val="21"/>
                <w:szCs w:val="21"/>
              </w:rPr>
              <w:t xml:space="preserve">Bitcoin (emergente)</w:t>
            </w:r>
          </w:p>
        </w:tc>
      </w:tr>
      <w:tr>
        <w:tc>
          <w:tcPr>
            <w:tcW w:type="dxa" w:w="3120"/>
            <w:tcBorders>
              <w:top w:val="single" w:color="D0D0D0" w:sz="1"/>
              <w:left w:val="none" w:sz="0"/>
              <w:bottom w:val="single" w:color="D0D0D0" w:sz="1"/>
              <w:right w:val="none" w:sz="0"/>
            </w:tcBorders>
            <w:shd w:fill="FFFFFF" w:val="clear"/>
            <w:tcMar>
              <w:top w:type="dxa" w:w="120"/>
              <w:left w:type="dxa" w:w="200"/>
              <w:bottom w:type="dxa" w:w="120"/>
              <w:right w:type="dxa" w:w="200"/>
            </w:tcMar>
          </w:tcPr>
          <w:p>
            <w:r>
              <w:rPr>
                <w:rFonts w:ascii="Georgia" w:cs="Georgia" w:eastAsia="Georgia" w:hAnsi="Georgia"/>
                <w:color w:val="333333"/>
                <w:sz w:val="21"/>
                <w:szCs w:val="21"/>
              </w:rPr>
              <w:t xml:space="preserve">Contexto donde brilla</w:t>
            </w:r>
          </w:p>
        </w:tc>
        <w:tc>
          <w:tcPr>
            <w:tcW w:type="dxa" w:w="3120"/>
            <w:tcBorders>
              <w:top w:val="single" w:color="D0D0D0" w:sz="1"/>
              <w:left w:val="none" w:sz="0"/>
              <w:bottom w:val="single" w:color="D0D0D0" w:sz="1"/>
              <w:right w:val="none" w:sz="0"/>
            </w:tcBorders>
            <w:shd w:fill="FFFFFF" w:val="clear"/>
            <w:tcMar>
              <w:top w:type="dxa" w:w="120"/>
              <w:left w:type="dxa" w:w="200"/>
              <w:bottom w:type="dxa" w:w="120"/>
              <w:right w:type="dxa" w:w="200"/>
            </w:tcMar>
          </w:tcPr>
          <w:p>
            <w:r>
              <w:rPr>
                <w:rFonts w:ascii="Georgia" w:cs="Georgia" w:eastAsia="Georgia" w:hAnsi="Georgia"/>
                <w:color w:val="333333"/>
                <w:sz w:val="21"/>
                <w:szCs w:val="21"/>
              </w:rPr>
              <w:t xml:space="preserve">Inflación, degradación monetaria, default soberano</w:t>
            </w:r>
          </w:p>
        </w:tc>
        <w:tc>
          <w:tcPr>
            <w:tcW w:type="dxa" w:w="3120"/>
            <w:tcBorders>
              <w:top w:val="single" w:color="D0D0D0" w:sz="1"/>
              <w:left w:val="none" w:sz="0"/>
              <w:bottom w:val="single" w:color="D0D0D0" w:sz="1"/>
              <w:right w:val="none" w:sz="0"/>
            </w:tcBorders>
            <w:shd w:fill="FFFFFF" w:val="clear"/>
            <w:tcMar>
              <w:top w:type="dxa" w:w="120"/>
              <w:left w:type="dxa" w:w="200"/>
              <w:bottom w:type="dxa" w:w="120"/>
              <w:right w:type="dxa" w:w="200"/>
            </w:tcMar>
          </w:tcPr>
          <w:p>
            <w:r>
              <w:rPr>
                <w:rFonts w:ascii="Georgia" w:cs="Georgia" w:eastAsia="Georgia" w:hAnsi="Georgia"/>
                <w:color w:val="333333"/>
                <w:sz w:val="21"/>
                <w:szCs w:val="21"/>
              </w:rPr>
              <w:t xml:space="preserve">Guerra, exilio, sanciones, controles de capital, colapso institucional</w:t>
            </w:r>
          </w:p>
        </w:tc>
      </w:tr>
    </w:tbl>
    <w:p>
      <w:pPr>
        <w:spacing w:after="200"/>
      </w:pPr>
    </w:p>
    <w:p>
      <w:pPr>
        <w:pStyle w:val="Heading1"/>
      </w:pPr>
      <w:r>
        <w:rPr>
          <w:rFonts w:ascii="Arial" w:cs="Arial" w:eastAsia="Arial" w:hAnsi="Arial"/>
          <w:b/>
          <w:bCs/>
          <w:color w:val="1B2A4A"/>
          <w:sz w:val="30"/>
          <w:szCs w:val="30"/>
        </w:rPr>
        <w:t xml:space="preserve">5. Por qué el mercado no lo anticipó</w:t>
      </w:r>
    </w:p>
    <w:p>
      <w:pPr>
        <w:spacing w:after="200" w:line="320"/>
        <w:jc w:val="both"/>
      </w:pPr>
      <w:r>
        <w:rPr>
          <w:rFonts w:ascii="Georgia" w:cs="Georgia" w:eastAsia="Georgia" w:hAnsi="Georgia"/>
          <w:color w:val="333333"/>
          <w:sz w:val="22"/>
          <w:szCs w:val="22"/>
        </w:rPr>
        <w:t xml:space="preserve">Tres razones explican esta ceguera colectiva.</w:t>
      </w:r>
    </w:p>
    <w:p>
      <w:pPr>
        <w:spacing w:after="200" w:line="320"/>
        <w:jc w:val="both"/>
      </w:pPr>
      <w:r>
        <w:rPr>
          <w:rFonts w:ascii="Georgia" w:cs="Georgia" w:eastAsia="Georgia" w:hAnsi="Georgia"/>
          <w:color w:val="333333"/>
          <w:sz w:val="22"/>
          <w:szCs w:val="22"/>
        </w:rPr>
        <w:t xml:space="preserve">La primera es la tiranía de la historia: cuando un activo lleva miles de años siendo refugio, la mente colectiva tarda muchísimo en admitir que apareció otro con ventajas decisivas en ciertos escenarios.</w:t>
      </w:r>
    </w:p>
    <w:p>
      <w:pPr>
        <w:spacing w:after="200" w:line="320"/>
        <w:jc w:val="both"/>
      </w:pPr>
      <w:r>
        <w:rPr>
          <w:rFonts w:ascii="Georgia" w:cs="Georgia" w:eastAsia="Georgia" w:hAnsi="Georgia"/>
          <w:color w:val="333333"/>
          <w:sz w:val="22"/>
          <w:szCs w:val="22"/>
        </w:rPr>
        <w:t xml:space="preserve">La segunda es la ceguera de la estabilidad: la mayoría razona las crisis desde condiciones normales —mercados abiertos, compradores disponibles, movilidad razonable— y no imagina bien el momento en que la riqueza física se convierte en carga.</w:t>
      </w:r>
    </w:p>
    <w:p>
      <w:pPr>
        <w:spacing w:after="200" w:line="320"/>
        <w:jc w:val="both"/>
      </w:pPr>
      <w:r>
        <w:rPr>
          <w:rFonts w:ascii="Georgia" w:cs="Georgia" w:eastAsia="Georgia" w:hAnsi="Georgia"/>
          <w:color w:val="333333"/>
          <w:sz w:val="22"/>
          <w:szCs w:val="22"/>
        </w:rPr>
        <w:t xml:space="preserve">La tercera es una definición incompleta de dinero duro: durante mucho tiempo “duro” significó principalmente “difícil de producir”. Pero en un mundo de sanciones, fronteras hostiles y vigilancia financiera, “duro” podría tener que incluir también: difícil de confiscar, fácil de custodiar sin intermediarios y fácil de transportar sin fricción.</w:t>
      </w:r>
    </w:p>
    <w:p>
      <w:pPr>
        <w:pStyle w:val="Heading1"/>
      </w:pPr>
      <w:r>
        <w:rPr>
          <w:rFonts w:ascii="Arial" w:cs="Arial" w:eastAsia="Arial" w:hAnsi="Arial"/>
          <w:b/>
          <w:bCs/>
          <w:color w:val="1B2A4A"/>
          <w:sz w:val="30"/>
          <w:szCs w:val="30"/>
        </w:rPr>
        <w:t xml:space="preserve">6. Volatilidad no es fragilidad</w:t>
      </w:r>
    </w:p>
    <w:p>
      <w:pPr>
        <w:spacing w:after="200" w:line="320"/>
        <w:jc w:val="both"/>
      </w:pPr>
      <w:r>
        <w:rPr>
          <w:rFonts w:ascii="Georgia" w:cs="Georgia" w:eastAsia="Georgia" w:hAnsi="Georgia"/>
          <w:color w:val="333333"/>
          <w:sz w:val="22"/>
          <w:szCs w:val="22"/>
        </w:rPr>
        <w:t xml:space="preserve">Un error común es descartar a Bitcoin porque su precio se mueve mucho. Pero una cosa es volatilidad y otra fragilidad. Un activo frágil es uno que deja de servir cuando el entorno se vuelve hostil. Un activo volátil puede seguir siendo muy antifrágil en términos funcionales.</w:t>
      </w:r>
    </w:p>
    <w:p>
      <w:pPr>
        <w:spacing w:after="200" w:line="320"/>
        <w:jc w:val="both"/>
      </w:pPr>
      <w:r>
        <w:rPr>
          <w:rFonts w:ascii="Georgia" w:cs="Georgia" w:eastAsia="Georgia" w:hAnsi="Georgia"/>
          <w:color w:val="333333"/>
          <w:sz w:val="22"/>
          <w:szCs w:val="22"/>
        </w:rPr>
        <w:t xml:space="preserve">El oro puede tener gran valor teórico y poca utilidad de escape. Bitcoin puede tener alta volatilidad y altísima utilidad bajo coerción. Los mercados tardan en integrar esa diferencia porque están entrenados para pensar en precio, no en funcionalidad extrema.</w:t>
      </w:r>
    </w:p>
    <w:p>
      <w:pPr>
        <w:pStyle w:val="Heading1"/>
      </w:pPr>
      <w:r>
        <w:rPr>
          <w:rFonts w:ascii="Arial" w:cs="Arial" w:eastAsia="Arial" w:hAnsi="Arial"/>
          <w:b/>
          <w:bCs/>
          <w:color w:val="1B2A4A"/>
          <w:sz w:val="30"/>
          <w:szCs w:val="30"/>
        </w:rPr>
        <w:t xml:space="preserve">7. La redefinición del dinero duro</w:t>
      </w:r>
    </w:p>
    <w:p>
      <w:pPr>
        <w:spacing w:after="200" w:line="320"/>
        <w:jc w:val="both"/>
      </w:pPr>
      <w:r>
        <w:rPr>
          <w:rFonts w:ascii="Georgia" w:cs="Georgia" w:eastAsia="Georgia" w:hAnsi="Georgia"/>
          <w:color w:val="333333"/>
          <w:sz w:val="22"/>
          <w:szCs w:val="22"/>
        </w:rPr>
        <w:t xml:space="preserve">Históricamente, “dinero duro” significaba algo difícil de producir. Esa era la gran virtud del oro. Pero en un mundo donde aumentan las sanciones financieras, los controles de capital, la vigilancia económica y las fracturas geopolíticas, el concepto podría estar ampliándose para incluir:</w:t>
      </w:r>
    </w:p>
    <w:p>
      <w:pPr>
        <w:pStyle w:val="ListParagraph"/>
        <w:numPr>
          <w:ilvl w:val="0"/>
          <w:numId w:val="2"/>
        </w:numPr>
        <w:spacing w:after="80" w:line="300"/>
      </w:pPr>
      <w:r>
        <w:rPr>
          <w:rFonts w:ascii="Georgia" w:cs="Georgia" w:eastAsia="Georgia" w:hAnsi="Georgia"/>
          <w:color w:val="333333"/>
          <w:sz w:val="22"/>
          <w:szCs w:val="22"/>
        </w:rPr>
        <w:t xml:space="preserve">Difícil de producir</w:t>
      </w:r>
    </w:p>
    <w:p>
      <w:pPr>
        <w:pStyle w:val="ListParagraph"/>
        <w:numPr>
          <w:ilvl w:val="0"/>
          <w:numId w:val="2"/>
        </w:numPr>
        <w:spacing w:after="80" w:line="300"/>
      </w:pPr>
      <w:r>
        <w:rPr>
          <w:rFonts w:ascii="Georgia" w:cs="Georgia" w:eastAsia="Georgia" w:hAnsi="Georgia"/>
          <w:color w:val="333333"/>
          <w:sz w:val="22"/>
          <w:szCs w:val="22"/>
        </w:rPr>
        <w:t xml:space="preserve">Difícil de confiscar</w:t>
      </w:r>
    </w:p>
    <w:p>
      <w:pPr>
        <w:pStyle w:val="ListParagraph"/>
        <w:numPr>
          <w:ilvl w:val="0"/>
          <w:numId w:val="2"/>
        </w:numPr>
        <w:spacing w:after="80" w:line="300"/>
      </w:pPr>
      <w:r>
        <w:rPr>
          <w:rFonts w:ascii="Georgia" w:cs="Georgia" w:eastAsia="Georgia" w:hAnsi="Georgia"/>
          <w:color w:val="333333"/>
          <w:sz w:val="22"/>
          <w:szCs w:val="22"/>
        </w:rPr>
        <w:t xml:space="preserve">Fácil de autocustodiar</w:t>
      </w:r>
    </w:p>
    <w:p>
      <w:pPr>
        <w:pStyle w:val="ListParagraph"/>
        <w:numPr>
          <w:ilvl w:val="0"/>
          <w:numId w:val="2"/>
        </w:numPr>
        <w:spacing w:after="80" w:line="300"/>
      </w:pPr>
      <w:r>
        <w:rPr>
          <w:rFonts w:ascii="Georgia" w:cs="Georgia" w:eastAsia="Georgia" w:hAnsi="Georgia"/>
          <w:color w:val="333333"/>
          <w:sz w:val="22"/>
          <w:szCs w:val="22"/>
        </w:rPr>
        <w:t xml:space="preserve">Fácil de transportar</w:t>
      </w:r>
    </w:p>
    <w:p>
      <w:pPr>
        <w:pStyle w:val="ListParagraph"/>
        <w:numPr>
          <w:ilvl w:val="0"/>
          <w:numId w:val="2"/>
        </w:numPr>
        <w:spacing w:after="80" w:line="300"/>
      </w:pPr>
      <w:r>
        <w:rPr>
          <w:rFonts w:ascii="Georgia" w:cs="Georgia" w:eastAsia="Georgia" w:hAnsi="Georgia"/>
          <w:color w:val="333333"/>
          <w:sz w:val="22"/>
          <w:szCs w:val="22"/>
        </w:rPr>
        <w:t xml:space="preserve">Líquido globalmente</w:t>
      </w:r>
    </w:p>
    <w:p>
      <w:pPr>
        <w:pStyle w:val="ListParagraph"/>
        <w:numPr>
          <w:ilvl w:val="0"/>
          <w:numId w:val="2"/>
        </w:numPr>
        <w:spacing w:after="80" w:line="300"/>
      </w:pPr>
      <w:r>
        <w:rPr>
          <w:rFonts w:ascii="Georgia" w:cs="Georgia" w:eastAsia="Georgia" w:hAnsi="Georgia"/>
          <w:color w:val="333333"/>
          <w:sz w:val="22"/>
          <w:szCs w:val="22"/>
        </w:rPr>
        <w:t xml:space="preserve">Resistente al control territorial</w:t>
      </w:r>
    </w:p>
    <w:p>
      <w:pPr>
        <w:spacing w:after="200" w:line="320"/>
        <w:jc w:val="both"/>
      </w:pPr>
      <w:r>
        <w:rPr>
          <w:rFonts w:ascii="Georgia" w:cs="Georgia" w:eastAsia="Georgia" w:hAnsi="Georgia"/>
          <w:color w:val="333333"/>
          <w:sz w:val="22"/>
          <w:szCs w:val="22"/>
        </w:rPr>
        <w:t xml:space="preserve">Si esa redefinición se impone, el debate entre oro y Bitcoin deja de ser una simple competencia entre activos y se convierte en una evolución en la función del dinero mismo.</w:t>
      </w:r>
    </w:p>
    <w:p>
      <w:pPr>
        <w:pStyle w:val="Heading1"/>
      </w:pPr>
      <w:r>
        <w:rPr>
          <w:rFonts w:ascii="Arial" w:cs="Arial" w:eastAsia="Arial" w:hAnsi="Arial"/>
          <w:b/>
          <w:bCs/>
          <w:color w:val="1B2A4A"/>
          <w:sz w:val="30"/>
          <w:szCs w:val="30"/>
        </w:rPr>
        <w:t xml:space="preserve">Conclusión</w:t>
      </w:r>
    </w:p>
    <w:p>
      <w:pPr>
        <w:spacing w:after="200" w:line="320"/>
        <w:jc w:val="both"/>
      </w:pPr>
      <w:r>
        <w:rPr>
          <w:rFonts w:ascii="Georgia" w:cs="Georgia" w:eastAsia="Georgia" w:hAnsi="Georgia"/>
          <w:color w:val="333333"/>
          <w:sz w:val="22"/>
          <w:szCs w:val="22"/>
        </w:rPr>
        <w:t xml:space="preserve">El oro fue, durante milenios, la respuesta de la humanidad al riesgo de que el poder degradara el dinero. Bitcoin podría ser la respuesta a un riesgo distinto: que el poder bloquee a la persona.</w:t>
      </w:r>
    </w:p>
    <w:p>
      <w:pPr>
        <w:spacing w:after="200" w:line="320"/>
        <w:jc w:val="both"/>
      </w:pPr>
      <w:r>
        <w:rPr>
          <w:rFonts w:ascii="Georgia" w:cs="Georgia" w:eastAsia="Georgia" w:hAnsi="Georgia"/>
          <w:color w:val="333333"/>
          <w:sz w:val="22"/>
          <w:szCs w:val="22"/>
        </w:rPr>
        <w:t xml:space="preserve">El oro protege el patrimonio de la degradación; Bitcoin puede protegerlo también de la inmovilización. No se trata de que uno reemplace al otro, sino de que cumplen funciones distintas que se revelan en contextos diferentes.</w:t>
      </w:r>
    </w:p>
    <w:p>
      <w:pPr>
        <w:spacing w:after="200" w:line="320"/>
        <w:jc w:val="both"/>
      </w:pPr>
      <w:r>
        <w:rPr>
          <w:rFonts w:ascii="Georgia" w:cs="Georgia" w:eastAsia="Georgia" w:hAnsi="Georgia"/>
          <w:color w:val="333333"/>
          <w:sz w:val="22"/>
          <w:szCs w:val="22"/>
        </w:rPr>
        <w:t xml:space="preserve">Si el siglo XXI avanza hacia más fragmentación geopolítica, más sanciones, más controles y más discontinuidades, entonces Bitcoin no sería un accidente especulativo de una era de liquidez. Sería el activo que llegó antes de que el mundo entendiera del todo para qué servía.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9963B" w:sz="12"/>
              <w:bottom w:val="none" w:sz="0"/>
              <w:right w:val="none" w:sz="0"/>
            </w:tcBorders>
            <w:shd w:fill="F5F5F0" w:val="clear"/>
            <w:tcMar>
              <w:top w:type="dxa" w:w="200"/>
              <w:left w:type="dxa" w:w="300"/>
              <w:bottom w:type="dxa" w:w="200"/>
              <w:right w:type="dxa" w:w="300"/>
            </w:tcMar>
          </w:tcPr>
          <w:p>
            <w:pPr>
              <w:spacing w:after="0"/>
              <w:jc w:val="left"/>
            </w:pPr>
            <w:r>
              <w:rPr>
                <w:rFonts w:ascii="Georgia" w:cs="Georgia" w:eastAsia="Georgia" w:hAnsi="Georgia"/>
                <w:i/>
                <w:iCs/>
                <w:color w:val="1B2A4A"/>
                <w:sz w:val="24"/>
                <w:szCs w:val="24"/>
              </w:rPr>
              <w:t xml:space="preserve">“En la previa de la guerra, el mercado compra refugio.
En la guerra, la gente compra salida.
Y un activo que funciona como salida puede terminar
reescribiendo la jerarquía monetaria.”</w:t>
            </w:r>
          </w:p>
        </w:tc>
      </w:tr>
    </w:tbl>
    <w:p>
      <w:pPr>
        <w:pStyle w:val="Heading2"/>
      </w:pPr>
      <w:r>
        <w:rPr>
          <w:rFonts w:ascii="Arial" w:cs="Arial" w:eastAsia="Arial" w:hAnsi="Arial"/>
          <w:b/>
          <w:bCs/>
          <w:color w:val="1B2A4A"/>
          <w:sz w:val="26"/>
          <w:szCs w:val="26"/>
        </w:rPr>
        <w:t xml:space="preserve">Referencias y fuentes consultadas</w:t>
      </w:r>
    </w:p>
    <w:p>
      <w:pPr>
        <w:pStyle w:val="ListParagraph"/>
        <w:numPr>
          <w:ilvl w:val="0"/>
          <w:numId w:val="2"/>
        </w:numPr>
        <w:spacing w:after="60" w:line="280"/>
      </w:pPr>
      <w:r>
        <w:rPr>
          <w:rFonts w:ascii="Georgia" w:cs="Georgia" w:eastAsia="Georgia" w:hAnsi="Georgia"/>
          <w:i/>
          <w:iCs/>
          <w:color w:val="666666"/>
          <w:sz w:val="20"/>
          <w:szCs w:val="20"/>
        </w:rPr>
        <w:t xml:space="preserve">World Gold Council — “Why gold in 2026? A cross-asset perspective”</w:t>
      </w:r>
    </w:p>
    <w:p>
      <w:pPr>
        <w:pStyle w:val="ListParagraph"/>
        <w:numPr>
          <w:ilvl w:val="0"/>
          <w:numId w:val="2"/>
        </w:numPr>
        <w:spacing w:after="60" w:line="280"/>
      </w:pPr>
      <w:r>
        <w:rPr>
          <w:rFonts w:ascii="Georgia" w:cs="Georgia" w:eastAsia="Georgia" w:hAnsi="Georgia"/>
          <w:i/>
          <w:iCs/>
          <w:color w:val="666666"/>
          <w:sz w:val="20"/>
          <w:szCs w:val="20"/>
        </w:rPr>
        <w:t xml:space="preserve">FMI — “How Rising Geopolitical Risks Weigh on Asset Prices” (abril 2025)</w:t>
      </w:r>
    </w:p>
    <w:p>
      <w:pPr>
        <w:pStyle w:val="ListParagraph"/>
        <w:numPr>
          <w:ilvl w:val="0"/>
          <w:numId w:val="2"/>
        </w:numPr>
        <w:spacing w:after="60" w:line="280"/>
      </w:pPr>
      <w:r>
        <w:rPr>
          <w:rFonts w:ascii="Georgia" w:cs="Georgia" w:eastAsia="Georgia" w:hAnsi="Georgia"/>
          <w:i/>
          <w:iCs/>
          <w:color w:val="666666"/>
          <w:sz w:val="20"/>
          <w:szCs w:val="20"/>
        </w:rPr>
        <w:t xml:space="preserve">ScienceDirect — “Cryptocurrencies as safe havens for geopolitical risk? A quantile analysis approach”</w:t>
      </w:r>
    </w:p>
    <w:p>
      <w:pPr>
        <w:pStyle w:val="ListParagraph"/>
        <w:numPr>
          <w:ilvl w:val="0"/>
          <w:numId w:val="2"/>
        </w:numPr>
        <w:spacing w:after="60" w:line="280"/>
      </w:pPr>
      <w:r>
        <w:rPr>
          <w:rFonts w:ascii="Georgia" w:cs="Georgia" w:eastAsia="Georgia" w:hAnsi="Georgia"/>
          <w:i/>
          <w:iCs/>
          <w:color w:val="666666"/>
          <w:sz w:val="20"/>
          <w:szCs w:val="20"/>
        </w:rPr>
        <w:t xml:space="preserve">Chainalysis — “Crypto Sanctions: 2026 Crypto Crime Report”</w:t>
      </w:r>
    </w:p>
    <w:p>
      <w:pPr>
        <w:pStyle w:val="ListParagraph"/>
        <w:numPr>
          <w:ilvl w:val="0"/>
          <w:numId w:val="2"/>
        </w:numPr>
        <w:spacing w:after="60" w:line="280"/>
      </w:pPr>
      <w:r>
        <w:rPr>
          <w:rFonts w:ascii="Georgia" w:cs="Georgia" w:eastAsia="Georgia" w:hAnsi="Georgia"/>
          <w:i/>
          <w:iCs/>
          <w:color w:val="666666"/>
          <w:sz w:val="20"/>
          <w:szCs w:val="20"/>
        </w:rPr>
        <w:t xml:space="preserve">FMI — “Gold’s Lasting Luster”</w:t>
      </w:r>
    </w:p>
    <w:p>
      <w:pPr>
        <w:pBdr>
          <w:top w:val="single" w:sz="4" w:space="8" w:color="C9963B"/>
        </w:pBdr>
        <w:spacing w:before="600"/>
      </w:pPr>
    </w:p>
    <w:p>
      <w:pPr>
        <w:spacing w:before="200" w:after="40"/>
        <w:jc w:val="right"/>
      </w:pPr>
      <w:r>
        <w:rPr>
          <w:rFonts w:ascii="Arial" w:cs="Arial" w:eastAsia="Arial" w:hAnsi="Arial"/>
          <w:b/>
          <w:color w:val="1B2A4A"/>
          <w:sz w:val="24"/>
          <w:szCs w:val="24"/>
        </w:rPr>
        <w:t xml:space="preserve">Ing. Andrés Recabarren</w:t>
      </w:r>
    </w:p>
    <w:p>
      <w:pPr>
        <w:spacing w:after="40"/>
        <w:jc w:val="right"/>
      </w:pPr>
      <w:r>
        <w:rPr>
          <w:rFonts w:ascii="Georgia" w:cs="Georgia" w:eastAsia="Georgia" w:hAnsi="Georgia"/>
          <w:i/>
          <w:iCs/>
          <w:color w:val="666666"/>
          <w:sz w:val="20"/>
          <w:szCs w:val="20"/>
        </w:rPr>
        <w:t xml:space="preserve">Autor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2" w:space="4"/>
      </w:pBdr>
      <w:jc w:val="right"/>
    </w:pPr>
    <w:r>
      <w:rPr>
        <w:rFonts w:ascii="Arial" w:cs="Arial" w:eastAsia="Arial" w:hAnsi="Arial"/>
        <w:color w:val="666666"/>
        <w:sz w:val="16"/>
        <w:szCs w:val="16"/>
      </w:rPr>
      <w:t xml:space="preserve">Página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63B" w:sz="2" w:space="4"/>
      </w:pBdr>
      <w:spacing w:after="200"/>
    </w:pPr>
    <w:r>
      <w:rPr>
        <w:rFonts w:ascii="Arial" w:cs="Arial" w:eastAsia="Arial" w:hAnsi="Arial"/>
        <w:i/>
        <w:iCs/>
        <w:color w:val="666666"/>
        <w:sz w:val="16"/>
        <w:szCs w:val="16"/>
      </w:rPr>
      <w:t xml:space="preserve">Nota Informativa  |  Oro vs. Bitcoin en Contextos de Guerra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0"/>
      <w:szCs w:val="30"/>
    </w:rPr>
  </w:style>
  <w:style w:type="paragraph" w:styleId="Heading2">
    <w:name w:val="Heading 2"/>
    <w:basedOn w:val="Normal"/>
    <w:next w:val="Normal"/>
    <w:qFormat/>
    <w:pPr>
      <w:spacing w:before="280" w:after="160"/>
      <w:outlineLvl w:val="1"/>
    </w:pPr>
    <w:rPr>
      <w:rFonts w:ascii="Arial" w:cs="Arial" w:eastAsia="Arial" w:hAnsi="Arial"/>
      <w:b/>
      <w:bCs/>
      <w:color w:val="1B2A4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C996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2026-03-10T00:12:15.516Z</dcterms:created>
  <dcterms:modified xsi:type="dcterms:W3CDTF">2026-03-10T00:12:15.516Z</dcterms:modified>
</cp:coreProperties>
</file>

<file path=docProps/custom.xml><?xml version="1.0" encoding="utf-8"?>
<Properties xmlns="http://schemas.openxmlformats.org/officeDocument/2006/custom-properties" xmlns:vt="http://schemas.openxmlformats.org/officeDocument/2006/docPropsVTypes"/>
</file>