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1C385" w14:textId="77777777" w:rsidR="00915EF5" w:rsidRPr="00915EF5" w:rsidRDefault="00915EF5" w:rsidP="00915EF5">
      <w:pPr>
        <w:spacing w:after="100" w:afterAutospacing="1" w:line="240" w:lineRule="auto"/>
        <w:outlineLvl w:val="0"/>
        <w:rPr>
          <w:rFonts w:ascii="Arial" w:eastAsia="Times New Roman" w:hAnsi="Arial" w:cs="Arial"/>
          <w:b/>
          <w:bCs/>
          <w:kern w:val="36"/>
          <w:sz w:val="48"/>
          <w:szCs w:val="48"/>
          <w:lang w:eastAsia="es-CO"/>
          <w14:ligatures w14:val="none"/>
        </w:rPr>
      </w:pPr>
      <w:r w:rsidRPr="00915EF5">
        <w:rPr>
          <w:rFonts w:ascii="Arial" w:eastAsia="Times New Roman" w:hAnsi="Arial" w:cs="Arial"/>
          <w:b/>
          <w:bCs/>
          <w:kern w:val="36"/>
          <w:sz w:val="48"/>
          <w:szCs w:val="48"/>
          <w:lang w:eastAsia="es-CO"/>
          <w14:ligatures w14:val="none"/>
        </w:rPr>
        <w:t>FORMULACIÓN DEL PROBLEMA ORIENTADOR Y MARCO REGULATORIO: SISTEMA INTELIGENTE PARA LA REUTILIZACIÓN Y SEGUNDA VIDA DE BATERÍAS DE LITIO EN APLICACIONES ESTACIONARIAS RURALES</w:t>
      </w:r>
    </w:p>
    <w:p w14:paraId="7D369051" w14:textId="77777777" w:rsidR="00915EF5" w:rsidRPr="00915EF5" w:rsidRDefault="00915EF5" w:rsidP="00915EF5">
      <w:pPr>
        <w:spacing w:after="100" w:afterAutospacing="1" w:line="240" w:lineRule="auto"/>
        <w:outlineLvl w:val="1"/>
        <w:rPr>
          <w:rFonts w:ascii="Arial" w:eastAsia="Times New Roman" w:hAnsi="Arial" w:cs="Arial"/>
          <w:b/>
          <w:bCs/>
          <w:kern w:val="0"/>
          <w:sz w:val="36"/>
          <w:szCs w:val="36"/>
          <w:lang w:eastAsia="es-CO"/>
          <w14:ligatures w14:val="none"/>
        </w:rPr>
      </w:pPr>
      <w:r w:rsidRPr="00915EF5">
        <w:rPr>
          <w:rFonts w:ascii="Arial" w:eastAsia="Times New Roman" w:hAnsi="Arial" w:cs="Arial"/>
          <w:b/>
          <w:bCs/>
          <w:kern w:val="0"/>
          <w:sz w:val="36"/>
          <w:szCs w:val="36"/>
          <w:lang w:eastAsia="es-CO"/>
          <w14:ligatures w14:val="none"/>
        </w:rPr>
        <w:t>1. TÍTULO ACADÉMICO DEL PROYECTO</w:t>
      </w:r>
    </w:p>
    <w:p w14:paraId="314B6CD0"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Descarbonización y Segunda Vida Energética: Modelo Diagnóstico basado en Inteligencia Artificial para la Reutilización Estacionaria de Baterías de Ion-Litio en Comunidades Rurales Vulnerables de Colombia</w:t>
      </w:r>
    </w:p>
    <w:p w14:paraId="359A24EE" w14:textId="77777777" w:rsidR="00915EF5" w:rsidRPr="00915EF5" w:rsidRDefault="00915EF5" w:rsidP="00915EF5">
      <w:pPr>
        <w:spacing w:after="100" w:afterAutospacing="1" w:line="240" w:lineRule="auto"/>
        <w:outlineLvl w:val="1"/>
        <w:rPr>
          <w:rFonts w:ascii="Arial" w:eastAsia="Times New Roman" w:hAnsi="Arial" w:cs="Arial"/>
          <w:b/>
          <w:bCs/>
          <w:kern w:val="0"/>
          <w:sz w:val="36"/>
          <w:szCs w:val="36"/>
          <w:lang w:eastAsia="es-CO"/>
          <w14:ligatures w14:val="none"/>
        </w:rPr>
      </w:pPr>
      <w:r w:rsidRPr="00915EF5">
        <w:rPr>
          <w:rFonts w:ascii="Arial" w:eastAsia="Times New Roman" w:hAnsi="Arial" w:cs="Arial"/>
          <w:b/>
          <w:bCs/>
          <w:kern w:val="0"/>
          <w:sz w:val="36"/>
          <w:szCs w:val="36"/>
          <w:lang w:eastAsia="es-CO"/>
          <w14:ligatures w14:val="none"/>
        </w:rPr>
        <w:t>2. MARCO CONTEXTUAL Y MAPA TERRITORIAL ARGUMENTADO</w:t>
      </w:r>
    </w:p>
    <w:p w14:paraId="75878F3B"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El modelo de transición energética global ha acelerado la penetración de la movilidad eléctrica y la adopción de tecnologías de almacenamiento. No obstante, esta transición plantea un reto técnico, socioambiental y de economía circular: la gestión del fin de vida útil de las baterías de ion-litio provenientes de vehículos eléctricos (EV) y sistemas solares fotovoltaicos. Cuando una batería de EV alcanza un Estado de Salud (</w:t>
      </w:r>
      <w:proofErr w:type="spellStart"/>
      <w:r w:rsidRPr="00915EF5">
        <w:rPr>
          <w:rFonts w:ascii="Arial" w:eastAsia="Times New Roman" w:hAnsi="Arial" w:cs="Arial"/>
          <w:i/>
          <w:iCs/>
          <w:kern w:val="0"/>
          <w:sz w:val="24"/>
          <w:szCs w:val="24"/>
          <w:lang w:eastAsia="es-CO"/>
          <w14:ligatures w14:val="none"/>
        </w:rPr>
        <w:t>State</w:t>
      </w:r>
      <w:proofErr w:type="spellEnd"/>
      <w:r w:rsidRPr="00915EF5">
        <w:rPr>
          <w:rFonts w:ascii="Arial" w:eastAsia="Times New Roman" w:hAnsi="Arial" w:cs="Arial"/>
          <w:i/>
          <w:iCs/>
          <w:kern w:val="0"/>
          <w:sz w:val="24"/>
          <w:szCs w:val="24"/>
          <w:lang w:eastAsia="es-CO"/>
          <w14:ligatures w14:val="none"/>
        </w:rPr>
        <w:t xml:space="preserve"> </w:t>
      </w:r>
      <w:proofErr w:type="spellStart"/>
      <w:r w:rsidRPr="00915EF5">
        <w:rPr>
          <w:rFonts w:ascii="Arial" w:eastAsia="Times New Roman" w:hAnsi="Arial" w:cs="Arial"/>
          <w:i/>
          <w:iCs/>
          <w:kern w:val="0"/>
          <w:sz w:val="24"/>
          <w:szCs w:val="24"/>
          <w:lang w:eastAsia="es-CO"/>
          <w14:ligatures w14:val="none"/>
        </w:rPr>
        <w:t>of</w:t>
      </w:r>
      <w:proofErr w:type="spellEnd"/>
      <w:r w:rsidRPr="00915EF5">
        <w:rPr>
          <w:rFonts w:ascii="Arial" w:eastAsia="Times New Roman" w:hAnsi="Arial" w:cs="Arial"/>
          <w:i/>
          <w:iCs/>
          <w:kern w:val="0"/>
          <w:sz w:val="24"/>
          <w:szCs w:val="24"/>
          <w:lang w:eastAsia="es-CO"/>
          <w14:ligatures w14:val="none"/>
        </w:rPr>
        <w:t xml:space="preserve"> </w:t>
      </w:r>
      <w:proofErr w:type="spellStart"/>
      <w:r w:rsidRPr="00915EF5">
        <w:rPr>
          <w:rFonts w:ascii="Arial" w:eastAsia="Times New Roman" w:hAnsi="Arial" w:cs="Arial"/>
          <w:i/>
          <w:iCs/>
          <w:kern w:val="0"/>
          <w:sz w:val="24"/>
          <w:szCs w:val="24"/>
          <w:lang w:eastAsia="es-CO"/>
          <w14:ligatures w14:val="none"/>
        </w:rPr>
        <w:t>Health</w:t>
      </w:r>
      <w:proofErr w:type="spellEnd"/>
      <w:r w:rsidRPr="00915EF5">
        <w:rPr>
          <w:rFonts w:ascii="Arial" w:eastAsia="Times New Roman" w:hAnsi="Arial" w:cs="Arial"/>
          <w:kern w:val="0"/>
          <w:sz w:val="24"/>
          <w:szCs w:val="24"/>
          <w:lang w:eastAsia="es-CO"/>
          <w14:ligatures w14:val="none"/>
        </w:rPr>
        <w:t xml:space="preserve"> - </w:t>
      </w:r>
      <w:proofErr w:type="spellStart"/>
      <w:r w:rsidRPr="00915EF5">
        <w:rPr>
          <w:rFonts w:ascii="Arial" w:eastAsia="Times New Roman" w:hAnsi="Arial" w:cs="Arial"/>
          <w:kern w:val="0"/>
          <w:sz w:val="24"/>
          <w:szCs w:val="24"/>
          <w:lang w:eastAsia="es-CO"/>
          <w14:ligatures w14:val="none"/>
        </w:rPr>
        <w:t>SoH</w:t>
      </w:r>
      <w:proofErr w:type="spellEnd"/>
      <w:r w:rsidRPr="00915EF5">
        <w:rPr>
          <w:rFonts w:ascii="Arial" w:eastAsia="Times New Roman" w:hAnsi="Arial" w:cs="Arial"/>
          <w:kern w:val="0"/>
          <w:sz w:val="24"/>
          <w:szCs w:val="24"/>
          <w:lang w:eastAsia="es-CO"/>
          <w14:ligatures w14:val="none"/>
        </w:rPr>
        <w:t>) del 70% al 80%, deja de cumplir con las exigencias de densidad de potencia y autonomía requeridas para la tracción automotriz; sin embargo, conserva un volumen sustancial de capacidad de almacenamiento apto para aplicaciones estacionarias de menor exigencia dinámica.</w:t>
      </w:r>
    </w:p>
    <w:p w14:paraId="6C8EC34A" w14:textId="77777777" w:rsidR="00915EF5" w:rsidRPr="00915EF5" w:rsidRDefault="00915EF5" w:rsidP="00915EF5">
      <w:pPr>
        <w:spacing w:after="100" w:afterAutospacing="1" w:line="240" w:lineRule="auto"/>
        <w:outlineLvl w:val="2"/>
        <w:rPr>
          <w:rFonts w:ascii="Arial" w:eastAsia="Times New Roman" w:hAnsi="Arial" w:cs="Arial"/>
          <w:b/>
          <w:bCs/>
          <w:kern w:val="0"/>
          <w:sz w:val="27"/>
          <w:szCs w:val="27"/>
          <w:lang w:eastAsia="es-CO"/>
          <w14:ligatures w14:val="none"/>
        </w:rPr>
      </w:pPr>
      <w:r w:rsidRPr="00915EF5">
        <w:rPr>
          <w:rFonts w:ascii="Arial" w:eastAsia="Times New Roman" w:hAnsi="Arial" w:cs="Arial"/>
          <w:b/>
          <w:bCs/>
          <w:kern w:val="0"/>
          <w:sz w:val="27"/>
          <w:szCs w:val="27"/>
          <w:lang w:eastAsia="es-CO"/>
          <w14:ligatures w14:val="none"/>
        </w:rPr>
        <w:t>Diagnóstico Socio-Espacial y Energético Territorial</w:t>
      </w:r>
    </w:p>
    <w:p w14:paraId="3BE6EDA3"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En el contexto territorial colombiano, coexisten dos realidades energéticas asimétricas:</w:t>
      </w:r>
    </w:p>
    <w:p w14:paraId="25375484" w14:textId="77777777" w:rsidR="00915EF5" w:rsidRPr="00915EF5" w:rsidRDefault="00915EF5" w:rsidP="00915EF5">
      <w:pPr>
        <w:numPr>
          <w:ilvl w:val="0"/>
          <w:numId w:val="1"/>
        </w:num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Centros Urbanos y Corredores de Movilidad Eléctrica:</w:t>
      </w:r>
      <w:r w:rsidRPr="00915EF5">
        <w:rPr>
          <w:rFonts w:ascii="Arial" w:eastAsia="Times New Roman" w:hAnsi="Arial" w:cs="Arial"/>
          <w:kern w:val="0"/>
          <w:sz w:val="24"/>
          <w:szCs w:val="24"/>
          <w:lang w:eastAsia="es-CO"/>
          <w14:ligatures w14:val="none"/>
        </w:rPr>
        <w:t xml:space="preserve"> Las principales áreas metropolitanas experimentan un incremento continuo en la flota de vehículos eléctricos e híbridos. Esta tendencia proyecta una acumulación </w:t>
      </w:r>
      <w:r w:rsidRPr="00915EF5">
        <w:rPr>
          <w:rFonts w:ascii="Arial" w:eastAsia="Times New Roman" w:hAnsi="Arial" w:cs="Arial"/>
          <w:kern w:val="0"/>
          <w:sz w:val="24"/>
          <w:szCs w:val="24"/>
          <w:lang w:eastAsia="es-CO"/>
          <w14:ligatures w14:val="none"/>
        </w:rPr>
        <w:lastRenderedPageBreak/>
        <w:t>crítica de pasivos ambientales en el mediano plazo debido a la falta de infraestructura especializada para la disposición, diagnóstico y reciclaje químico de celdas de litio, amenazando con saturar las cadenas de gestión de residuos de aparatos eléctricos y electrónicos (RAEE).</w:t>
      </w:r>
    </w:p>
    <w:p w14:paraId="56B21EAC" w14:textId="77777777" w:rsidR="00915EF5" w:rsidRPr="00915EF5" w:rsidRDefault="00915EF5" w:rsidP="00915EF5">
      <w:pPr>
        <w:numPr>
          <w:ilvl w:val="0"/>
          <w:numId w:val="1"/>
        </w:num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Zonas No Interconectadas (ZNI) y Fincas / Escuelas Rurales:</w:t>
      </w:r>
      <w:r w:rsidRPr="00915EF5">
        <w:rPr>
          <w:rFonts w:ascii="Arial" w:eastAsia="Times New Roman" w:hAnsi="Arial" w:cs="Arial"/>
          <w:kern w:val="0"/>
          <w:sz w:val="24"/>
          <w:szCs w:val="24"/>
          <w:lang w:eastAsia="es-CO"/>
          <w14:ligatures w14:val="none"/>
        </w:rPr>
        <w:t xml:space="preserve"> Las comunidades rurales alejadas de la red eléctrica nacional sufren intermitencia severa o ausencia total de fluido eléctrico. La electrificación rural mediante energía solar fotovoltaica se ve limitada por los elevados costos iniciales de los sistemas de almacenamiento electroquímico comerciales (</w:t>
      </w:r>
      <w:r w:rsidRPr="00915EF5">
        <w:rPr>
          <w:rFonts w:ascii="Arial" w:eastAsia="Times New Roman" w:hAnsi="Arial" w:cs="Arial"/>
          <w:i/>
          <w:iCs/>
          <w:kern w:val="0"/>
          <w:sz w:val="24"/>
          <w:szCs w:val="24"/>
          <w:lang w:eastAsia="es-CO"/>
          <w14:ligatures w14:val="none"/>
        </w:rPr>
        <w:t>BESS</w:t>
      </w:r>
      <w:r w:rsidRPr="00915EF5">
        <w:rPr>
          <w:rFonts w:ascii="Arial" w:eastAsia="Times New Roman" w:hAnsi="Arial" w:cs="Arial"/>
          <w:kern w:val="0"/>
          <w:sz w:val="24"/>
          <w:szCs w:val="24"/>
          <w:lang w:eastAsia="es-CO"/>
          <w14:ligatures w14:val="none"/>
        </w:rPr>
        <w:t>). Las escuelas rurales y pequeñas unidades de producción agropecuaria terminan dependiendo de plantas de generación diésel —de costo elevado y alta huella de carbono— o de bancos de baterías de plomo-ácido, los cuales presentan una vida útil reducida y un alto impacto contaminante.</w:t>
      </w:r>
    </w:p>
    <w:p w14:paraId="0A4F9AB5" w14:textId="77777777" w:rsidR="00915EF5" w:rsidRPr="00915EF5" w:rsidRDefault="00915EF5" w:rsidP="00915EF5">
      <w:pPr>
        <w:spacing w:after="100" w:afterAutospacing="1" w:line="240" w:lineRule="auto"/>
        <w:outlineLvl w:val="2"/>
        <w:rPr>
          <w:rFonts w:ascii="Arial" w:eastAsia="Times New Roman" w:hAnsi="Arial" w:cs="Arial"/>
          <w:b/>
          <w:bCs/>
          <w:kern w:val="0"/>
          <w:sz w:val="27"/>
          <w:szCs w:val="27"/>
          <w:lang w:eastAsia="es-CO"/>
          <w14:ligatures w14:val="none"/>
        </w:rPr>
      </w:pPr>
      <w:r w:rsidRPr="00915EF5">
        <w:rPr>
          <w:rFonts w:ascii="Arial" w:eastAsia="Times New Roman" w:hAnsi="Arial" w:cs="Arial"/>
          <w:b/>
          <w:bCs/>
          <w:kern w:val="0"/>
          <w:sz w:val="27"/>
          <w:szCs w:val="27"/>
          <w:lang w:eastAsia="es-CO"/>
          <w14:ligatures w14:val="none"/>
        </w:rPr>
        <w:t>Argumentación Territorial para el Reacondicionamiento</w:t>
      </w:r>
    </w:p>
    <w:p w14:paraId="2AEECCA6"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 xml:space="preserve">La reincorporación de celdas de litio mediante un modelo de </w:t>
      </w:r>
      <w:r w:rsidRPr="00915EF5">
        <w:rPr>
          <w:rFonts w:ascii="Arial" w:eastAsia="Times New Roman" w:hAnsi="Arial" w:cs="Arial"/>
          <w:b/>
          <w:bCs/>
          <w:kern w:val="0"/>
          <w:sz w:val="24"/>
          <w:szCs w:val="24"/>
          <w:lang w:eastAsia="es-CO"/>
          <w14:ligatures w14:val="none"/>
        </w:rPr>
        <w:t>Segunda Vida</w:t>
      </w:r>
      <w:r w:rsidRPr="00915EF5">
        <w:rPr>
          <w:rFonts w:ascii="Arial" w:eastAsia="Times New Roman" w:hAnsi="Arial" w:cs="Arial"/>
          <w:kern w:val="0"/>
          <w:sz w:val="24"/>
          <w:szCs w:val="24"/>
          <w:lang w:eastAsia="es-CO"/>
          <w14:ligatures w14:val="none"/>
        </w:rPr>
        <w:t xml:space="preserve"> constituye una solución de justicia energética territorial. Un módulo de baterías reacondicionado, cuyo </w:t>
      </w:r>
      <w:proofErr w:type="spellStart"/>
      <w:r w:rsidRPr="00915EF5">
        <w:rPr>
          <w:rFonts w:ascii="Arial" w:eastAsia="Times New Roman" w:hAnsi="Arial" w:cs="Arial"/>
          <w:kern w:val="0"/>
          <w:sz w:val="24"/>
          <w:szCs w:val="24"/>
          <w:lang w:eastAsia="es-CO"/>
          <w14:ligatures w14:val="none"/>
        </w:rPr>
        <w:t>SoH</w:t>
      </w:r>
      <w:proofErr w:type="spellEnd"/>
      <w:r w:rsidRPr="00915EF5">
        <w:rPr>
          <w:rFonts w:ascii="Arial" w:eastAsia="Times New Roman" w:hAnsi="Arial" w:cs="Arial"/>
          <w:kern w:val="0"/>
          <w:sz w:val="24"/>
          <w:szCs w:val="24"/>
          <w:lang w:eastAsia="es-CO"/>
          <w14:ligatures w14:val="none"/>
        </w:rPr>
        <w:t xml:space="preserve"> haya sido diagnosticado con precisión mediante modelos de Inteligencia Artificial basados en curvas de descarga rápidas, permite suministrar respaldo energético confiable a infraestructura crítica rural (aulas digitales, refrigeración de vacunas y alimentos, sistemas de bombeo de agua e iluminación).</w:t>
      </w:r>
    </w:p>
    <w:p w14:paraId="262DCD4E"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Este enfoque mitiga directamente la huella de carbono asociada a la extracción primaria de litio, cobalto y níquel, al tiempo que reduce el costo de capital (</w:t>
      </w:r>
      <w:r w:rsidRPr="00915EF5">
        <w:rPr>
          <w:rFonts w:ascii="Arial" w:eastAsia="Times New Roman" w:hAnsi="Arial" w:cs="Arial"/>
          <w:i/>
          <w:iCs/>
          <w:kern w:val="0"/>
          <w:sz w:val="24"/>
          <w:szCs w:val="24"/>
          <w:lang w:eastAsia="es-CO"/>
          <w14:ligatures w14:val="none"/>
        </w:rPr>
        <w:t>CAPEX</w:t>
      </w:r>
      <w:r w:rsidRPr="00915EF5">
        <w:rPr>
          <w:rFonts w:ascii="Arial" w:eastAsia="Times New Roman" w:hAnsi="Arial" w:cs="Arial"/>
          <w:kern w:val="0"/>
          <w:sz w:val="24"/>
          <w:szCs w:val="24"/>
          <w:lang w:eastAsia="es-CO"/>
          <w14:ligatures w14:val="none"/>
        </w:rPr>
        <w:t xml:space="preserve">) en proyectos de electrificación rural </w:t>
      </w:r>
      <w:proofErr w:type="spellStart"/>
      <w:r w:rsidRPr="00915EF5">
        <w:rPr>
          <w:rFonts w:ascii="Arial" w:eastAsia="Times New Roman" w:hAnsi="Arial" w:cs="Arial"/>
          <w:kern w:val="0"/>
          <w:sz w:val="24"/>
          <w:szCs w:val="24"/>
          <w:lang w:eastAsia="es-CO"/>
          <w14:ligatures w14:val="none"/>
        </w:rPr>
        <w:t>decentralizada</w:t>
      </w:r>
      <w:proofErr w:type="spellEnd"/>
      <w:r w:rsidRPr="00915EF5">
        <w:rPr>
          <w:rFonts w:ascii="Arial" w:eastAsia="Times New Roman" w:hAnsi="Arial" w:cs="Arial"/>
          <w:kern w:val="0"/>
          <w:sz w:val="24"/>
          <w:szCs w:val="24"/>
          <w:lang w:eastAsia="es-CO"/>
          <w14:ligatures w14:val="none"/>
        </w:rPr>
        <w:t>, articulando el desarrollo tecnológico de la Industria 5.0 con las necesidades prioritarias del campo colombiano.</w:t>
      </w:r>
    </w:p>
    <w:p w14:paraId="4629EA60" w14:textId="77777777" w:rsidR="00915EF5" w:rsidRPr="00915EF5" w:rsidRDefault="00915EF5" w:rsidP="00915EF5">
      <w:pPr>
        <w:spacing w:after="100" w:afterAutospacing="1" w:line="240" w:lineRule="auto"/>
        <w:outlineLvl w:val="1"/>
        <w:rPr>
          <w:rFonts w:ascii="Arial" w:eastAsia="Times New Roman" w:hAnsi="Arial" w:cs="Arial"/>
          <w:b/>
          <w:bCs/>
          <w:kern w:val="0"/>
          <w:sz w:val="36"/>
          <w:szCs w:val="36"/>
          <w:lang w:eastAsia="es-CO"/>
          <w14:ligatures w14:val="none"/>
        </w:rPr>
      </w:pPr>
      <w:r w:rsidRPr="00915EF5">
        <w:rPr>
          <w:rFonts w:ascii="Arial" w:eastAsia="Times New Roman" w:hAnsi="Arial" w:cs="Arial"/>
          <w:b/>
          <w:bCs/>
          <w:kern w:val="0"/>
          <w:sz w:val="36"/>
          <w:szCs w:val="36"/>
          <w:lang w:eastAsia="es-CO"/>
          <w14:ligatures w14:val="none"/>
        </w:rPr>
        <w:t>3. MATRIZ NORMATIVA Y MARCO REGULATORIO ARTICULADO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842"/>
        <w:gridCol w:w="4012"/>
      </w:tblGrid>
      <w:tr w:rsidR="00915EF5" w:rsidRPr="00915EF5" w14:paraId="72118A4C" w14:textId="77777777" w:rsidTr="00915EF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131D3"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Norma / Documento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15A66"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Eje Regulatorio / Objetivo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5C05C"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Aplicación al Proyecto de Segunda Vida e IA</w:t>
            </w:r>
          </w:p>
        </w:tc>
      </w:tr>
      <w:tr w:rsidR="00915EF5" w:rsidRPr="00915EF5" w14:paraId="7CF30688" w14:textId="77777777" w:rsidTr="00915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36FA3"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CONPES 4075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E7498"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Política Nacional de Transición Energética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B9D6C"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Establece las directrices para la descarbonización, la eficiencia energética y la adopción de tecnologías avanzadas de almacenamiento, promoviendo modelos de economía circular en la cadena de valor energética.</w:t>
            </w:r>
          </w:p>
        </w:tc>
      </w:tr>
      <w:tr w:rsidR="00915EF5" w:rsidRPr="00915EF5" w14:paraId="062A2663" w14:textId="77777777" w:rsidTr="00915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E887E"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lastRenderedPageBreak/>
              <w:t>Ley 1715 de 2014 / Ley 2099 de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711A1"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Integración de Fuentes No Convencionales de Energía Renovable (FNCER) y Almacenamiento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C2EBE"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Define el marco de incentivos tributarios y arancelarios para sistemas de almacenamiento de energía y promueve el acceso a la energía en Zonas No Interconectadas (ZNI).</w:t>
            </w:r>
          </w:p>
        </w:tc>
      </w:tr>
      <w:tr w:rsidR="00915EF5" w:rsidRPr="00915EF5" w14:paraId="0B2E3DB7" w14:textId="77777777" w:rsidTr="00915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F6515"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Ley 2169 de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5842F"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Carbono Neutralidad y Resiliencia Climática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CE9B2"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Prioriza la reducción de emisiones de GEI al 51% para 2030, respaldando estrategias de reutilización que eviten la huella de carbono asociada a la fabricación de nuevas baterías.</w:t>
            </w:r>
          </w:p>
        </w:tc>
      </w:tr>
      <w:tr w:rsidR="00915EF5" w:rsidRPr="00915EF5" w14:paraId="6E6BC915" w14:textId="77777777" w:rsidTr="00915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4643"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Ley 1964 de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E3555"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Promoción del Uso de Vehículos Eléctricos en Colombia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0D22D"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 xml:space="preserve">Marco legal para el crecimiento de la movilidad eléctrica que genera la oferta futura de baterías de descarte aptas para </w:t>
            </w:r>
            <w:proofErr w:type="spellStart"/>
            <w:r w:rsidRPr="00915EF5">
              <w:rPr>
                <w:rFonts w:ascii="Arial" w:eastAsia="Times New Roman" w:hAnsi="Arial" w:cs="Arial"/>
                <w:kern w:val="0"/>
                <w:sz w:val="24"/>
                <w:szCs w:val="24"/>
                <w:lang w:eastAsia="es-CO"/>
                <w14:ligatures w14:val="none"/>
              </w:rPr>
              <w:t>reuso</w:t>
            </w:r>
            <w:proofErr w:type="spellEnd"/>
            <w:r w:rsidRPr="00915EF5">
              <w:rPr>
                <w:rFonts w:ascii="Arial" w:eastAsia="Times New Roman" w:hAnsi="Arial" w:cs="Arial"/>
                <w:kern w:val="0"/>
                <w:sz w:val="24"/>
                <w:szCs w:val="24"/>
                <w:lang w:eastAsia="es-CO"/>
                <w14:ligatures w14:val="none"/>
              </w:rPr>
              <w:t xml:space="preserve"> en segunda vida.</w:t>
            </w:r>
          </w:p>
        </w:tc>
      </w:tr>
      <w:tr w:rsidR="00915EF5" w:rsidRPr="00915EF5" w14:paraId="4E35DD29" w14:textId="77777777" w:rsidTr="00915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E286F"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PIGCCME 2050 (Res. 40350 de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20344"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Plan Integral de Gestión del Cambio Climático sector Minero-Energético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4127C"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Prioriza la innovación tecnológica y la economía circular como vectores para la mitigación de emisiones e impactos ambientales en el sector energético.</w:t>
            </w:r>
          </w:p>
        </w:tc>
      </w:tr>
      <w:tr w:rsidR="00915EF5" w:rsidRPr="00915EF5" w14:paraId="72F08E7E" w14:textId="77777777" w:rsidTr="00915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25DFE"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Política de RAEE (Ley 1672 de 2013)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C828F"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Gestión Integral de Residuos de Aparatos Eléctricos y Electrónicos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98504" w14:textId="77777777" w:rsidR="00915EF5" w:rsidRPr="00915EF5" w:rsidRDefault="00915EF5" w:rsidP="00915EF5">
            <w:pPr>
              <w:spacing w:after="0"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Regula la responsabilidad extendida del productor y establece los criterios para la recuperación, acondicionamiento y revalorización de componentes electroquímicos.</w:t>
            </w:r>
          </w:p>
        </w:tc>
      </w:tr>
    </w:tbl>
    <w:p w14:paraId="11975FC7" w14:textId="77777777" w:rsidR="00915EF5" w:rsidRPr="00915EF5" w:rsidRDefault="00915EF5" w:rsidP="00915EF5">
      <w:pPr>
        <w:spacing w:after="100" w:afterAutospacing="1" w:line="240" w:lineRule="auto"/>
        <w:outlineLvl w:val="2"/>
        <w:rPr>
          <w:rFonts w:ascii="Arial" w:eastAsia="Times New Roman" w:hAnsi="Arial" w:cs="Arial"/>
          <w:b/>
          <w:bCs/>
          <w:kern w:val="0"/>
          <w:sz w:val="27"/>
          <w:szCs w:val="27"/>
          <w:lang w:eastAsia="es-CO"/>
          <w14:ligatures w14:val="none"/>
        </w:rPr>
      </w:pPr>
      <w:r w:rsidRPr="00915EF5">
        <w:rPr>
          <w:rFonts w:ascii="Arial" w:eastAsia="Times New Roman" w:hAnsi="Arial" w:cs="Arial"/>
          <w:b/>
          <w:bCs/>
          <w:kern w:val="0"/>
          <w:sz w:val="27"/>
          <w:szCs w:val="27"/>
          <w:lang w:eastAsia="es-CO"/>
          <w14:ligatures w14:val="none"/>
        </w:rPr>
        <w:t>Análisis Discursivo Regulatorio</w:t>
      </w:r>
    </w:p>
    <w:p w14:paraId="77420D43"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 xml:space="preserve">La articulación entre el marco normativo ambiental y la regulación energética colombiana muestra una apertura hacia la adopción de modelos de economía circular energética. La </w:t>
      </w:r>
      <w:r w:rsidRPr="00915EF5">
        <w:rPr>
          <w:rFonts w:ascii="Arial" w:eastAsia="Times New Roman" w:hAnsi="Arial" w:cs="Arial"/>
          <w:b/>
          <w:bCs/>
          <w:kern w:val="0"/>
          <w:sz w:val="24"/>
          <w:szCs w:val="24"/>
          <w:lang w:eastAsia="es-CO"/>
          <w14:ligatures w14:val="none"/>
        </w:rPr>
        <w:t>Ley 2099 de 2021</w:t>
      </w:r>
      <w:r w:rsidRPr="00915EF5">
        <w:rPr>
          <w:rFonts w:ascii="Arial" w:eastAsia="Times New Roman" w:hAnsi="Arial" w:cs="Arial"/>
          <w:kern w:val="0"/>
          <w:sz w:val="24"/>
          <w:szCs w:val="24"/>
          <w:lang w:eastAsia="es-CO"/>
          <w14:ligatures w14:val="none"/>
        </w:rPr>
        <w:t xml:space="preserve"> y el </w:t>
      </w:r>
      <w:r w:rsidRPr="00915EF5">
        <w:rPr>
          <w:rFonts w:ascii="Arial" w:eastAsia="Times New Roman" w:hAnsi="Arial" w:cs="Arial"/>
          <w:b/>
          <w:bCs/>
          <w:kern w:val="0"/>
          <w:sz w:val="24"/>
          <w:szCs w:val="24"/>
          <w:lang w:eastAsia="es-CO"/>
          <w14:ligatures w14:val="none"/>
        </w:rPr>
        <w:t>CONPES 4075 de 2022</w:t>
      </w:r>
      <w:r w:rsidRPr="00915EF5">
        <w:rPr>
          <w:rFonts w:ascii="Arial" w:eastAsia="Times New Roman" w:hAnsi="Arial" w:cs="Arial"/>
          <w:kern w:val="0"/>
          <w:sz w:val="24"/>
          <w:szCs w:val="24"/>
          <w:lang w:eastAsia="es-CO"/>
          <w14:ligatures w14:val="none"/>
        </w:rPr>
        <w:t xml:space="preserve"> habilitan el desarrollo de sistemas de almacenamiento con baterías como componentes clave de la flexibilidad de la red e insumos para el desarrollo rural.</w:t>
      </w:r>
    </w:p>
    <w:p w14:paraId="3C03B77B"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lastRenderedPageBreak/>
        <w:t xml:space="preserve">No obstante, persisten vacíos técnicos específicos vinculados a los protocolos de homologación, certificación de seguridad técnica (prevención de desbocamiento térmico o </w:t>
      </w:r>
      <w:proofErr w:type="spellStart"/>
      <w:r w:rsidRPr="00915EF5">
        <w:rPr>
          <w:rFonts w:ascii="Arial" w:eastAsia="Times New Roman" w:hAnsi="Arial" w:cs="Arial"/>
          <w:i/>
          <w:iCs/>
          <w:kern w:val="0"/>
          <w:sz w:val="24"/>
          <w:szCs w:val="24"/>
          <w:lang w:eastAsia="es-CO"/>
          <w14:ligatures w14:val="none"/>
        </w:rPr>
        <w:t>thermal</w:t>
      </w:r>
      <w:proofErr w:type="spellEnd"/>
      <w:r w:rsidRPr="00915EF5">
        <w:rPr>
          <w:rFonts w:ascii="Arial" w:eastAsia="Times New Roman" w:hAnsi="Arial" w:cs="Arial"/>
          <w:i/>
          <w:iCs/>
          <w:kern w:val="0"/>
          <w:sz w:val="24"/>
          <w:szCs w:val="24"/>
          <w:lang w:eastAsia="es-CO"/>
          <w14:ligatures w14:val="none"/>
        </w:rPr>
        <w:t xml:space="preserve"> </w:t>
      </w:r>
      <w:proofErr w:type="spellStart"/>
      <w:r w:rsidRPr="00915EF5">
        <w:rPr>
          <w:rFonts w:ascii="Arial" w:eastAsia="Times New Roman" w:hAnsi="Arial" w:cs="Arial"/>
          <w:i/>
          <w:iCs/>
          <w:kern w:val="0"/>
          <w:sz w:val="24"/>
          <w:szCs w:val="24"/>
          <w:lang w:eastAsia="es-CO"/>
          <w14:ligatures w14:val="none"/>
        </w:rPr>
        <w:t>runaway</w:t>
      </w:r>
      <w:proofErr w:type="spellEnd"/>
      <w:r w:rsidRPr="00915EF5">
        <w:rPr>
          <w:rFonts w:ascii="Arial" w:eastAsia="Times New Roman" w:hAnsi="Arial" w:cs="Arial"/>
          <w:kern w:val="0"/>
          <w:sz w:val="24"/>
          <w:szCs w:val="24"/>
          <w:lang w:eastAsia="es-CO"/>
          <w14:ligatures w14:val="none"/>
        </w:rPr>
        <w:t xml:space="preserve">) y estandarización del </w:t>
      </w:r>
      <w:proofErr w:type="spellStart"/>
      <w:r w:rsidRPr="00915EF5">
        <w:rPr>
          <w:rFonts w:ascii="Arial" w:eastAsia="Times New Roman" w:hAnsi="Arial" w:cs="Arial"/>
          <w:kern w:val="0"/>
          <w:sz w:val="24"/>
          <w:szCs w:val="24"/>
          <w:lang w:eastAsia="es-CO"/>
          <w14:ligatures w14:val="none"/>
        </w:rPr>
        <w:t>SoH</w:t>
      </w:r>
      <w:proofErr w:type="spellEnd"/>
      <w:r w:rsidRPr="00915EF5">
        <w:rPr>
          <w:rFonts w:ascii="Arial" w:eastAsia="Times New Roman" w:hAnsi="Arial" w:cs="Arial"/>
          <w:kern w:val="0"/>
          <w:sz w:val="24"/>
          <w:szCs w:val="24"/>
          <w:lang w:eastAsia="es-CO"/>
          <w14:ligatures w14:val="none"/>
        </w:rPr>
        <w:t xml:space="preserve"> para baterías reconfiguradas. En este sentido, la implementación de modelos predictivos respaldados por Inteligencia Artificial actúa como un mecanismo de aseguramiento de calidad técnico-legal, garantizando que el almacenamiento reacondicionado cumpla con los estándares operativos exigidos por las entidades reguladoras antes de su despliegue en entornos comunitarios o agropecuarios.</w:t>
      </w:r>
    </w:p>
    <w:p w14:paraId="75A2B223" w14:textId="77777777" w:rsidR="00915EF5" w:rsidRPr="00915EF5" w:rsidRDefault="00915EF5" w:rsidP="00915EF5">
      <w:pPr>
        <w:spacing w:after="100" w:afterAutospacing="1" w:line="240" w:lineRule="auto"/>
        <w:outlineLvl w:val="1"/>
        <w:rPr>
          <w:rFonts w:ascii="Arial" w:eastAsia="Times New Roman" w:hAnsi="Arial" w:cs="Arial"/>
          <w:b/>
          <w:bCs/>
          <w:kern w:val="0"/>
          <w:sz w:val="36"/>
          <w:szCs w:val="36"/>
          <w:lang w:eastAsia="es-CO"/>
          <w14:ligatures w14:val="none"/>
        </w:rPr>
      </w:pPr>
      <w:r w:rsidRPr="00915EF5">
        <w:rPr>
          <w:rFonts w:ascii="Arial" w:eastAsia="Times New Roman" w:hAnsi="Arial" w:cs="Arial"/>
          <w:b/>
          <w:bCs/>
          <w:kern w:val="0"/>
          <w:sz w:val="36"/>
          <w:szCs w:val="36"/>
          <w:lang w:eastAsia="es-CO"/>
          <w14:ligatures w14:val="none"/>
        </w:rPr>
        <w:t>4. FORMULACIÓN DEL PROBLEMA ORIENTADOR</w:t>
      </w:r>
    </w:p>
    <w:p w14:paraId="7D98DB5A" w14:textId="77777777" w:rsidR="00915EF5" w:rsidRPr="00915EF5" w:rsidRDefault="00915EF5" w:rsidP="00915EF5">
      <w:pPr>
        <w:spacing w:after="100" w:afterAutospacing="1" w:line="240" w:lineRule="auto"/>
        <w:outlineLvl w:val="2"/>
        <w:rPr>
          <w:rFonts w:ascii="Arial" w:eastAsia="Times New Roman" w:hAnsi="Arial" w:cs="Arial"/>
          <w:b/>
          <w:bCs/>
          <w:kern w:val="0"/>
          <w:sz w:val="27"/>
          <w:szCs w:val="27"/>
          <w:lang w:eastAsia="es-CO"/>
          <w14:ligatures w14:val="none"/>
        </w:rPr>
      </w:pPr>
      <w:r w:rsidRPr="00915EF5">
        <w:rPr>
          <w:rFonts w:ascii="Arial" w:eastAsia="Times New Roman" w:hAnsi="Arial" w:cs="Arial"/>
          <w:b/>
          <w:bCs/>
          <w:kern w:val="0"/>
          <w:sz w:val="27"/>
          <w:szCs w:val="27"/>
          <w:lang w:eastAsia="es-CO"/>
          <w14:ligatures w14:val="none"/>
        </w:rPr>
        <w:t>Planteamiento del Problema</w:t>
      </w:r>
    </w:p>
    <w:p w14:paraId="6C240899"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El acelerado incremento en la adopción de la movilidad eléctrica y de los sistemas solares fotovoltaicos genera un volumen creciente de baterías de ion-litio en fase de retiro automotriz o primario. A pesar de que estas unidades conservan una capacidad residual apta para operaciones estacionarias, la ausencia de metodologías de diagnóstico rápido, no destructivas y de bajo costo imposibilita su caracterización masiva.</w:t>
      </w:r>
    </w:p>
    <w:p w14:paraId="3D6ACDFE"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Las pruebas convencionales de laboratorio para evaluar el Estado de Salud (</w:t>
      </w:r>
      <w:proofErr w:type="spellStart"/>
      <w:r w:rsidRPr="00915EF5">
        <w:rPr>
          <w:rFonts w:ascii="Arial" w:eastAsia="Times New Roman" w:hAnsi="Arial" w:cs="Arial"/>
          <w:i/>
          <w:iCs/>
          <w:kern w:val="0"/>
          <w:sz w:val="24"/>
          <w:szCs w:val="24"/>
          <w:lang w:eastAsia="es-CO"/>
          <w14:ligatures w14:val="none"/>
        </w:rPr>
        <w:t>State</w:t>
      </w:r>
      <w:proofErr w:type="spellEnd"/>
      <w:r w:rsidRPr="00915EF5">
        <w:rPr>
          <w:rFonts w:ascii="Arial" w:eastAsia="Times New Roman" w:hAnsi="Arial" w:cs="Arial"/>
          <w:i/>
          <w:iCs/>
          <w:kern w:val="0"/>
          <w:sz w:val="24"/>
          <w:szCs w:val="24"/>
          <w:lang w:eastAsia="es-CO"/>
          <w14:ligatures w14:val="none"/>
        </w:rPr>
        <w:t xml:space="preserve"> </w:t>
      </w:r>
      <w:proofErr w:type="spellStart"/>
      <w:r w:rsidRPr="00915EF5">
        <w:rPr>
          <w:rFonts w:ascii="Arial" w:eastAsia="Times New Roman" w:hAnsi="Arial" w:cs="Arial"/>
          <w:i/>
          <w:iCs/>
          <w:kern w:val="0"/>
          <w:sz w:val="24"/>
          <w:szCs w:val="24"/>
          <w:lang w:eastAsia="es-CO"/>
          <w14:ligatures w14:val="none"/>
        </w:rPr>
        <w:t>of</w:t>
      </w:r>
      <w:proofErr w:type="spellEnd"/>
      <w:r w:rsidRPr="00915EF5">
        <w:rPr>
          <w:rFonts w:ascii="Arial" w:eastAsia="Times New Roman" w:hAnsi="Arial" w:cs="Arial"/>
          <w:i/>
          <w:iCs/>
          <w:kern w:val="0"/>
          <w:sz w:val="24"/>
          <w:szCs w:val="24"/>
          <w:lang w:eastAsia="es-CO"/>
          <w14:ligatures w14:val="none"/>
        </w:rPr>
        <w:t xml:space="preserve"> </w:t>
      </w:r>
      <w:proofErr w:type="spellStart"/>
      <w:r w:rsidRPr="00915EF5">
        <w:rPr>
          <w:rFonts w:ascii="Arial" w:eastAsia="Times New Roman" w:hAnsi="Arial" w:cs="Arial"/>
          <w:i/>
          <w:iCs/>
          <w:kern w:val="0"/>
          <w:sz w:val="24"/>
          <w:szCs w:val="24"/>
          <w:lang w:eastAsia="es-CO"/>
          <w14:ligatures w14:val="none"/>
        </w:rPr>
        <w:t>Health</w:t>
      </w:r>
      <w:proofErr w:type="spellEnd"/>
      <w:r w:rsidRPr="00915EF5">
        <w:rPr>
          <w:rFonts w:ascii="Arial" w:eastAsia="Times New Roman" w:hAnsi="Arial" w:cs="Arial"/>
          <w:kern w:val="0"/>
          <w:sz w:val="24"/>
          <w:szCs w:val="24"/>
          <w:lang w:eastAsia="es-CO"/>
          <w14:ligatures w14:val="none"/>
        </w:rPr>
        <w:t xml:space="preserve"> - </w:t>
      </w:r>
      <w:proofErr w:type="spellStart"/>
      <w:r w:rsidRPr="00915EF5">
        <w:rPr>
          <w:rFonts w:ascii="Arial" w:eastAsia="Times New Roman" w:hAnsi="Arial" w:cs="Arial"/>
          <w:kern w:val="0"/>
          <w:sz w:val="24"/>
          <w:szCs w:val="24"/>
          <w:lang w:eastAsia="es-CO"/>
          <w14:ligatures w14:val="none"/>
        </w:rPr>
        <w:t>SoH</w:t>
      </w:r>
      <w:proofErr w:type="spellEnd"/>
      <w:r w:rsidRPr="00915EF5">
        <w:rPr>
          <w:rFonts w:ascii="Arial" w:eastAsia="Times New Roman" w:hAnsi="Arial" w:cs="Arial"/>
          <w:kern w:val="0"/>
          <w:sz w:val="24"/>
          <w:szCs w:val="24"/>
          <w:lang w:eastAsia="es-CO"/>
          <w14:ligatures w14:val="none"/>
        </w:rPr>
        <w:t>) requieren ciclos prolongados de carga y descarga que demandan alto consumo energético y lapsos de tiempo inviables comercialmente. Esta limitación técnica conduce a dos escenarios indeseados: la disposición prematura de celdas operativas como residuos peligrosos o el ensamble de bancos de almacenamiento sin balanceo ni estimación de vida útil remanente, lo cual compromete la seguridad y la confiabilidad del suministro energético en las comunidades rurales beneficiarias.</w:t>
      </w:r>
    </w:p>
    <w:p w14:paraId="456D5F37"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Por otra parte, la brecha de electrificación en las Zonas No Interconectadas (ZNI) de Colombia exige soluciones de almacenamiento accesibles y sostenibles. Sin un sistema inteligente de clasificación que evalúe con precisión el degrado y prediga los ciclos de vida útiles remanentes bajo perfiles de descarga rápida, la reutilización de baterías descartadas no logra consolidarse como un modelo de economía circular viable, seguro y normativamente respaldado.</w:t>
      </w:r>
    </w:p>
    <w:p w14:paraId="0FEAA7EF" w14:textId="77777777" w:rsidR="00915EF5" w:rsidRPr="00915EF5" w:rsidRDefault="00915EF5" w:rsidP="00915EF5">
      <w:pPr>
        <w:spacing w:after="100" w:afterAutospacing="1" w:line="240" w:lineRule="auto"/>
        <w:outlineLvl w:val="2"/>
        <w:rPr>
          <w:rFonts w:ascii="Arial" w:eastAsia="Times New Roman" w:hAnsi="Arial" w:cs="Arial"/>
          <w:b/>
          <w:bCs/>
          <w:kern w:val="0"/>
          <w:sz w:val="27"/>
          <w:szCs w:val="27"/>
          <w:lang w:eastAsia="es-CO"/>
          <w14:ligatures w14:val="none"/>
        </w:rPr>
      </w:pPr>
      <w:r w:rsidRPr="00915EF5">
        <w:rPr>
          <w:rFonts w:ascii="Arial" w:eastAsia="Times New Roman" w:hAnsi="Arial" w:cs="Arial"/>
          <w:b/>
          <w:bCs/>
          <w:kern w:val="0"/>
          <w:sz w:val="27"/>
          <w:szCs w:val="27"/>
          <w:lang w:eastAsia="es-CO"/>
          <w14:ligatures w14:val="none"/>
        </w:rPr>
        <w:t>Pregunta Orientadora Principal</w:t>
      </w:r>
    </w:p>
    <w:p w14:paraId="38394554" w14:textId="77777777" w:rsidR="00915EF5" w:rsidRPr="00915EF5" w:rsidRDefault="00915EF5" w:rsidP="00915EF5">
      <w:p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¿De qué manera un modelo de diagnóstico y clasificación automática sustentado en algoritmos de Inteligencia Artificial y análisis de curvas de descarga rápidas permite caracterizar con precisión el Estado de Salud (</w:t>
      </w:r>
      <w:proofErr w:type="spellStart"/>
      <w:r w:rsidRPr="00915EF5">
        <w:rPr>
          <w:rFonts w:ascii="Arial" w:eastAsia="Times New Roman" w:hAnsi="Arial" w:cs="Arial"/>
          <w:kern w:val="0"/>
          <w:sz w:val="24"/>
          <w:szCs w:val="24"/>
          <w:lang w:eastAsia="es-CO"/>
          <w14:ligatures w14:val="none"/>
        </w:rPr>
        <w:t>SoH</w:t>
      </w:r>
      <w:proofErr w:type="spellEnd"/>
      <w:r w:rsidRPr="00915EF5">
        <w:rPr>
          <w:rFonts w:ascii="Arial" w:eastAsia="Times New Roman" w:hAnsi="Arial" w:cs="Arial"/>
          <w:kern w:val="0"/>
          <w:sz w:val="24"/>
          <w:szCs w:val="24"/>
          <w:lang w:eastAsia="es-CO"/>
          <w14:ligatures w14:val="none"/>
        </w:rPr>
        <w:t>) y estimar la vida útil remanente de celdas de ion-litio descartadas, garantizando un reacondicionamiento seguro, costo-eficiente y alineado con el marco regulatorio del CONPES 4075 para su integración como sistemas de almacenamiento estacionario en fincas y escuelas rurales de Colombia?</w:t>
      </w:r>
    </w:p>
    <w:p w14:paraId="082588A0" w14:textId="77777777" w:rsidR="00915EF5" w:rsidRPr="00915EF5" w:rsidRDefault="00915EF5" w:rsidP="00915EF5">
      <w:pPr>
        <w:spacing w:after="100" w:afterAutospacing="1" w:line="240" w:lineRule="auto"/>
        <w:outlineLvl w:val="2"/>
        <w:rPr>
          <w:rFonts w:ascii="Arial" w:eastAsia="Times New Roman" w:hAnsi="Arial" w:cs="Arial"/>
          <w:b/>
          <w:bCs/>
          <w:kern w:val="0"/>
          <w:sz w:val="27"/>
          <w:szCs w:val="27"/>
          <w:lang w:eastAsia="es-CO"/>
          <w14:ligatures w14:val="none"/>
        </w:rPr>
      </w:pPr>
      <w:r w:rsidRPr="00915EF5">
        <w:rPr>
          <w:rFonts w:ascii="Arial" w:eastAsia="Times New Roman" w:hAnsi="Arial" w:cs="Arial"/>
          <w:b/>
          <w:bCs/>
          <w:kern w:val="0"/>
          <w:sz w:val="27"/>
          <w:szCs w:val="27"/>
          <w:lang w:eastAsia="es-CO"/>
          <w14:ligatures w14:val="none"/>
        </w:rPr>
        <w:lastRenderedPageBreak/>
        <w:t>Sistematización del Problema (</w:t>
      </w:r>
      <w:proofErr w:type="spellStart"/>
      <w:r w:rsidRPr="00915EF5">
        <w:rPr>
          <w:rFonts w:ascii="Arial" w:eastAsia="Times New Roman" w:hAnsi="Arial" w:cs="Arial"/>
          <w:b/>
          <w:bCs/>
          <w:kern w:val="0"/>
          <w:sz w:val="27"/>
          <w:szCs w:val="27"/>
          <w:lang w:eastAsia="es-CO"/>
          <w14:ligatures w14:val="none"/>
        </w:rPr>
        <w:t>Subpreguntas</w:t>
      </w:r>
      <w:proofErr w:type="spellEnd"/>
      <w:r w:rsidRPr="00915EF5">
        <w:rPr>
          <w:rFonts w:ascii="Arial" w:eastAsia="Times New Roman" w:hAnsi="Arial" w:cs="Arial"/>
          <w:b/>
          <w:bCs/>
          <w:kern w:val="0"/>
          <w:sz w:val="27"/>
          <w:szCs w:val="27"/>
          <w:lang w:eastAsia="es-CO"/>
          <w14:ligatures w14:val="none"/>
        </w:rPr>
        <w:t>)</w:t>
      </w:r>
    </w:p>
    <w:p w14:paraId="22F72530" w14:textId="77777777" w:rsidR="00915EF5" w:rsidRPr="00915EF5" w:rsidRDefault="00915EF5" w:rsidP="00915EF5">
      <w:pPr>
        <w:numPr>
          <w:ilvl w:val="0"/>
          <w:numId w:val="2"/>
        </w:num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Dimensión de Diagnóstico e Innovación Tecnológica (IA):</w:t>
      </w:r>
    </w:p>
    <w:p w14:paraId="7E5A6BB7" w14:textId="77777777" w:rsidR="00915EF5" w:rsidRPr="00915EF5" w:rsidRDefault="00915EF5" w:rsidP="00915EF5">
      <w:pPr>
        <w:spacing w:after="100" w:afterAutospacing="1" w:line="240" w:lineRule="auto"/>
        <w:ind w:left="720"/>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 xml:space="preserve">¿Cuáles son las variables electroquímicas y los patrones en las curvas de descarga rápida que permiten entrenar modelos de Inteligencia Artificial para predecir con alto grado de precisión el </w:t>
      </w:r>
      <w:proofErr w:type="spellStart"/>
      <w:r w:rsidRPr="00915EF5">
        <w:rPr>
          <w:rFonts w:ascii="Arial" w:eastAsia="Times New Roman" w:hAnsi="Arial" w:cs="Arial"/>
          <w:kern w:val="0"/>
          <w:sz w:val="24"/>
          <w:szCs w:val="24"/>
          <w:lang w:eastAsia="es-CO"/>
          <w14:ligatures w14:val="none"/>
        </w:rPr>
        <w:t>SoH</w:t>
      </w:r>
      <w:proofErr w:type="spellEnd"/>
      <w:r w:rsidRPr="00915EF5">
        <w:rPr>
          <w:rFonts w:ascii="Arial" w:eastAsia="Times New Roman" w:hAnsi="Arial" w:cs="Arial"/>
          <w:kern w:val="0"/>
          <w:sz w:val="24"/>
          <w:szCs w:val="24"/>
          <w:lang w:eastAsia="es-CO"/>
          <w14:ligatures w14:val="none"/>
        </w:rPr>
        <w:t xml:space="preserve"> y la degradación futura de las celdas sin recurrir a pruebas prolongadas de laboratorio?</w:t>
      </w:r>
    </w:p>
    <w:p w14:paraId="6DE33E0B" w14:textId="77777777" w:rsidR="00915EF5" w:rsidRPr="00915EF5" w:rsidRDefault="00915EF5" w:rsidP="00915EF5">
      <w:pPr>
        <w:numPr>
          <w:ilvl w:val="0"/>
          <w:numId w:val="2"/>
        </w:num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Dimensión de Seguridad y Eficiencia Energética Territorial:</w:t>
      </w:r>
    </w:p>
    <w:p w14:paraId="41D021DC" w14:textId="77777777" w:rsidR="00915EF5" w:rsidRPr="00915EF5" w:rsidRDefault="00915EF5" w:rsidP="00915EF5">
      <w:pPr>
        <w:spacing w:after="100" w:afterAutospacing="1" w:line="240" w:lineRule="auto"/>
        <w:ind w:left="720"/>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¿Cómo deben reconfigurarse y balancearse los módulos de baterías de segunda vida para garantizar la estabilidad operativa, la seguridad contra fallas térmicas y el suministro continuo en aplicaciones estacionarias rurales (fincas y escuelas) con demanda variable?</w:t>
      </w:r>
    </w:p>
    <w:p w14:paraId="68AFC41E" w14:textId="77777777" w:rsidR="00915EF5" w:rsidRPr="00915EF5" w:rsidRDefault="00915EF5" w:rsidP="00915EF5">
      <w:pPr>
        <w:numPr>
          <w:ilvl w:val="0"/>
          <w:numId w:val="2"/>
        </w:numPr>
        <w:spacing w:after="100" w:afterAutospacing="1" w:line="240" w:lineRule="auto"/>
        <w:rPr>
          <w:rFonts w:ascii="Arial" w:eastAsia="Times New Roman" w:hAnsi="Arial" w:cs="Arial"/>
          <w:kern w:val="0"/>
          <w:sz w:val="24"/>
          <w:szCs w:val="24"/>
          <w:lang w:eastAsia="es-CO"/>
          <w14:ligatures w14:val="none"/>
        </w:rPr>
      </w:pPr>
      <w:r w:rsidRPr="00915EF5">
        <w:rPr>
          <w:rFonts w:ascii="Arial" w:eastAsia="Times New Roman" w:hAnsi="Arial" w:cs="Arial"/>
          <w:b/>
          <w:bCs/>
          <w:kern w:val="0"/>
          <w:sz w:val="24"/>
          <w:szCs w:val="24"/>
          <w:lang w:eastAsia="es-CO"/>
          <w14:ligatures w14:val="none"/>
        </w:rPr>
        <w:t>Dimensión Regulatoria, Ambiental y Gobernanza Circular:</w:t>
      </w:r>
    </w:p>
    <w:p w14:paraId="3A03B2E0" w14:textId="77777777" w:rsidR="00915EF5" w:rsidRPr="00915EF5" w:rsidRDefault="00915EF5" w:rsidP="00915EF5">
      <w:pPr>
        <w:spacing w:after="100" w:afterAutospacing="1" w:line="240" w:lineRule="auto"/>
        <w:ind w:left="720"/>
        <w:rPr>
          <w:rFonts w:ascii="Arial" w:eastAsia="Times New Roman" w:hAnsi="Arial" w:cs="Arial"/>
          <w:kern w:val="0"/>
          <w:sz w:val="24"/>
          <w:szCs w:val="24"/>
          <w:lang w:eastAsia="es-CO"/>
          <w14:ligatures w14:val="none"/>
        </w:rPr>
      </w:pPr>
      <w:r w:rsidRPr="00915EF5">
        <w:rPr>
          <w:rFonts w:ascii="Arial" w:eastAsia="Times New Roman" w:hAnsi="Arial" w:cs="Arial"/>
          <w:kern w:val="0"/>
          <w:sz w:val="24"/>
          <w:szCs w:val="24"/>
          <w:lang w:eastAsia="es-CO"/>
          <w14:ligatures w14:val="none"/>
        </w:rPr>
        <w:t>¿De qué forma se articula la implementación de este sistema inteligente de reutilización con los requerimientos de la Política Nacional de Transición Energética (CONPES 4075), las metas de descarbonización de la Ley 2169 de 2021 y la gestión integral de RAEE en Colombia?</w:t>
      </w:r>
    </w:p>
    <w:p w14:paraId="284345E6" w14:textId="7B97B64E" w:rsidR="004C1613" w:rsidRDefault="004C1613" w:rsidP="00915EF5"/>
    <w:sectPr w:rsidR="004C16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C7EB7"/>
    <w:multiLevelType w:val="multilevel"/>
    <w:tmpl w:val="F93E7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43DBE"/>
    <w:multiLevelType w:val="multilevel"/>
    <w:tmpl w:val="C1B23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202263">
    <w:abstractNumId w:val="0"/>
  </w:num>
  <w:num w:numId="2" w16cid:durableId="484514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F5"/>
    <w:rsid w:val="004C1613"/>
    <w:rsid w:val="006512E1"/>
    <w:rsid w:val="00915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85F9"/>
  <w15:chartTrackingRefBased/>
  <w15:docId w15:val="{150987ED-0425-46BB-B750-339B3A49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15EF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915EF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915EF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5EF5"/>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915EF5"/>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915EF5"/>
    <w:rPr>
      <w:rFonts w:ascii="Times New Roman" w:eastAsia="Times New Roman" w:hAnsi="Times New Roman" w:cs="Times New Roman"/>
      <w:b/>
      <w:bCs/>
      <w:kern w:val="0"/>
      <w:sz w:val="27"/>
      <w:szCs w:val="27"/>
      <w:lang w:eastAsia="es-CO"/>
      <w14:ligatures w14:val="none"/>
    </w:rPr>
  </w:style>
  <w:style w:type="paragraph" w:styleId="NormalWeb">
    <w:name w:val="Normal (Web)"/>
    <w:basedOn w:val="Normal"/>
    <w:uiPriority w:val="99"/>
    <w:semiHidden/>
    <w:unhideWhenUsed/>
    <w:rsid w:val="00915EF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915E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28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1403</Words>
  <Characters>7720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rodriguez</dc:creator>
  <cp:keywords/>
  <dc:description/>
  <cp:lastModifiedBy>andres felipe rodriguez</cp:lastModifiedBy>
  <cp:revision>1</cp:revision>
  <dcterms:created xsi:type="dcterms:W3CDTF">2026-10-03T19:24:00Z</dcterms:created>
  <dcterms:modified xsi:type="dcterms:W3CDTF">2026-10-03T20:11:00Z</dcterms:modified>
</cp:coreProperties>
</file>