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40"/>
        <w:jc w:val="center"/>
      </w:pPr>
      <w:r>
        <w:rPr>
          <w:b/>
          <w:sz w:val="40"/>
        </w:rPr>
        <w:t>Buenas Prácticas de Desarrollo de Software</w:t>
      </w:r>
    </w:p>
    <w:p>
      <w:pPr>
        <w:pStyle w:val="Heading1"/>
      </w:pPr>
      <w:r>
        <w:t>Ecosistema de Software AcaciosWork</w:t>
      </w:r>
    </w:p>
    <w:p>
      <w:pPr>
        <w:pStyle w:val="Heading2"/>
      </w:pPr>
      <w:r>
        <w:t>Presentación del Documento</w:t>
      </w:r>
    </w:p>
    <w:p>
      <w:pPr>
        <w:pStyle w:val="ListBullet"/>
        <w:spacing w:after="60"/>
      </w:pPr>
      <w:r>
        <w:rPr>
          <w:b/>
        </w:rPr>
        <w:t>Institución:</w:t>
      </w:r>
      <w:r>
        <w:t xml:space="preserve"> Servicio Nacional de Aprendizaje (SENA)</w:t>
      </w:r>
    </w:p>
    <w:p>
      <w:pPr>
        <w:pStyle w:val="ListBullet"/>
        <w:spacing w:after="60"/>
      </w:pPr>
      <w:r>
        <w:rPr>
          <w:b/>
        </w:rPr>
        <w:t>Programa de Formación:</w:t>
      </w:r>
      <w:r>
        <w:t xml:space="preserve"> Tecnólogo en Análisis y Desarrollo de Software (ADSO)</w:t>
      </w:r>
    </w:p>
    <w:p>
      <w:pPr>
        <w:pStyle w:val="ListBullet"/>
        <w:spacing w:after="60"/>
      </w:pPr>
      <w:r>
        <w:rPr>
          <w:b/>
        </w:rPr>
        <w:t>Ficha:</w:t>
      </w:r>
      <w:r>
        <w:t xml:space="preserve"> 3118313</w:t>
      </w:r>
    </w:p>
    <w:p>
      <w:pPr>
        <w:pStyle w:val="ListBullet"/>
        <w:spacing w:after="60"/>
      </w:pPr>
      <w:r>
        <w:rPr>
          <w:b/>
        </w:rPr>
        <w:t>Autor / Desarrollador:</w:t>
      </w:r>
      <w:r>
        <w:t xml:space="preserve"> Rubiel Andrés Díaz Jiménez</w:t>
      </w:r>
    </w:p>
    <w:p>
      <w:pPr>
        <w:pStyle w:val="ListBullet"/>
        <w:spacing w:after="60"/>
      </w:pPr>
      <w:r>
        <w:rPr>
          <w:b/>
        </w:rPr>
        <w:t>Proyecto:</w:t>
      </w:r>
      <w:r>
        <w:t xml:space="preserve"> AcaciosWork — Sistema ERP/POS Multiplataforma</w:t>
      </w:r>
    </w:p>
    <w:p>
      <w:pPr>
        <w:pStyle w:val="ListBullet"/>
        <w:spacing w:after="60"/>
      </w:pPr>
      <w:r>
        <w:rPr>
          <w:b/>
        </w:rPr>
        <w:t>Organización Beneficiaria:</w:t>
      </w:r>
      <w:r>
        <w:t xml:space="preserve"> Tienda Los Acacios</w:t>
      </w:r>
    </w:p>
    <w:p>
      <w:pPr>
        <w:pStyle w:val="ListBullet"/>
        <w:spacing w:after="60"/>
      </w:pPr>
      <w:r>
        <w:rPr>
          <w:b/>
        </w:rPr>
        <w:t>Lugar y Fecha:</w:t>
      </w:r>
      <w:r>
        <w:t xml:space="preserve"> Colombia, Julio de 2026</w:t>
      </w:r>
    </w:p>
    <w:p>
      <w:pPr>
        <w:pStyle w:val="Heading1"/>
      </w:pPr>
      <w:r>
        <w:t>TABLA DE CONTENIDO</w:t>
      </w:r>
    </w:p>
    <w:p>
      <w:pPr>
        <w:spacing w:after="240"/>
        <w:jc w:val="left"/>
      </w:pPr>
      <w:r>
        <w:rPr>
          <w:i/>
          <w:color w:val="64748B"/>
          <w:sz w:val="19"/>
        </w:rPr>
        <w:t>[Haga clic derecho sobre esta tabla en Word y seleccione 'Actualizar campos' para generarla automáticamente]</w:t>
      </w:r>
    </w:p>
    <w:p>
      <w:r>
        <w:fldChar w:fldCharType="begin"/>
        <w:instrText xml:space="preserve">TOC \o "1-3" \h \z \u</w:instrText>
        <w:fldChar w:fldCharType="separate"/>
        <w:fldChar w:fldCharType="end"/>
      </w:r>
    </w:p>
    <w:p>
      <w:r>
        <w:br w:type="page"/>
      </w:r>
    </w:p>
    <w:p>
      <w:pPr>
        <w:pStyle w:val="Heading1"/>
      </w:pPr>
      <w:r>
        <w:t>1. Introducción</w:t>
      </w:r>
    </w:p>
    <w:p>
      <w:r>
        <w:t xml:space="preserve">El presente documento recopila los lineamientos técnicos, estándares de ingeniería y buenas prácticas aplicados en el diseño, desarrollo e implementación del ecosistema </w:t>
      </w:r>
      <w:r>
        <w:rPr>
          <w:b/>
        </w:rPr>
        <w:t>AcaciosWork</w:t>
      </w:r>
      <w:r>
        <w:t xml:space="preserve">. Este proyecto surge ante la necesidad de modernizar la gestión operativa y comercial de </w:t>
      </w:r>
      <w:r>
        <w:rPr>
          <w:b/>
        </w:rPr>
        <w:t>Tienda Los Acacios</w:t>
      </w:r>
      <w:r>
        <w:t>, una microempresa del sector minorista de abarrotes.</w:t>
      </w:r>
    </w:p>
    <w:p>
      <w:r>
        <w:t>A lo largo del proceso formativo en Análisis y Desarrollo de Software (SENA), se ha concebido una solución multiplataforma que adopta una arquitectura orientada a servicios (SaaS), garantizando la centralización de los datos, el aislamiento de la base de datos MySQL y la interoperabilidad entre aplicaciones Web, Escritorio y Móviles. El cumplimiento de estándares como ISO/IEC 25000 (SQuaRE), CMMI Nivel 2 y prácticas de codificación limpia ha permitido estructurar una plataforma robusta, escalable y mantenible.</w:t>
      </w:r>
    </w:p>
    <w:p>
      <w:pPr>
        <w:pStyle w:val="Heading1"/>
      </w:pPr>
      <w:r>
        <w:t>2. Objetivos</w:t>
      </w:r>
    </w:p>
    <w:p>
      <w:pPr>
        <w:pStyle w:val="Heading2"/>
      </w:pPr>
      <w:r>
        <w:t>2.1. Objetivo General</w:t>
      </w:r>
    </w:p>
    <w:p>
      <w:r>
        <w:t xml:space="preserve">Consolidar e implementar las buenas prácticas de ingeniería de software en el desarrollo del sistema ERP/POS multiplataforma </w:t>
      </w:r>
      <w:r>
        <w:rPr>
          <w:b/>
        </w:rPr>
        <w:t>AcaciosWork</w:t>
      </w:r>
      <w:r>
        <w:t>, optimizando la administración de inventario, ventas, clientes y toma de decisiones en la Tienda Los Acacios.</w:t>
      </w:r>
    </w:p>
    <w:p>
      <w:pPr>
        <w:pStyle w:val="Heading2"/>
      </w:pPr>
      <w:r>
        <w:t>2.2. Objetivos Específicos</w:t>
      </w:r>
    </w:p>
    <w:p>
      <w:pPr>
        <w:pStyle w:val="ListBullet"/>
        <w:spacing w:after="60"/>
      </w:pPr>
      <w:r>
        <w:rPr>
          <w:b/>
        </w:rPr>
        <w:t>Establecer una arquitectura sólida y segura:</w:t>
      </w:r>
      <w:r>
        <w:t xml:space="preserve"> Implementar un núcleo centralizado con Spring Boot y autenticación JWT que actúe como único punto de acceso a la persistencia en MySQL.</w:t>
      </w:r>
    </w:p>
    <w:p>
      <w:pPr>
        <w:pStyle w:val="ListBullet"/>
        <w:spacing w:after="60"/>
      </w:pPr>
      <w:r>
        <w:rPr>
          <w:b/>
        </w:rPr>
        <w:t>Estandarizar el desarrollo de código:</w:t>
      </w:r>
      <w:r>
        <w:t xml:space="preserve"> Aplicar convenciones estricta de nomenclatura, patrones de diseño (MVVM, Layered Architecture) y firma documental de código (</w:t>
      </w:r>
      <w:r>
        <w:rPr>
          <w:rFonts w:ascii="Courier New" w:hAnsi="Courier New"/>
          <w:color w:val="464646"/>
          <w:sz w:val="19"/>
        </w:rPr>
        <w:t>@author RADJ</w:t>
      </w:r>
      <w:r>
        <w:t>).</w:t>
      </w:r>
    </w:p>
    <w:p>
      <w:pPr>
        <w:pStyle w:val="ListBullet"/>
        <w:spacing w:after="60"/>
      </w:pPr>
      <w:r>
        <w:rPr>
          <w:b/>
        </w:rPr>
        <w:t>Garantizar la calidad del producto:</w:t>
      </w:r>
      <w:r>
        <w:t xml:space="preserve"> Estructurar planes de pruebas unitarias, de integración y funcionales bajo los marcos de calidad ISO/IEC 25000 e ISO/IEC 9126.</w:t>
      </w:r>
    </w:p>
    <w:p>
      <w:pPr>
        <w:pStyle w:val="ListBullet"/>
        <w:spacing w:after="60"/>
      </w:pPr>
      <w:r>
        <w:rPr>
          <w:b/>
        </w:rPr>
        <w:t>Facilitar la mantenibilidad y escalabilidad:</w:t>
      </w:r>
      <w:r>
        <w:t xml:space="preserve"> Organizar modularmente los componentes del frontend y backend para permitir la refactorización continua y la adición de nuevas funcionalidades sin afectar la estabilidad del sistema.</w:t>
      </w:r>
    </w:p>
    <w:p>
      <w:pPr>
        <w:pStyle w:val="Heading1"/>
      </w:pPr>
      <w:r>
        <w:t>3. Perfil de la Empresa</w:t>
      </w:r>
    </w:p>
    <w:p>
      <w:pPr>
        <w:pStyle w:val="Heading2"/>
      </w:pPr>
      <w:r>
        <w:t>3.1. Identificación y Descripción</w:t>
      </w:r>
    </w:p>
    <w:tbl>
      <w:tblPr>
        <w:tblStyle w:val="TableGrid"/>
        <w:tblW w:type="auto" w:w="0"/>
        <w:jc w:val="center"/>
        <w:tblLook w:firstColumn="1" w:firstRow="1" w:lastColumn="0" w:lastRow="0" w:noHBand="0" w:noVBand="1" w:val="04A0"/>
        <w:tblBorders>
          <w:top w:val="single" w:sz="6" w:space="0" w:color="64748B"/>
          <w:left w:val="single" w:sz="6" w:space="0" w:color="64748B"/>
          <w:bottom w:val="single" w:sz="6" w:space="0" w:color="64748B"/>
          <w:right w:val="single" w:sz="6" w:space="0" w:color="64748B"/>
          <w:insideH w:val="single" w:sz="6" w:space="0" w:color="64748B"/>
          <w:insideV w:val="single" w:sz="6" w:space="0" w:color="64748B"/>
        </w:tblBorders>
      </w:tblPr>
      <w:tblGrid>
        <w:gridCol w:w="4680"/>
        <w:gridCol w:w="4680"/>
      </w:tblGrid>
      <w:tr>
        <w:tc>
          <w:tcPr>
            <w:tcW w:type="dxa" w:w="4680"/>
            <w:vAlign w:val="center"/>
            <w:tcMar>
              <w:top w:w="120" w:type="dxa"/>
              <w:bottom w:w="120" w:type="dxa"/>
              <w:left w:w="150" w:type="dxa"/>
              <w:right w:w="150" w:type="dxa"/>
            </w:tcMar>
            <w:shd w:fill="1E293B"/>
          </w:tcPr>
          <w:p>
            <w:pPr>
              <w:spacing w:after="0" w:before="0"/>
              <w:jc w:val="center"/>
            </w:pPr>
            <w:r>
              <w:rPr>
                <w:rFonts w:ascii="Arial" w:hAnsi="Arial"/>
                <w:b/>
                <w:color w:val="FFFFFF"/>
                <w:sz w:val="20"/>
              </w:rPr>
              <w:t>Campo</w:t>
            </w:r>
          </w:p>
        </w:tc>
        <w:tc>
          <w:tcPr>
            <w:tcW w:type="dxa" w:w="4680"/>
            <w:vAlign w:val="center"/>
            <w:tcMar>
              <w:top w:w="120" w:type="dxa"/>
              <w:bottom w:w="120" w:type="dxa"/>
              <w:left w:w="150" w:type="dxa"/>
              <w:right w:w="150" w:type="dxa"/>
            </w:tcMar>
            <w:shd w:fill="1E293B"/>
          </w:tcPr>
          <w:p>
            <w:pPr>
              <w:spacing w:after="0" w:before="0"/>
              <w:jc w:val="center"/>
            </w:pPr>
            <w:r>
              <w:rPr>
                <w:rFonts w:ascii="Arial" w:hAnsi="Arial"/>
                <w:b/>
                <w:color w:val="FFFFFF"/>
                <w:sz w:val="20"/>
              </w:rPr>
              <w:t>Detalle</w:t>
            </w:r>
          </w:p>
        </w:tc>
      </w:tr>
      <w:tr>
        <w:tc>
          <w:tcPr>
            <w:tcW w:type="dxa" w:w="4680"/>
            <w:vAlign w:val="center"/>
            <w:tcMar>
              <w:top w:w="120" w:type="dxa"/>
              <w:bottom w:w="120" w:type="dxa"/>
              <w:left w:w="150" w:type="dxa"/>
              <w:right w:w="150" w:type="dxa"/>
            </w:tcMar>
            <w:shd w:fill="F8FAFC"/>
          </w:tcPr>
          <w:p>
            <w:pPr>
              <w:spacing w:after="0" w:before="0"/>
              <w:jc w:val="left"/>
            </w:pPr>
            <w:r>
              <w:rPr>
                <w:rFonts w:ascii="Arial" w:hAnsi="Arial"/>
                <w:b/>
                <w:color w:val="1E293B"/>
                <w:sz w:val="19"/>
              </w:rPr>
              <w:t>Nombre</w:t>
            </w:r>
          </w:p>
        </w:tc>
        <w:tc>
          <w:tcPr>
            <w:tcW w:type="dxa" w:w="4680"/>
            <w:vAlign w:val="center"/>
            <w:tcMar>
              <w:top w:w="120" w:type="dxa"/>
              <w:bottom w:w="120" w:type="dxa"/>
              <w:left w:w="150" w:type="dxa"/>
              <w:right w:w="150" w:type="dxa"/>
            </w:tcMar>
            <w:shd w:fill="F8FAFC"/>
          </w:tcPr>
          <w:p>
            <w:pPr>
              <w:spacing w:after="0" w:before="0"/>
              <w:jc w:val="left"/>
            </w:pPr>
            <w:r>
              <w:rPr>
                <w:rFonts w:ascii="Arial" w:hAnsi="Arial"/>
                <w:color w:val="1E293B"/>
                <w:sz w:val="19"/>
              </w:rPr>
              <w:t>Tienda Los Acacios</w:t>
            </w:r>
          </w:p>
        </w:tc>
      </w:tr>
      <w:tr>
        <w:tc>
          <w:tcPr>
            <w:tcW w:type="dxa" w:w="4680"/>
            <w:vAlign w:val="center"/>
            <w:tcMar>
              <w:top w:w="120" w:type="dxa"/>
              <w:bottom w:w="120" w:type="dxa"/>
              <w:left w:w="150" w:type="dxa"/>
              <w:right w:w="150" w:type="dxa"/>
            </w:tcMar>
            <w:shd w:fill="FFFFFF"/>
          </w:tcPr>
          <w:p>
            <w:pPr>
              <w:spacing w:after="0" w:before="0"/>
              <w:jc w:val="left"/>
            </w:pPr>
            <w:r>
              <w:rPr>
                <w:rFonts w:ascii="Arial" w:hAnsi="Arial"/>
                <w:b/>
                <w:color w:val="1E293B"/>
                <w:sz w:val="19"/>
              </w:rPr>
              <w:t>Tipo de negocio</w:t>
            </w:r>
          </w:p>
        </w:tc>
        <w:tc>
          <w:tcPr>
            <w:tcW w:type="dxa" w:w="4680"/>
            <w:vAlign w:val="center"/>
            <w:tcMar>
              <w:top w:w="120" w:type="dxa"/>
              <w:bottom w:w="120" w:type="dxa"/>
              <w:left w:w="150" w:type="dxa"/>
              <w:right w:w="150" w:type="dxa"/>
            </w:tcMar>
            <w:shd w:fill="FFFFFF"/>
          </w:tcPr>
          <w:p>
            <w:pPr>
              <w:spacing w:after="0" w:before="0"/>
              <w:jc w:val="left"/>
            </w:pPr>
            <w:r>
              <w:rPr>
                <w:rFonts w:ascii="Arial" w:hAnsi="Arial"/>
                <w:color w:val="1E293B"/>
                <w:sz w:val="19"/>
              </w:rPr>
              <w:t>Comercio minorista (tienda de barrio / abarrotes)</w:t>
            </w:r>
          </w:p>
        </w:tc>
      </w:tr>
      <w:tr>
        <w:tc>
          <w:tcPr>
            <w:tcW w:type="dxa" w:w="4680"/>
            <w:vAlign w:val="center"/>
            <w:tcMar>
              <w:top w:w="120" w:type="dxa"/>
              <w:bottom w:w="120" w:type="dxa"/>
              <w:left w:w="150" w:type="dxa"/>
              <w:right w:w="150" w:type="dxa"/>
            </w:tcMar>
            <w:shd w:fill="F8FAFC"/>
          </w:tcPr>
          <w:p>
            <w:pPr>
              <w:spacing w:after="0" w:before="0"/>
              <w:jc w:val="left"/>
            </w:pPr>
            <w:r>
              <w:rPr>
                <w:rFonts w:ascii="Arial" w:hAnsi="Arial"/>
                <w:b/>
                <w:color w:val="1E293B"/>
                <w:sz w:val="19"/>
              </w:rPr>
              <w:t>Descripción</w:t>
            </w:r>
          </w:p>
        </w:tc>
        <w:tc>
          <w:tcPr>
            <w:tcW w:type="dxa" w:w="4680"/>
            <w:vAlign w:val="center"/>
            <w:tcMar>
              <w:top w:w="120" w:type="dxa"/>
              <w:bottom w:w="120" w:type="dxa"/>
              <w:left w:w="150" w:type="dxa"/>
              <w:right w:w="150" w:type="dxa"/>
            </w:tcMar>
            <w:shd w:fill="F8FAFC"/>
          </w:tcPr>
          <w:p>
            <w:pPr>
              <w:spacing w:after="0" w:before="0"/>
              <w:jc w:val="left"/>
            </w:pPr>
            <w:r>
              <w:rPr>
                <w:rFonts w:ascii="Arial" w:hAnsi="Arial"/>
                <w:color w:val="1E293B"/>
                <w:sz w:val="19"/>
              </w:rPr>
              <w:t>Tienda dedicada a la comercialización de abarrotes, frutas, verduras, bebidas y productos de primera necesidad.</w:t>
            </w:r>
          </w:p>
        </w:tc>
      </w:tr>
      <w:tr>
        <w:tc>
          <w:tcPr>
            <w:tcW w:type="dxa" w:w="4680"/>
            <w:vAlign w:val="center"/>
            <w:tcMar>
              <w:top w:w="120" w:type="dxa"/>
              <w:bottom w:w="120" w:type="dxa"/>
              <w:left w:w="150" w:type="dxa"/>
              <w:right w:w="150" w:type="dxa"/>
            </w:tcMar>
            <w:shd w:fill="FFFFFF"/>
          </w:tcPr>
          <w:p>
            <w:pPr>
              <w:spacing w:after="0" w:before="0"/>
              <w:jc w:val="left"/>
            </w:pPr>
            <w:r>
              <w:rPr>
                <w:rFonts w:ascii="Arial" w:hAnsi="Arial"/>
                <w:b/>
                <w:color w:val="1E293B"/>
                <w:sz w:val="19"/>
              </w:rPr>
              <w:t>Público objetivo</w:t>
            </w:r>
          </w:p>
        </w:tc>
        <w:tc>
          <w:tcPr>
            <w:tcW w:type="dxa" w:w="4680"/>
            <w:vAlign w:val="center"/>
            <w:tcMar>
              <w:top w:w="120" w:type="dxa"/>
              <w:bottom w:w="120" w:type="dxa"/>
              <w:left w:w="150" w:type="dxa"/>
              <w:right w:w="150" w:type="dxa"/>
            </w:tcMar>
            <w:shd w:fill="FFFFFF"/>
          </w:tcPr>
          <w:p>
            <w:pPr>
              <w:spacing w:after="0" w:before="0"/>
              <w:jc w:val="left"/>
            </w:pPr>
            <w:r>
              <w:rPr>
                <w:rFonts w:ascii="Arial" w:hAnsi="Arial"/>
                <w:color w:val="1E293B"/>
                <w:sz w:val="19"/>
              </w:rPr>
              <w:t>Habitantes del sector urbano local que requieren abastecimiento rápido, cercano y económico.</w:t>
            </w:r>
          </w:p>
        </w:tc>
      </w:tr>
    </w:tbl>
    <w:p/>
    <w:p>
      <w:pPr>
        <w:pStyle w:val="Heading2"/>
      </w:pPr>
      <w:r>
        <w:t>3.2. Misión, Visión y Objetivos Organizacionales</w:t>
      </w:r>
    </w:p>
    <w:p>
      <w:pPr>
        <w:pStyle w:val="ListBullet"/>
        <w:spacing w:after="60"/>
      </w:pPr>
      <w:r>
        <w:rPr>
          <w:b/>
        </w:rPr>
        <w:t>Misión:</w:t>
      </w:r>
      <w:r>
        <w:t xml:space="preserve"> Brindar atención amable y ofrecer productos de primera necesidad de alta calidad a precios accesibles para satisfacer las demandas diarias de la comunidad.</w:t>
      </w:r>
    </w:p>
    <w:p>
      <w:pPr>
        <w:pStyle w:val="ListBullet"/>
        <w:spacing w:after="60"/>
      </w:pPr>
      <w:r>
        <w:rPr>
          <w:b/>
        </w:rPr>
        <w:t>Visión:</w:t>
      </w:r>
      <w:r>
        <w:t xml:space="preserve"> Modernizar la administración del negocio mediante herramientas tecnológicas de vanguardia para mejorar el servicio, fidelizar clientes y maximizar la rentabilidad operativa.</w:t>
      </w:r>
    </w:p>
    <w:p>
      <w:pPr>
        <w:pStyle w:val="ListBullet"/>
        <w:spacing w:after="60"/>
      </w:pPr>
      <w:r>
        <w:rPr>
          <w:b/>
        </w:rPr>
        <w:t>Objetivo:</w:t>
      </w:r>
      <w:r>
        <w:t xml:space="preserve"> Garantizar la disponibilidad constante de productos esenciales con precios competitivos mediante un control eficiente de inventarios.</w:t>
      </w:r>
    </w:p>
    <w:p>
      <w:pPr>
        <w:pStyle w:val="Heading2"/>
      </w:pPr>
      <w:r>
        <w:t>3.3. Ventajas Competitivas</w:t>
      </w:r>
    </w:p>
    <w:p>
      <w:pPr>
        <w:pStyle w:val="ListBullet"/>
        <w:spacing w:after="60"/>
      </w:pPr>
      <w:r>
        <w:t>Atención personalizada y cercanía con la comunidad local.</w:t>
      </w:r>
    </w:p>
    <w:p>
      <w:pPr>
        <w:pStyle w:val="ListBullet"/>
        <w:spacing w:after="60"/>
      </w:pPr>
      <w:r>
        <w:t>Disponibilidad constante de productos frescos con rotación optimizada.</w:t>
      </w:r>
    </w:p>
    <w:p>
      <w:pPr>
        <w:pStyle w:val="ListBullet"/>
        <w:spacing w:after="60"/>
      </w:pPr>
      <w:r>
        <w:t>Agilidad en el servicio de caja y atención al cliente.</w:t>
      </w:r>
    </w:p>
    <w:p>
      <w:pPr>
        <w:pStyle w:val="Heading1"/>
      </w:pPr>
      <w:r>
        <w:t>4. Descripción del Proyecto de Software</w:t>
      </w:r>
    </w:p>
    <w:p>
      <w:pPr>
        <w:pStyle w:val="Heading2"/>
      </w:pPr>
      <w:r>
        <w:t>4.1. Alcance del Sistema</w:t>
      </w:r>
    </w:p>
    <w:p>
      <w:r>
        <w:rPr>
          <w:b/>
        </w:rPr>
        <w:t>AcaciosWork</w:t>
      </w:r>
      <w:r>
        <w:t xml:space="preserve"> es una plataforma integral de gestión empresarial (ERP/POS) multiplataforma. Permite administrar de manera centralizada catálogos de productos, inventario con cálculo de stock crítico y óptimo, ventas en punto de pago, registro de clientes, proveedores y usuarios con permisos basados en roles.</w:t>
      </w:r>
    </w:p>
    <w:p>
      <w:pPr>
        <w:pStyle w:val="Heading2"/>
      </w:pPr>
      <w:r>
        <w:t>4.2. Propuesta de Valor</w:t>
      </w:r>
    </w:p>
    <w:p>
      <w:r>
        <w:t xml:space="preserve">Además del control operativo tradicional, AcaciosWork integra un </w:t>
      </w:r>
      <w:r>
        <w:rPr>
          <w:b/>
        </w:rPr>
        <w:t>Módulo de Inteligencia de Negocio ("Preguntas Inteligentes")</w:t>
      </w:r>
      <w:r>
        <w:t xml:space="preserve"> que procesa métricas financieras y comerciales en tiempo real, permitiendo al comerciante identificar productos de alta/baja rotación, estimar rentabilidad neta y predecir desabastecimientos desde cualquier dispositivo.</w:t>
      </w:r>
    </w:p>
    <w:p>
      <w:pPr>
        <w:pStyle w:val="Heading1"/>
      </w:pPr>
      <w:r>
        <w:t>5. Proceso y Ciclo de Vida del Desarrollo</w:t>
      </w:r>
    </w:p>
    <w:p>
      <w:pPr>
        <w:pStyle w:val="Heading2"/>
      </w:pPr>
      <w:r>
        <w:t>5.1. Fases del Ciclo de Vida</w:t>
      </w:r>
    </w:p>
    <w:p>
      <w:r>
        <w:t>El ciclo de vida del software se estructuró en cinco fases fundamentales:</w:t>
      </w:r>
    </w:p>
    <w:tbl>
      <w:tblPr>
        <w:tblStyle w:val="TableGrid"/>
        <w:tblW w:type="auto" w:w="0"/>
        <w:jc w:val="center"/>
        <w:tblLook w:firstColumn="1" w:firstRow="1" w:lastColumn="0" w:lastRow="0" w:noHBand="0" w:noVBand="1" w:val="04A0"/>
        <w:tblBorders>
          <w:top w:val="single" w:sz="6" w:space="0" w:color="64748B"/>
          <w:left w:val="single" w:sz="6" w:space="0" w:color="64748B"/>
          <w:bottom w:val="single" w:sz="6" w:space="0" w:color="64748B"/>
          <w:right w:val="single" w:sz="6" w:space="0" w:color="64748B"/>
          <w:insideH w:val="single" w:sz="6" w:space="0" w:color="64748B"/>
          <w:insideV w:val="single" w:sz="6" w:space="0" w:color="64748B"/>
        </w:tblBorders>
      </w:tblPr>
      <w:tblGrid>
        <w:gridCol w:w="4680"/>
        <w:gridCol w:w="4680"/>
      </w:tblGrid>
      <w:tr>
        <w:tc>
          <w:tcPr>
            <w:tcW w:type="dxa" w:w="4680"/>
            <w:vAlign w:val="center"/>
            <w:tcMar>
              <w:top w:w="120" w:type="dxa"/>
              <w:bottom w:w="120" w:type="dxa"/>
              <w:left w:w="150" w:type="dxa"/>
              <w:right w:w="150" w:type="dxa"/>
            </w:tcMar>
            <w:shd w:fill="1E293B"/>
          </w:tcPr>
          <w:p>
            <w:pPr>
              <w:spacing w:after="0" w:before="0"/>
              <w:jc w:val="center"/>
            </w:pPr>
            <w:r>
              <w:rPr>
                <w:rFonts w:ascii="Arial" w:hAnsi="Arial"/>
                <w:b/>
                <w:color w:val="FFFFFF"/>
                <w:sz w:val="20"/>
              </w:rPr>
              <w:t>Fase</w:t>
            </w:r>
          </w:p>
        </w:tc>
        <w:tc>
          <w:tcPr>
            <w:tcW w:type="dxa" w:w="4680"/>
            <w:vAlign w:val="center"/>
            <w:tcMar>
              <w:top w:w="120" w:type="dxa"/>
              <w:bottom w:w="120" w:type="dxa"/>
              <w:left w:w="150" w:type="dxa"/>
              <w:right w:w="150" w:type="dxa"/>
            </w:tcMar>
            <w:shd w:fill="1E293B"/>
          </w:tcPr>
          <w:p>
            <w:pPr>
              <w:spacing w:after="0" w:before="0"/>
              <w:jc w:val="center"/>
            </w:pPr>
            <w:r>
              <w:rPr>
                <w:rFonts w:ascii="Arial" w:hAnsi="Arial"/>
                <w:b/>
                <w:color w:val="FFFFFF"/>
                <w:sz w:val="20"/>
              </w:rPr>
              <w:t>Actividad Principal</w:t>
            </w:r>
          </w:p>
        </w:tc>
      </w:tr>
      <w:tr>
        <w:tc>
          <w:tcPr>
            <w:tcW w:type="dxa" w:w="4680"/>
            <w:vAlign w:val="center"/>
            <w:tcMar>
              <w:top w:w="120" w:type="dxa"/>
              <w:bottom w:w="120" w:type="dxa"/>
              <w:left w:w="150" w:type="dxa"/>
              <w:right w:w="150" w:type="dxa"/>
            </w:tcMar>
            <w:shd w:fill="F8FAFC"/>
          </w:tcPr>
          <w:p>
            <w:pPr>
              <w:spacing w:after="0" w:before="0"/>
              <w:jc w:val="left"/>
            </w:pPr>
            <w:r>
              <w:rPr>
                <w:rFonts w:ascii="Arial" w:hAnsi="Arial"/>
                <w:b/>
                <w:color w:val="1E293B"/>
                <w:sz w:val="19"/>
              </w:rPr>
              <w:t>Análisis</w:t>
            </w:r>
          </w:p>
        </w:tc>
        <w:tc>
          <w:tcPr>
            <w:tcW w:type="dxa" w:w="4680"/>
            <w:vAlign w:val="center"/>
            <w:tcMar>
              <w:top w:w="120" w:type="dxa"/>
              <w:bottom w:w="120" w:type="dxa"/>
              <w:left w:w="150" w:type="dxa"/>
              <w:right w:w="150" w:type="dxa"/>
            </w:tcMar>
            <w:shd w:fill="F8FAFC"/>
          </w:tcPr>
          <w:p>
            <w:pPr>
              <w:spacing w:after="0" w:before="0"/>
              <w:jc w:val="left"/>
            </w:pPr>
            <w:r>
              <w:rPr>
                <w:rFonts w:ascii="Arial" w:hAnsi="Arial"/>
                <w:color w:val="1E293B"/>
                <w:sz w:val="19"/>
              </w:rPr>
              <w:t>Levantar requisitos funcionales/no funcionales y validar la viabilidad operativa en tienda.</w:t>
            </w:r>
          </w:p>
        </w:tc>
      </w:tr>
      <w:tr>
        <w:tc>
          <w:tcPr>
            <w:tcW w:type="dxa" w:w="4680"/>
            <w:vAlign w:val="center"/>
            <w:tcMar>
              <w:top w:w="120" w:type="dxa"/>
              <w:bottom w:w="120" w:type="dxa"/>
              <w:left w:w="150" w:type="dxa"/>
              <w:right w:w="150" w:type="dxa"/>
            </w:tcMar>
            <w:shd w:fill="FFFFFF"/>
          </w:tcPr>
          <w:p>
            <w:pPr>
              <w:spacing w:after="0" w:before="0"/>
              <w:jc w:val="left"/>
            </w:pPr>
            <w:r>
              <w:rPr>
                <w:rFonts w:ascii="Arial" w:hAnsi="Arial"/>
                <w:b/>
                <w:color w:val="1E293B"/>
                <w:sz w:val="19"/>
              </w:rPr>
              <w:t>Diseño</w:t>
            </w:r>
          </w:p>
        </w:tc>
        <w:tc>
          <w:tcPr>
            <w:tcW w:type="dxa" w:w="4680"/>
            <w:vAlign w:val="center"/>
            <w:tcMar>
              <w:top w:w="120" w:type="dxa"/>
              <w:bottom w:w="120" w:type="dxa"/>
              <w:left w:w="150" w:type="dxa"/>
              <w:right w:w="150" w:type="dxa"/>
            </w:tcMar>
            <w:shd w:fill="FFFFFF"/>
          </w:tcPr>
          <w:p>
            <w:pPr>
              <w:spacing w:after="0" w:before="0"/>
              <w:jc w:val="left"/>
            </w:pPr>
            <w:r>
              <w:rPr>
                <w:rFonts w:ascii="Arial" w:hAnsi="Arial"/>
                <w:color w:val="1E293B"/>
                <w:sz w:val="19"/>
              </w:rPr>
              <w:t>Definir arquitectura multiplataforma, modelo entidad-relación (ERD) e interfaces de usuario.</w:t>
            </w:r>
          </w:p>
        </w:tc>
      </w:tr>
      <w:tr>
        <w:tc>
          <w:tcPr>
            <w:tcW w:type="dxa" w:w="4680"/>
            <w:vAlign w:val="center"/>
            <w:tcMar>
              <w:top w:w="120" w:type="dxa"/>
              <w:bottom w:w="120" w:type="dxa"/>
              <w:left w:w="150" w:type="dxa"/>
              <w:right w:w="150" w:type="dxa"/>
            </w:tcMar>
            <w:shd w:fill="F8FAFC"/>
          </w:tcPr>
          <w:p>
            <w:pPr>
              <w:spacing w:after="0" w:before="0"/>
              <w:jc w:val="left"/>
            </w:pPr>
            <w:r>
              <w:rPr>
                <w:rFonts w:ascii="Arial" w:hAnsi="Arial"/>
                <w:b/>
                <w:color w:val="1E293B"/>
                <w:sz w:val="19"/>
              </w:rPr>
              <w:t>Implementación</w:t>
            </w:r>
          </w:p>
        </w:tc>
        <w:tc>
          <w:tcPr>
            <w:tcW w:type="dxa" w:w="4680"/>
            <w:vAlign w:val="center"/>
            <w:tcMar>
              <w:top w:w="120" w:type="dxa"/>
              <w:bottom w:w="120" w:type="dxa"/>
              <w:left w:w="150" w:type="dxa"/>
              <w:right w:w="150" w:type="dxa"/>
            </w:tcMar>
            <w:shd w:fill="F8FAFC"/>
          </w:tcPr>
          <w:p>
            <w:pPr>
              <w:spacing w:after="0" w:before="0"/>
              <w:jc w:val="left"/>
            </w:pPr>
            <w:r>
              <w:rPr>
                <w:rFonts w:ascii="Arial" w:hAnsi="Arial"/>
                <w:color w:val="1E293B"/>
                <w:sz w:val="19"/>
              </w:rPr>
              <w:t>Codificar módulos backend y frontend bajo estándares de calidad y control de versiones.</w:t>
            </w:r>
          </w:p>
        </w:tc>
      </w:tr>
      <w:tr>
        <w:tc>
          <w:tcPr>
            <w:tcW w:type="dxa" w:w="4680"/>
            <w:vAlign w:val="center"/>
            <w:tcMar>
              <w:top w:w="120" w:type="dxa"/>
              <w:bottom w:w="120" w:type="dxa"/>
              <w:left w:w="150" w:type="dxa"/>
              <w:right w:w="150" w:type="dxa"/>
            </w:tcMar>
            <w:shd w:fill="FFFFFF"/>
          </w:tcPr>
          <w:p>
            <w:pPr>
              <w:spacing w:after="0" w:before="0"/>
              <w:jc w:val="left"/>
            </w:pPr>
            <w:r>
              <w:rPr>
                <w:rFonts w:ascii="Arial" w:hAnsi="Arial"/>
                <w:b/>
                <w:color w:val="1E293B"/>
                <w:sz w:val="19"/>
              </w:rPr>
              <w:t>Pruebas</w:t>
            </w:r>
          </w:p>
        </w:tc>
        <w:tc>
          <w:tcPr>
            <w:tcW w:type="dxa" w:w="4680"/>
            <w:vAlign w:val="center"/>
            <w:tcMar>
              <w:top w:w="120" w:type="dxa"/>
              <w:bottom w:w="120" w:type="dxa"/>
              <w:left w:w="150" w:type="dxa"/>
              <w:right w:w="150" w:type="dxa"/>
            </w:tcMar>
            <w:shd w:fill="FFFFFF"/>
          </w:tcPr>
          <w:p>
            <w:pPr>
              <w:spacing w:after="0" w:before="0"/>
              <w:jc w:val="left"/>
            </w:pPr>
            <w:r>
              <w:rPr>
                <w:rFonts w:ascii="Arial" w:hAnsi="Arial"/>
                <w:color w:val="1E293B"/>
                <w:sz w:val="19"/>
              </w:rPr>
              <w:t>Ejecutar pruebas de API con Postman, validación de UI y pruebas unitarias aisladas.</w:t>
            </w:r>
          </w:p>
        </w:tc>
      </w:tr>
      <w:tr>
        <w:tc>
          <w:tcPr>
            <w:tcW w:type="dxa" w:w="4680"/>
            <w:vAlign w:val="center"/>
            <w:tcMar>
              <w:top w:w="120" w:type="dxa"/>
              <w:bottom w:w="120" w:type="dxa"/>
              <w:left w:w="150" w:type="dxa"/>
              <w:right w:w="150" w:type="dxa"/>
            </w:tcMar>
            <w:shd w:fill="F8FAFC"/>
          </w:tcPr>
          <w:p>
            <w:pPr>
              <w:spacing w:after="0" w:before="0"/>
              <w:jc w:val="left"/>
            </w:pPr>
            <w:r>
              <w:rPr>
                <w:rFonts w:ascii="Arial" w:hAnsi="Arial"/>
                <w:b/>
                <w:color w:val="1E293B"/>
                <w:sz w:val="19"/>
              </w:rPr>
              <w:t>Mantenimiento</w:t>
            </w:r>
          </w:p>
        </w:tc>
        <w:tc>
          <w:tcPr>
            <w:tcW w:type="dxa" w:w="4680"/>
            <w:vAlign w:val="center"/>
            <w:tcMar>
              <w:top w:w="120" w:type="dxa"/>
              <w:bottom w:w="120" w:type="dxa"/>
              <w:left w:w="150" w:type="dxa"/>
              <w:right w:w="150" w:type="dxa"/>
            </w:tcMar>
            <w:shd w:fill="F8FAFC"/>
          </w:tcPr>
          <w:p>
            <w:pPr>
              <w:spacing w:after="0" w:before="0"/>
              <w:jc w:val="left"/>
            </w:pPr>
            <w:r>
              <w:rPr>
                <w:rFonts w:ascii="Arial" w:hAnsi="Arial"/>
                <w:color w:val="1E293B"/>
                <w:sz w:val="19"/>
              </w:rPr>
              <w:t>Aplicar refactorización correctiva y perfectiva sobre módulos existentes.</w:t>
            </w:r>
          </w:p>
        </w:tc>
      </w:tr>
    </w:tbl>
    <w:p/>
    <w:p>
      <w:pPr>
        <w:pStyle w:val="Heading2"/>
      </w:pPr>
      <w:r>
        <w:t>5.2. Metodología de Trabajo</w:t>
      </w:r>
    </w:p>
    <w:p>
      <w:r>
        <w:t xml:space="preserve">Se implementó un marco </w:t>
      </w:r>
      <w:r>
        <w:rPr>
          <w:b/>
        </w:rPr>
        <w:t>ágil iterativo e incremental</w:t>
      </w:r>
      <w:r>
        <w:t xml:space="preserve"> adaptado para desarrollo personal (PSP - Personal Software Process) con sprints enfocados en componentes específicos (Autenticación → Inventario → Ventas POS → Reportes e Inteligencia).</w:t>
      </w:r>
    </w:p>
    <w:p>
      <w:pPr>
        <w:pStyle w:val="Heading1"/>
      </w:pPr>
      <w:r>
        <w:t>6. Stack Tecnológico</w:t>
      </w:r>
    </w:p>
    <w:p>
      <w:pPr>
        <w:pStyle w:val="Heading2"/>
      </w:pPr>
      <w:r>
        <w:t>6.1. Componentes del Núcleo y Clientes</w:t>
      </w:r>
    </w:p>
    <w:tbl>
      <w:tblPr>
        <w:tblStyle w:val="TableGrid"/>
        <w:tblW w:type="auto" w:w="0"/>
        <w:jc w:val="center"/>
        <w:tblLook w:firstColumn="1" w:firstRow="1" w:lastColumn="0" w:lastRow="0" w:noHBand="0" w:noVBand="1" w:val="04A0"/>
        <w:tblBorders>
          <w:top w:val="single" w:sz="6" w:space="0" w:color="64748B"/>
          <w:left w:val="single" w:sz="6" w:space="0" w:color="64748B"/>
          <w:bottom w:val="single" w:sz="6" w:space="0" w:color="64748B"/>
          <w:right w:val="single" w:sz="6" w:space="0" w:color="64748B"/>
          <w:insideH w:val="single" w:sz="6" w:space="0" w:color="64748B"/>
          <w:insideV w:val="single" w:sz="6" w:space="0" w:color="64748B"/>
        </w:tblBorders>
      </w:tblPr>
      <w:tblGrid>
        <w:gridCol w:w="4680"/>
        <w:gridCol w:w="4680"/>
      </w:tblGrid>
      <w:tr>
        <w:tc>
          <w:tcPr>
            <w:tcW w:type="dxa" w:w="4680"/>
            <w:vAlign w:val="center"/>
            <w:tcMar>
              <w:top w:w="120" w:type="dxa"/>
              <w:bottom w:w="120" w:type="dxa"/>
              <w:left w:w="150" w:type="dxa"/>
              <w:right w:w="150" w:type="dxa"/>
            </w:tcMar>
            <w:shd w:fill="1E293B"/>
          </w:tcPr>
          <w:p>
            <w:pPr>
              <w:spacing w:after="0" w:before="0"/>
              <w:jc w:val="center"/>
            </w:pPr>
            <w:r>
              <w:rPr>
                <w:rFonts w:ascii="Arial" w:hAnsi="Arial"/>
                <w:b/>
                <w:color w:val="FFFFFF"/>
                <w:sz w:val="20"/>
              </w:rPr>
              <w:t>Módulo / Capa</w:t>
            </w:r>
          </w:p>
        </w:tc>
        <w:tc>
          <w:tcPr>
            <w:tcW w:type="dxa" w:w="4680"/>
            <w:vAlign w:val="center"/>
            <w:tcMar>
              <w:top w:w="120" w:type="dxa"/>
              <w:bottom w:w="120" w:type="dxa"/>
              <w:left w:w="150" w:type="dxa"/>
              <w:right w:w="150" w:type="dxa"/>
            </w:tcMar>
            <w:shd w:fill="1E293B"/>
          </w:tcPr>
          <w:p>
            <w:pPr>
              <w:spacing w:after="0" w:before="0"/>
              <w:jc w:val="center"/>
            </w:pPr>
            <w:r>
              <w:rPr>
                <w:rFonts w:ascii="Arial" w:hAnsi="Arial"/>
                <w:b/>
                <w:color w:val="FFFFFF"/>
                <w:sz w:val="20"/>
              </w:rPr>
              <w:t>Tecnologías Seleccionadas</w:t>
            </w:r>
          </w:p>
        </w:tc>
      </w:tr>
      <w:tr>
        <w:tc>
          <w:tcPr>
            <w:tcW w:type="dxa" w:w="4680"/>
            <w:vAlign w:val="center"/>
            <w:tcMar>
              <w:top w:w="120" w:type="dxa"/>
              <w:bottom w:w="120" w:type="dxa"/>
              <w:left w:w="150" w:type="dxa"/>
              <w:right w:w="150" w:type="dxa"/>
            </w:tcMar>
            <w:shd w:fill="F8FAFC"/>
          </w:tcPr>
          <w:p>
            <w:pPr>
              <w:spacing w:after="0" w:before="0"/>
              <w:jc w:val="left"/>
            </w:pPr>
            <w:r>
              <w:rPr>
                <w:rFonts w:ascii="Arial" w:hAnsi="Arial"/>
                <w:b/>
                <w:color w:val="1E293B"/>
                <w:sz w:val="19"/>
              </w:rPr>
              <w:t>Backend (Core API)</w:t>
            </w:r>
          </w:p>
        </w:tc>
        <w:tc>
          <w:tcPr>
            <w:tcW w:type="dxa" w:w="4680"/>
            <w:vAlign w:val="center"/>
            <w:tcMar>
              <w:top w:w="120" w:type="dxa"/>
              <w:bottom w:w="120" w:type="dxa"/>
              <w:left w:w="150" w:type="dxa"/>
              <w:right w:w="150" w:type="dxa"/>
            </w:tcMar>
            <w:shd w:fill="F8FAFC"/>
          </w:tcPr>
          <w:p>
            <w:pPr>
              <w:spacing w:after="0" w:before="0"/>
              <w:jc w:val="left"/>
            </w:pPr>
            <w:r>
              <w:rPr>
                <w:rFonts w:ascii="Arial" w:hAnsi="Arial"/>
                <w:color w:val="1E293B"/>
                <w:sz w:val="19"/>
              </w:rPr>
              <w:t>Java 25 · Spring Boot 4.0.6 · Spring Security · JPA / Hibernate</w:t>
            </w:r>
          </w:p>
        </w:tc>
      </w:tr>
      <w:tr>
        <w:tc>
          <w:tcPr>
            <w:tcW w:type="dxa" w:w="4680"/>
            <w:vAlign w:val="center"/>
            <w:tcMar>
              <w:top w:w="120" w:type="dxa"/>
              <w:bottom w:w="120" w:type="dxa"/>
              <w:left w:w="150" w:type="dxa"/>
              <w:right w:w="150" w:type="dxa"/>
            </w:tcMar>
            <w:shd w:fill="FFFFFF"/>
          </w:tcPr>
          <w:p>
            <w:pPr>
              <w:spacing w:after="0" w:before="0"/>
              <w:jc w:val="left"/>
            </w:pPr>
            <w:r>
              <w:rPr>
                <w:rFonts w:ascii="Arial" w:hAnsi="Arial"/>
                <w:b/>
                <w:color w:val="1E293B"/>
                <w:sz w:val="19"/>
              </w:rPr>
              <w:t>Frontend Web</w:t>
            </w:r>
          </w:p>
        </w:tc>
        <w:tc>
          <w:tcPr>
            <w:tcW w:type="dxa" w:w="4680"/>
            <w:vAlign w:val="center"/>
            <w:tcMar>
              <w:top w:w="120" w:type="dxa"/>
              <w:bottom w:w="120" w:type="dxa"/>
              <w:left w:w="150" w:type="dxa"/>
              <w:right w:w="150" w:type="dxa"/>
            </w:tcMar>
            <w:shd w:fill="FFFFFF"/>
          </w:tcPr>
          <w:p>
            <w:pPr>
              <w:spacing w:after="0" w:before="0"/>
              <w:jc w:val="left"/>
            </w:pPr>
            <w:r>
              <w:rPr>
                <w:rFonts w:ascii="Arial" w:hAnsi="Arial"/>
                <w:color w:val="1E293B"/>
                <w:sz w:val="19"/>
              </w:rPr>
              <w:t>HTML5 · CSS3 Vanilla · JavaScript ES6+ · Thymeleaf Template Engine</w:t>
            </w:r>
          </w:p>
        </w:tc>
      </w:tr>
      <w:tr>
        <w:tc>
          <w:tcPr>
            <w:tcW w:type="dxa" w:w="4680"/>
            <w:vAlign w:val="center"/>
            <w:tcMar>
              <w:top w:w="120" w:type="dxa"/>
              <w:bottom w:w="120" w:type="dxa"/>
              <w:left w:w="150" w:type="dxa"/>
              <w:right w:w="150" w:type="dxa"/>
            </w:tcMar>
            <w:shd w:fill="F8FAFC"/>
          </w:tcPr>
          <w:p>
            <w:pPr>
              <w:spacing w:after="0" w:before="0"/>
              <w:jc w:val="left"/>
            </w:pPr>
            <w:r>
              <w:rPr>
                <w:rFonts w:ascii="Arial" w:hAnsi="Arial"/>
                <w:b/>
                <w:color w:val="1E293B"/>
                <w:sz w:val="19"/>
              </w:rPr>
              <w:t>App Desktop</w:t>
            </w:r>
          </w:p>
        </w:tc>
        <w:tc>
          <w:tcPr>
            <w:tcW w:type="dxa" w:w="4680"/>
            <w:vAlign w:val="center"/>
            <w:tcMar>
              <w:top w:w="120" w:type="dxa"/>
              <w:bottom w:w="120" w:type="dxa"/>
              <w:left w:w="150" w:type="dxa"/>
              <w:right w:w="150" w:type="dxa"/>
            </w:tcMar>
            <w:shd w:fill="F8FAFC"/>
          </w:tcPr>
          <w:p>
            <w:pPr>
              <w:spacing w:after="0" w:before="0"/>
              <w:jc w:val="left"/>
            </w:pPr>
            <w:r>
              <w:rPr>
                <w:rFonts w:ascii="Arial" w:hAnsi="Arial"/>
                <w:color w:val="1E293B"/>
                <w:sz w:val="19"/>
              </w:rPr>
              <w:t>Java 25 · Swing Framework · FlatLaf Look &amp; Feel · Jackson JSON</w:t>
            </w:r>
          </w:p>
        </w:tc>
      </w:tr>
      <w:tr>
        <w:tc>
          <w:tcPr>
            <w:tcW w:type="dxa" w:w="4680"/>
            <w:vAlign w:val="center"/>
            <w:tcMar>
              <w:top w:w="120" w:type="dxa"/>
              <w:bottom w:w="120" w:type="dxa"/>
              <w:left w:w="150" w:type="dxa"/>
              <w:right w:w="150" w:type="dxa"/>
            </w:tcMar>
            <w:shd w:fill="FFFFFF"/>
          </w:tcPr>
          <w:p>
            <w:pPr>
              <w:spacing w:after="0" w:before="0"/>
              <w:jc w:val="left"/>
            </w:pPr>
            <w:r>
              <w:rPr>
                <w:rFonts w:ascii="Arial" w:hAnsi="Arial"/>
                <w:b/>
                <w:color w:val="1E293B"/>
                <w:sz w:val="19"/>
              </w:rPr>
              <w:t>App Móvil</w:t>
            </w:r>
          </w:p>
        </w:tc>
        <w:tc>
          <w:tcPr>
            <w:tcW w:type="dxa" w:w="4680"/>
            <w:vAlign w:val="center"/>
            <w:tcMar>
              <w:top w:w="120" w:type="dxa"/>
              <w:bottom w:w="120" w:type="dxa"/>
              <w:left w:w="150" w:type="dxa"/>
              <w:right w:w="150" w:type="dxa"/>
            </w:tcMar>
            <w:shd w:fill="FFFFFF"/>
          </w:tcPr>
          <w:p>
            <w:pPr>
              <w:spacing w:after="0" w:before="0"/>
              <w:jc w:val="left"/>
            </w:pPr>
            <w:r>
              <w:rPr>
                <w:rFonts w:ascii="Arial" w:hAnsi="Arial"/>
                <w:color w:val="1E293B"/>
                <w:sz w:val="19"/>
              </w:rPr>
              <w:t>Kotlin 2.x · Android SDK · Jetpack Compose · Architecture MVVM · Retrofit</w:t>
            </w:r>
          </w:p>
        </w:tc>
      </w:tr>
      <w:tr>
        <w:tc>
          <w:tcPr>
            <w:tcW w:type="dxa" w:w="4680"/>
            <w:vAlign w:val="center"/>
            <w:tcMar>
              <w:top w:w="120" w:type="dxa"/>
              <w:bottom w:w="120" w:type="dxa"/>
              <w:left w:w="150" w:type="dxa"/>
              <w:right w:w="150" w:type="dxa"/>
            </w:tcMar>
            <w:shd w:fill="F8FAFC"/>
          </w:tcPr>
          <w:p>
            <w:pPr>
              <w:spacing w:after="0" w:before="0"/>
              <w:jc w:val="left"/>
            </w:pPr>
            <w:r>
              <w:rPr>
                <w:rFonts w:ascii="Arial" w:hAnsi="Arial"/>
                <w:b/>
                <w:color w:val="1E293B"/>
                <w:sz w:val="19"/>
              </w:rPr>
              <w:t>Base de Datos</w:t>
            </w:r>
          </w:p>
        </w:tc>
        <w:tc>
          <w:tcPr>
            <w:tcW w:type="dxa" w:w="4680"/>
            <w:vAlign w:val="center"/>
            <w:tcMar>
              <w:top w:w="120" w:type="dxa"/>
              <w:bottom w:w="120" w:type="dxa"/>
              <w:left w:w="150" w:type="dxa"/>
              <w:right w:w="150" w:type="dxa"/>
            </w:tcMar>
            <w:shd w:fill="F8FAFC"/>
          </w:tcPr>
          <w:p>
            <w:pPr>
              <w:spacing w:after="0" w:before="0"/>
              <w:jc w:val="left"/>
            </w:pPr>
            <w:r>
              <w:rPr>
                <w:rFonts w:ascii="Arial" w:hAnsi="Arial"/>
                <w:color w:val="1E293B"/>
                <w:sz w:val="19"/>
              </w:rPr>
              <w:t xml:space="preserve">MySQL 8.0 (Esquema </w:t>
            </w:r>
            <w:r>
              <w:rPr>
                <w:rFonts w:ascii="Arial" w:hAnsi="Arial"/>
                <w:color w:val="1E293B"/>
                <w:sz w:val="19"/>
              </w:rPr>
              <w:t>tienda_acacios</w:t>
            </w:r>
            <w:r>
              <w:rPr>
                <w:rFonts w:ascii="Arial" w:hAnsi="Arial"/>
                <w:color w:val="1E293B"/>
                <w:sz w:val="19"/>
              </w:rPr>
              <w:t>)</w:t>
            </w:r>
          </w:p>
        </w:tc>
      </w:tr>
      <w:tr>
        <w:tc>
          <w:tcPr>
            <w:tcW w:type="dxa" w:w="4680"/>
            <w:vAlign w:val="center"/>
            <w:tcMar>
              <w:top w:w="120" w:type="dxa"/>
              <w:bottom w:w="120" w:type="dxa"/>
              <w:left w:w="150" w:type="dxa"/>
              <w:right w:w="150" w:type="dxa"/>
            </w:tcMar>
            <w:shd w:fill="FFFFFF"/>
          </w:tcPr>
          <w:p>
            <w:pPr>
              <w:spacing w:after="0" w:before="0"/>
              <w:jc w:val="left"/>
            </w:pPr>
            <w:r>
              <w:rPr>
                <w:rFonts w:ascii="Arial" w:hAnsi="Arial"/>
                <w:b/>
                <w:color w:val="1E293B"/>
                <w:sz w:val="19"/>
              </w:rPr>
              <w:t>Seguridad</w:t>
            </w:r>
          </w:p>
        </w:tc>
        <w:tc>
          <w:tcPr>
            <w:tcW w:type="dxa" w:w="4680"/>
            <w:vAlign w:val="center"/>
            <w:tcMar>
              <w:top w:w="120" w:type="dxa"/>
              <w:bottom w:w="120" w:type="dxa"/>
              <w:left w:w="150" w:type="dxa"/>
              <w:right w:w="150" w:type="dxa"/>
            </w:tcMar>
            <w:shd w:fill="FFFFFF"/>
          </w:tcPr>
          <w:p>
            <w:pPr>
              <w:spacing w:after="0" w:before="0"/>
              <w:jc w:val="left"/>
            </w:pPr>
            <w:r>
              <w:rPr>
                <w:rFonts w:ascii="Arial" w:hAnsi="Arial"/>
                <w:color w:val="1E293B"/>
                <w:sz w:val="19"/>
              </w:rPr>
              <w:t>JSON Web Token (JWT) con encriptación de claves</w:t>
            </w:r>
          </w:p>
        </w:tc>
      </w:tr>
    </w:tbl>
    <w:p/>
    <w:p>
      <w:pPr>
        <w:pStyle w:val="Heading2"/>
      </w:pPr>
      <w:r>
        <w:t>6.2. Herramientas de Desarrollo y Gestión</w:t>
      </w:r>
    </w:p>
    <w:p>
      <w:pPr>
        <w:pStyle w:val="ListBullet"/>
        <w:spacing w:after="60"/>
      </w:pPr>
      <w:r>
        <w:rPr>
          <w:b/>
        </w:rPr>
        <w:t>IDE / Editores:</w:t>
      </w:r>
      <w:r>
        <w:t xml:space="preserve"> VS Code, IntelliJ IDEA, Android Studio.</w:t>
      </w:r>
    </w:p>
    <w:p>
      <w:pPr>
        <w:pStyle w:val="ListBullet"/>
        <w:spacing w:after="60"/>
      </w:pPr>
      <w:r>
        <w:rPr>
          <w:b/>
        </w:rPr>
        <w:t>Control de Versiones y Build:</w:t>
      </w:r>
      <w:r>
        <w:t xml:space="preserve"> Git, GitHub, Apache Maven.</w:t>
      </w:r>
    </w:p>
    <w:p>
      <w:pPr>
        <w:pStyle w:val="ListBullet"/>
        <w:spacing w:after="60"/>
      </w:pPr>
      <w:r>
        <w:rPr>
          <w:b/>
        </w:rPr>
        <w:t>Pruebas de API y BD:</w:t>
      </w:r>
      <w:r>
        <w:t xml:space="preserve"> Postman, MySQL Workbench.</w:t>
      </w:r>
    </w:p>
    <w:p>
      <w:pPr>
        <w:pStyle w:val="ListBullet"/>
        <w:spacing w:after="60"/>
      </w:pPr>
      <w:r>
        <w:rPr>
          <w:b/>
        </w:rPr>
        <w:t>Documentación y Diagramado:</w:t>
      </w:r>
      <w:r>
        <w:t xml:space="preserve"> Markdown, Mermaid Diagrams.</w:t>
      </w:r>
    </w:p>
    <w:p>
      <w:pPr>
        <w:pStyle w:val="Heading1"/>
      </w:pPr>
      <w:r>
        <w:t>7. Arquitectura y Modelo del Sistema</w:t>
      </w:r>
    </w:p>
    <w:p>
      <w:pPr>
        <w:pStyle w:val="Heading2"/>
      </w:pPr>
      <w:r>
        <w:t>7.1. Principios Arquitectónicos</w:t>
      </w:r>
    </w:p>
    <w:p>
      <w:pPr>
        <w:spacing w:after="60"/>
        <w:ind w:left="360"/>
      </w:pPr>
      <w:r>
        <w:rPr>
          <w:b/>
        </w:rPr>
        <w:t xml:space="preserve">1. </w:t>
      </w:r>
      <w:r>
        <w:rPr>
          <w:b/>
        </w:rPr>
        <w:t>Aislamiento Total de Persistencia:</w:t>
      </w:r>
      <w:r>
        <w:t xml:space="preserve"> Únicamente el Backend Core tiene permiso para conectarse a la base de datos MySQL.</w:t>
      </w:r>
    </w:p>
    <w:p>
      <w:pPr>
        <w:spacing w:after="60"/>
        <w:ind w:left="360"/>
      </w:pPr>
      <w:r>
        <w:rPr>
          <w:b/>
        </w:rPr>
        <w:t xml:space="preserve">2. </w:t>
      </w:r>
      <w:r>
        <w:rPr>
          <w:b/>
        </w:rPr>
        <w:t>Single Source of Truth (Fuente Única de Verdad):</w:t>
      </w:r>
      <w:r>
        <w:t xml:space="preserve"> Todos los clientes (Web, Desktop, Móvil) consumen la misma API REST.</w:t>
      </w:r>
    </w:p>
    <w:p>
      <w:pPr>
        <w:spacing w:after="60"/>
        <w:ind w:left="360"/>
      </w:pPr>
      <w:r>
        <w:rPr>
          <w:b/>
        </w:rPr>
        <w:t xml:space="preserve">3. </w:t>
      </w:r>
      <w:r>
        <w:rPr>
          <w:b/>
        </w:rPr>
        <w:t>Desacoplamiento Client-Server:</w:t>
      </w:r>
      <w:r>
        <w:t xml:space="preserve"> La lógica de negocio reside exclusivamente en los servicios Java del Backend.</w:t>
      </w:r>
    </w:p>
    <w:p>
      <w:pPr>
        <w:pStyle w:val="Heading2"/>
      </w:pPr>
      <w:r>
        <w:t>7.2. Estructura Multicapa del Repositorio</w:t>
      </w:r>
    </w:p>
    <w:p>
      <w:pPr>
        <w:spacing w:before="120" w:after="120"/>
        <w:ind w:left="360"/>
      </w:pPr>
      <w:r>
        <w:rPr>
          <w:rFonts w:ascii="Courier New" w:hAnsi="Courier New"/>
          <w:color w:val="334155"/>
          <w:sz w:val="18"/>
        </w:rPr>
        <w:t>AcaciosWork/</w:t>
        <w:br/>
        <w:t>├── acacioswork-backend/    # Core API REST (Spring Boot)</w:t>
        <w:br/>
        <w:t>│   ├── config/             # Seguridad, JWT, CORS</w:t>
        <w:br/>
        <w:t>│   ├── controller/         # Endpoints REST</w:t>
        <w:br/>
        <w:t>│   ├── service/            # Lógica de negocio</w:t>
        <w:br/>
        <w:t>│   ├── model/              # Entidades JPA</w:t>
        <w:br/>
        <w:t>│   └── repository/         # Acceso a datos (Spring Data)</w:t>
        <w:br/>
        <w:t>├── acacioswork-desktop/    # App Escritorio (Java Swing)</w:t>
        <w:br/>
        <w:t>├── acacioswork-frontend/   # Dashboard Web (HTML/JS/Thymeleaf)</w:t>
        <w:br/>
        <w:t>│   ├── static/js/core/     # api.js · auth.js · utils.js</w:t>
        <w:br/>
        <w:t>│   ├── static/js/modules/  # ventas/ · inventario/ · reportes/ · inteligencia/</w:t>
        <w:br/>
        <w:t>│   └── static/js/shared/   # modal.js · notificacion.js · exportador-pdf.js</w:t>
        <w:br/>
        <w:t>└── acacioswork-android/    # App Móvil (Kotlin / Jetpack Compose)</w:t>
      </w:r>
    </w:p>
    <w:p>
      <w:pPr>
        <w:pStyle w:val="Heading2"/>
      </w:pPr>
      <w:r>
        <w:t>7.3. Diagramas del Sistema</w:t>
      </w:r>
    </w:p>
    <w:p>
      <w:pPr>
        <w:pStyle w:val="Heading3"/>
      </w:pPr>
      <w:r>
        <w:t>7.3.1. Arquitectura General</w:t>
      </w:r>
    </w:p>
    <w:p>
      <w:pPr>
        <w:spacing w:before="240" w:after="240"/>
        <w:jc w:val="center"/>
      </w:pPr>
      <w:r>
        <w:drawing>
          <wp:inline xmlns:a="http://schemas.openxmlformats.org/drawingml/2006/main" xmlns:pic="http://schemas.openxmlformats.org/drawingml/2006/picture">
            <wp:extent cx="5303520" cy="3656309"/>
            <wp:docPr id="1" name="Picture 1"/>
            <wp:cNvGraphicFramePr>
              <a:graphicFrameLocks noChangeAspect="1"/>
            </wp:cNvGraphicFramePr>
            <a:graphic>
              <a:graphicData uri="http://schemas.openxmlformats.org/drawingml/2006/picture">
                <pic:pic>
                  <pic:nvPicPr>
                    <pic:cNvPr id="0" name="tmpgt5uhy3l.png"/>
                    <pic:cNvPicPr/>
                  </pic:nvPicPr>
                  <pic:blipFill>
                    <a:blip r:embed="rId10"/>
                    <a:stretch>
                      <a:fillRect/>
                    </a:stretch>
                  </pic:blipFill>
                  <pic:spPr>
                    <a:xfrm>
                      <a:off x="0" y="0"/>
                      <a:ext cx="5303520" cy="3656309"/>
                    </a:xfrm>
                    <a:prstGeom prst="rect"/>
                  </pic:spPr>
                </pic:pic>
              </a:graphicData>
            </a:graphic>
          </wp:inline>
        </w:drawing>
      </w:r>
    </w:p>
    <w:p>
      <w:pPr>
        <w:pStyle w:val="Heading3"/>
      </w:pPr>
      <w:r>
        <w:t>7.3.2. Interfaz de Usuario Web</w:t>
      </w:r>
    </w:p>
    <w:p>
      <w:pPr>
        <w:spacing w:before="240" w:after="240"/>
        <w:jc w:val="center"/>
      </w:pPr>
      <w:r>
        <w:drawing>
          <wp:inline xmlns:a="http://schemas.openxmlformats.org/drawingml/2006/main" xmlns:pic="http://schemas.openxmlformats.org/drawingml/2006/picture">
            <wp:extent cx="5303520" cy="1569673"/>
            <wp:docPr id="2" name="Picture 2"/>
            <wp:cNvGraphicFramePr>
              <a:graphicFrameLocks noChangeAspect="1"/>
            </wp:cNvGraphicFramePr>
            <a:graphic>
              <a:graphicData uri="http://schemas.openxmlformats.org/drawingml/2006/picture">
                <pic:pic>
                  <pic:nvPicPr>
                    <pic:cNvPr id="0" name="tmpsywqony_.png"/>
                    <pic:cNvPicPr/>
                  </pic:nvPicPr>
                  <pic:blipFill>
                    <a:blip r:embed="rId11"/>
                    <a:stretch>
                      <a:fillRect/>
                    </a:stretch>
                  </pic:blipFill>
                  <pic:spPr>
                    <a:xfrm>
                      <a:off x="0" y="0"/>
                      <a:ext cx="5303520" cy="1569673"/>
                    </a:xfrm>
                    <a:prstGeom prst="rect"/>
                  </pic:spPr>
                </pic:pic>
              </a:graphicData>
            </a:graphic>
          </wp:inline>
        </w:drawing>
      </w:r>
    </w:p>
    <w:p>
      <w:pPr>
        <w:pStyle w:val="Heading3"/>
      </w:pPr>
      <w:r>
        <w:t>7.3.3. Flujo de Datos Transaccional</w:t>
      </w:r>
    </w:p>
    <w:p>
      <w:pPr>
        <w:spacing w:before="240" w:after="240"/>
        <w:jc w:val="center"/>
      </w:pPr>
      <w:r>
        <w:drawing>
          <wp:inline xmlns:a="http://schemas.openxmlformats.org/drawingml/2006/main" xmlns:pic="http://schemas.openxmlformats.org/drawingml/2006/picture">
            <wp:extent cx="5303520" cy="2649293"/>
            <wp:docPr id="3" name="Picture 3"/>
            <wp:cNvGraphicFramePr>
              <a:graphicFrameLocks noChangeAspect="1"/>
            </wp:cNvGraphicFramePr>
            <a:graphic>
              <a:graphicData uri="http://schemas.openxmlformats.org/drawingml/2006/picture">
                <pic:pic>
                  <pic:nvPicPr>
                    <pic:cNvPr id="0" name="tmpl9krtpg2.png"/>
                    <pic:cNvPicPr/>
                  </pic:nvPicPr>
                  <pic:blipFill>
                    <a:blip r:embed="rId12"/>
                    <a:stretch>
                      <a:fillRect/>
                    </a:stretch>
                  </pic:blipFill>
                  <pic:spPr>
                    <a:xfrm>
                      <a:off x="0" y="0"/>
                      <a:ext cx="5303520" cy="2649293"/>
                    </a:xfrm>
                    <a:prstGeom prst="rect"/>
                  </pic:spPr>
                </pic:pic>
              </a:graphicData>
            </a:graphic>
          </wp:inline>
        </w:drawing>
      </w:r>
    </w:p>
    <w:p>
      <w:pPr>
        <w:pStyle w:val="Heading3"/>
      </w:pPr>
      <w:r>
        <w:t>7.3.4. Modelo de Datos (ERD)</w:t>
      </w:r>
    </w:p>
    <w:p>
      <w:pPr>
        <w:spacing w:before="240" w:after="240"/>
        <w:jc w:val="center"/>
      </w:pPr>
      <w:r>
        <w:drawing>
          <wp:inline xmlns:a="http://schemas.openxmlformats.org/drawingml/2006/main" xmlns:pic="http://schemas.openxmlformats.org/drawingml/2006/picture">
            <wp:extent cx="5303520" cy="3596072"/>
            <wp:docPr id="4" name="Picture 4"/>
            <wp:cNvGraphicFramePr>
              <a:graphicFrameLocks noChangeAspect="1"/>
            </wp:cNvGraphicFramePr>
            <a:graphic>
              <a:graphicData uri="http://schemas.openxmlformats.org/drawingml/2006/picture">
                <pic:pic>
                  <pic:nvPicPr>
                    <pic:cNvPr id="0" name="tmpblalbup0.png"/>
                    <pic:cNvPicPr/>
                  </pic:nvPicPr>
                  <pic:blipFill>
                    <a:blip r:embed="rId13"/>
                    <a:stretch>
                      <a:fillRect/>
                    </a:stretch>
                  </pic:blipFill>
                  <pic:spPr>
                    <a:xfrm>
                      <a:off x="0" y="0"/>
                      <a:ext cx="5303520" cy="3596072"/>
                    </a:xfrm>
                    <a:prstGeom prst="rect"/>
                  </pic:spPr>
                </pic:pic>
              </a:graphicData>
            </a:graphic>
          </wp:inline>
        </w:drawing>
      </w:r>
    </w:p>
    <w:p>
      <w:pPr>
        <w:pStyle w:val="Heading1"/>
      </w:pPr>
      <w:r>
        <w:t>8. Estándares de Codificación y Calidad</w:t>
      </w:r>
    </w:p>
    <w:p>
      <w:pPr>
        <w:pStyle w:val="Heading2"/>
      </w:pPr>
      <w:r>
        <w:t>8.1. Convenciones de Nomenclatura</w:t>
      </w:r>
    </w:p>
    <w:tbl>
      <w:tblPr>
        <w:tblStyle w:val="TableGrid"/>
        <w:tblW w:type="auto" w:w="0"/>
        <w:jc w:val="center"/>
        <w:tblLook w:firstColumn="1" w:firstRow="1" w:lastColumn="0" w:lastRow="0" w:noHBand="0" w:noVBand="1" w:val="04A0"/>
        <w:tblBorders>
          <w:top w:val="single" w:sz="6" w:space="0" w:color="64748B"/>
          <w:left w:val="single" w:sz="6" w:space="0" w:color="64748B"/>
          <w:bottom w:val="single" w:sz="6" w:space="0" w:color="64748B"/>
          <w:right w:val="single" w:sz="6" w:space="0" w:color="64748B"/>
          <w:insideH w:val="single" w:sz="6" w:space="0" w:color="64748B"/>
          <w:insideV w:val="single" w:sz="6" w:space="0" w:color="64748B"/>
        </w:tblBorders>
      </w:tblPr>
      <w:tblGrid>
        <w:gridCol w:w="3120"/>
        <w:gridCol w:w="3120"/>
        <w:gridCol w:w="3120"/>
      </w:tblGrid>
      <w:tr>
        <w:tc>
          <w:tcPr>
            <w:tcW w:type="dxa" w:w="3120"/>
            <w:vAlign w:val="center"/>
            <w:tcMar>
              <w:top w:w="120" w:type="dxa"/>
              <w:bottom w:w="120" w:type="dxa"/>
              <w:left w:w="150" w:type="dxa"/>
              <w:right w:w="150" w:type="dxa"/>
            </w:tcMar>
            <w:shd w:fill="1E293B"/>
          </w:tcPr>
          <w:p>
            <w:pPr>
              <w:spacing w:after="0" w:before="0"/>
              <w:jc w:val="center"/>
            </w:pPr>
            <w:r>
              <w:rPr>
                <w:rFonts w:ascii="Arial" w:hAnsi="Arial"/>
                <w:b/>
                <w:color w:val="FFFFFF"/>
                <w:sz w:val="20"/>
              </w:rPr>
              <w:t>Caso de Uso</w:t>
            </w:r>
          </w:p>
        </w:tc>
        <w:tc>
          <w:tcPr>
            <w:tcW w:type="dxa" w:w="3120"/>
            <w:vAlign w:val="center"/>
            <w:tcMar>
              <w:top w:w="120" w:type="dxa"/>
              <w:bottom w:w="120" w:type="dxa"/>
              <w:left w:w="150" w:type="dxa"/>
              <w:right w:w="150" w:type="dxa"/>
            </w:tcMar>
            <w:shd w:fill="1E293B"/>
          </w:tcPr>
          <w:p>
            <w:pPr>
              <w:spacing w:after="0" w:before="0"/>
              <w:jc w:val="center"/>
            </w:pPr>
            <w:r>
              <w:rPr>
                <w:rFonts w:ascii="Arial" w:hAnsi="Arial"/>
                <w:b/>
                <w:color w:val="FFFFFF"/>
                <w:sz w:val="20"/>
              </w:rPr>
              <w:t>Convención</w:t>
            </w:r>
          </w:p>
        </w:tc>
        <w:tc>
          <w:tcPr>
            <w:tcW w:type="dxa" w:w="3120"/>
            <w:vAlign w:val="center"/>
            <w:tcMar>
              <w:top w:w="120" w:type="dxa"/>
              <w:bottom w:w="120" w:type="dxa"/>
              <w:left w:w="150" w:type="dxa"/>
              <w:right w:w="150" w:type="dxa"/>
            </w:tcMar>
            <w:shd w:fill="1E293B"/>
          </w:tcPr>
          <w:p>
            <w:pPr>
              <w:spacing w:after="0" w:before="0"/>
              <w:jc w:val="center"/>
            </w:pPr>
            <w:r>
              <w:rPr>
                <w:rFonts w:ascii="Arial" w:hAnsi="Arial"/>
                <w:b/>
                <w:color w:val="FFFFFF"/>
                <w:sz w:val="20"/>
              </w:rPr>
              <w:t>Ejemplo</w:t>
            </w:r>
          </w:p>
        </w:tc>
      </w:tr>
      <w:tr>
        <w:tc>
          <w:tcPr>
            <w:tcW w:type="dxa" w:w="3120"/>
            <w:vAlign w:val="center"/>
            <w:tcMar>
              <w:top w:w="120" w:type="dxa"/>
              <w:bottom w:w="120" w:type="dxa"/>
              <w:left w:w="150" w:type="dxa"/>
              <w:right w:w="150" w:type="dxa"/>
            </w:tcMar>
            <w:shd w:fill="F8FAFC"/>
          </w:tcPr>
          <w:p>
            <w:pPr>
              <w:spacing w:after="0" w:before="0"/>
              <w:jc w:val="left"/>
            </w:pPr>
            <w:r>
              <w:rPr>
                <w:rFonts w:ascii="Arial" w:hAnsi="Arial"/>
                <w:b/>
                <w:color w:val="1E293B"/>
                <w:sz w:val="19"/>
              </w:rPr>
              <w:t>Variables y Métodos</w:t>
            </w:r>
          </w:p>
        </w:tc>
        <w:tc>
          <w:tcPr>
            <w:tcW w:type="dxa" w:w="3120"/>
            <w:vAlign w:val="center"/>
            <w:tcMar>
              <w:top w:w="120" w:type="dxa"/>
              <w:bottom w:w="120" w:type="dxa"/>
              <w:left w:w="150" w:type="dxa"/>
              <w:right w:w="150" w:type="dxa"/>
            </w:tcMar>
            <w:shd w:fill="F8FAFC"/>
          </w:tcPr>
          <w:p>
            <w:pPr>
              <w:spacing w:after="0" w:before="0"/>
              <w:jc w:val="left"/>
            </w:pPr>
            <w:r>
              <w:rPr>
                <w:rFonts w:ascii="Arial" w:hAnsi="Arial"/>
                <w:color w:val="1E293B"/>
                <w:sz w:val="19"/>
              </w:rPr>
              <w:t>camelCase</w:t>
            </w:r>
          </w:p>
        </w:tc>
        <w:tc>
          <w:tcPr>
            <w:tcW w:type="dxa" w:w="3120"/>
            <w:vAlign w:val="center"/>
            <w:tcMar>
              <w:top w:w="120" w:type="dxa"/>
              <w:bottom w:w="120" w:type="dxa"/>
              <w:left w:w="150" w:type="dxa"/>
              <w:right w:w="150" w:type="dxa"/>
            </w:tcMar>
            <w:shd w:fill="F8FAFC"/>
          </w:tcPr>
          <w:p>
            <w:pPr>
              <w:spacing w:after="0" w:before="0"/>
              <w:jc w:val="left"/>
            </w:pPr>
            <w:r>
              <w:rPr>
                <w:rFonts w:ascii="Arial" w:hAnsi="Arial"/>
                <w:color w:val="1E293B"/>
                <w:sz w:val="19"/>
              </w:rPr>
              <w:t>stockActual</w:t>
            </w:r>
            <w:r>
              <w:rPr>
                <w:rFonts w:ascii="Arial" w:hAnsi="Arial"/>
                <w:color w:val="1E293B"/>
                <w:sz w:val="19"/>
              </w:rPr>
              <w:t xml:space="preserve">, </w:t>
            </w:r>
            <w:r>
              <w:rPr>
                <w:rFonts w:ascii="Arial" w:hAnsi="Arial"/>
                <w:color w:val="1E293B"/>
                <w:sz w:val="19"/>
              </w:rPr>
              <w:t>calcularTotalVenta()</w:t>
            </w:r>
          </w:p>
        </w:tc>
      </w:tr>
      <w:tr>
        <w:tc>
          <w:tcPr>
            <w:tcW w:type="dxa" w:w="3120"/>
            <w:vAlign w:val="center"/>
            <w:tcMar>
              <w:top w:w="120" w:type="dxa"/>
              <w:bottom w:w="120" w:type="dxa"/>
              <w:left w:w="150" w:type="dxa"/>
              <w:right w:w="150" w:type="dxa"/>
            </w:tcMar>
            <w:shd w:fill="FFFFFF"/>
          </w:tcPr>
          <w:p>
            <w:pPr>
              <w:spacing w:after="0" w:before="0"/>
              <w:jc w:val="left"/>
            </w:pPr>
            <w:r>
              <w:rPr>
                <w:rFonts w:ascii="Arial" w:hAnsi="Arial"/>
                <w:b/>
                <w:color w:val="1E293B"/>
                <w:sz w:val="19"/>
              </w:rPr>
              <w:t>Clases e Interfaces</w:t>
            </w:r>
          </w:p>
        </w:tc>
        <w:tc>
          <w:tcPr>
            <w:tcW w:type="dxa" w:w="3120"/>
            <w:vAlign w:val="center"/>
            <w:tcMar>
              <w:top w:w="120" w:type="dxa"/>
              <w:bottom w:w="120" w:type="dxa"/>
              <w:left w:w="150" w:type="dxa"/>
              <w:right w:w="150" w:type="dxa"/>
            </w:tcMar>
            <w:shd w:fill="FFFFFF"/>
          </w:tcPr>
          <w:p>
            <w:pPr>
              <w:spacing w:after="0" w:before="0"/>
              <w:jc w:val="left"/>
            </w:pPr>
            <w:r>
              <w:rPr>
                <w:rFonts w:ascii="Arial" w:hAnsi="Arial"/>
                <w:color w:val="1E293B"/>
                <w:sz w:val="19"/>
              </w:rPr>
              <w:t>PascalCase</w:t>
            </w:r>
          </w:p>
        </w:tc>
        <w:tc>
          <w:tcPr>
            <w:tcW w:type="dxa" w:w="3120"/>
            <w:vAlign w:val="center"/>
            <w:tcMar>
              <w:top w:w="120" w:type="dxa"/>
              <w:bottom w:w="120" w:type="dxa"/>
              <w:left w:w="150" w:type="dxa"/>
              <w:right w:w="150" w:type="dxa"/>
            </w:tcMar>
            <w:shd w:fill="FFFFFF"/>
          </w:tcPr>
          <w:p>
            <w:pPr>
              <w:spacing w:after="0" w:before="0"/>
              <w:jc w:val="left"/>
            </w:pPr>
            <w:r>
              <w:rPr>
                <w:rFonts w:ascii="Arial" w:hAnsi="Arial"/>
                <w:color w:val="1E293B"/>
                <w:sz w:val="19"/>
              </w:rPr>
              <w:t>ProductoController</w:t>
            </w:r>
            <w:r>
              <w:rPr>
                <w:rFonts w:ascii="Arial" w:hAnsi="Arial"/>
                <w:color w:val="1E293B"/>
                <w:sz w:val="19"/>
              </w:rPr>
              <w:t xml:space="preserve">, </w:t>
            </w:r>
            <w:r>
              <w:rPr>
                <w:rFonts w:ascii="Arial" w:hAnsi="Arial"/>
                <w:color w:val="1E293B"/>
                <w:sz w:val="19"/>
              </w:rPr>
              <w:t>VentaService</w:t>
            </w:r>
          </w:p>
        </w:tc>
      </w:tr>
      <w:tr>
        <w:tc>
          <w:tcPr>
            <w:tcW w:type="dxa" w:w="3120"/>
            <w:vAlign w:val="center"/>
            <w:tcMar>
              <w:top w:w="120" w:type="dxa"/>
              <w:bottom w:w="120" w:type="dxa"/>
              <w:left w:w="150" w:type="dxa"/>
              <w:right w:w="150" w:type="dxa"/>
            </w:tcMar>
            <w:shd w:fill="F8FAFC"/>
          </w:tcPr>
          <w:p>
            <w:pPr>
              <w:spacing w:after="0" w:before="0"/>
              <w:jc w:val="left"/>
            </w:pPr>
            <w:r>
              <w:rPr>
                <w:rFonts w:ascii="Arial" w:hAnsi="Arial"/>
                <w:b/>
                <w:color w:val="1E293B"/>
                <w:sz w:val="19"/>
              </w:rPr>
              <w:t>Base de Datos</w:t>
            </w:r>
          </w:p>
        </w:tc>
        <w:tc>
          <w:tcPr>
            <w:tcW w:type="dxa" w:w="3120"/>
            <w:vAlign w:val="center"/>
            <w:tcMar>
              <w:top w:w="120" w:type="dxa"/>
              <w:bottom w:w="120" w:type="dxa"/>
              <w:left w:w="150" w:type="dxa"/>
              <w:right w:w="150" w:type="dxa"/>
            </w:tcMar>
            <w:shd w:fill="F8FAFC"/>
          </w:tcPr>
          <w:p>
            <w:pPr>
              <w:spacing w:after="0" w:before="0"/>
              <w:jc w:val="left"/>
            </w:pPr>
            <w:r>
              <w:rPr>
                <w:rFonts w:ascii="Arial" w:hAnsi="Arial"/>
                <w:color w:val="1E293B"/>
                <w:sz w:val="19"/>
              </w:rPr>
              <w:t>snake_case</w:t>
            </w:r>
          </w:p>
        </w:tc>
        <w:tc>
          <w:tcPr>
            <w:tcW w:type="dxa" w:w="3120"/>
            <w:vAlign w:val="center"/>
            <w:tcMar>
              <w:top w:w="120" w:type="dxa"/>
              <w:bottom w:w="120" w:type="dxa"/>
              <w:left w:w="150" w:type="dxa"/>
              <w:right w:w="150" w:type="dxa"/>
            </w:tcMar>
            <w:shd w:fill="F8FAFC"/>
          </w:tcPr>
          <w:p>
            <w:pPr>
              <w:spacing w:after="0" w:before="0"/>
              <w:jc w:val="left"/>
            </w:pPr>
            <w:r>
              <w:rPr>
                <w:rFonts w:ascii="Arial" w:hAnsi="Arial"/>
                <w:color w:val="1E293B"/>
                <w:sz w:val="19"/>
              </w:rPr>
              <w:t>alertas_stock</w:t>
            </w:r>
            <w:r>
              <w:rPr>
                <w:rFonts w:ascii="Arial" w:hAnsi="Arial"/>
                <w:color w:val="1E293B"/>
                <w:sz w:val="19"/>
              </w:rPr>
              <w:t xml:space="preserve">, </w:t>
            </w:r>
            <w:r>
              <w:rPr>
                <w:rFonts w:ascii="Arial" w:hAnsi="Arial"/>
                <w:color w:val="1E293B"/>
                <w:sz w:val="19"/>
              </w:rPr>
              <w:t>fecha_hora</w:t>
            </w:r>
          </w:p>
        </w:tc>
      </w:tr>
      <w:tr>
        <w:tc>
          <w:tcPr>
            <w:tcW w:type="dxa" w:w="3120"/>
            <w:vAlign w:val="center"/>
            <w:tcMar>
              <w:top w:w="120" w:type="dxa"/>
              <w:bottom w:w="120" w:type="dxa"/>
              <w:left w:w="150" w:type="dxa"/>
              <w:right w:w="150" w:type="dxa"/>
            </w:tcMar>
            <w:shd w:fill="FFFFFF"/>
          </w:tcPr>
          <w:p>
            <w:pPr>
              <w:spacing w:after="0" w:before="0"/>
              <w:jc w:val="left"/>
            </w:pPr>
            <w:r>
              <w:rPr>
                <w:rFonts w:ascii="Arial" w:hAnsi="Arial"/>
                <w:b/>
                <w:color w:val="1E293B"/>
                <w:sz w:val="19"/>
              </w:rPr>
              <w:t>Archivos HTML / CSS</w:t>
            </w:r>
          </w:p>
        </w:tc>
        <w:tc>
          <w:tcPr>
            <w:tcW w:type="dxa" w:w="3120"/>
            <w:vAlign w:val="center"/>
            <w:tcMar>
              <w:top w:w="120" w:type="dxa"/>
              <w:bottom w:w="120" w:type="dxa"/>
              <w:left w:w="150" w:type="dxa"/>
              <w:right w:w="150" w:type="dxa"/>
            </w:tcMar>
            <w:shd w:fill="FFFFFF"/>
          </w:tcPr>
          <w:p>
            <w:pPr>
              <w:spacing w:after="0" w:before="0"/>
              <w:jc w:val="left"/>
            </w:pPr>
            <w:r>
              <w:rPr>
                <w:rFonts w:ascii="Arial" w:hAnsi="Arial"/>
                <w:color w:val="1E293B"/>
                <w:sz w:val="19"/>
              </w:rPr>
              <w:t>kebab-case</w:t>
            </w:r>
          </w:p>
        </w:tc>
        <w:tc>
          <w:tcPr>
            <w:tcW w:type="dxa" w:w="3120"/>
            <w:vAlign w:val="center"/>
            <w:tcMar>
              <w:top w:w="120" w:type="dxa"/>
              <w:bottom w:w="120" w:type="dxa"/>
              <w:left w:w="150" w:type="dxa"/>
              <w:right w:w="150" w:type="dxa"/>
            </w:tcMar>
            <w:shd w:fill="FFFFFF"/>
          </w:tcPr>
          <w:p>
            <w:pPr>
              <w:spacing w:after="0" w:before="0"/>
              <w:jc w:val="left"/>
            </w:pPr>
            <w:r>
              <w:rPr>
                <w:rFonts w:ascii="Arial" w:hAnsi="Arial"/>
                <w:color w:val="1E293B"/>
                <w:sz w:val="19"/>
              </w:rPr>
              <w:t>administrador-dashboard.html</w:t>
            </w:r>
            <w:r>
              <w:rPr>
                <w:rFonts w:ascii="Arial" w:hAnsi="Arial"/>
                <w:color w:val="1E293B"/>
                <w:sz w:val="19"/>
              </w:rPr>
              <w:t xml:space="preserve">, </w:t>
            </w:r>
            <w:r>
              <w:rPr>
                <w:rFonts w:ascii="Arial" w:hAnsi="Arial"/>
                <w:color w:val="1E293B"/>
                <w:sz w:val="19"/>
              </w:rPr>
              <w:t>main-styles.css</w:t>
            </w:r>
          </w:p>
        </w:tc>
      </w:tr>
      <w:tr>
        <w:tc>
          <w:tcPr>
            <w:tcW w:type="dxa" w:w="3120"/>
            <w:vAlign w:val="center"/>
            <w:tcMar>
              <w:top w:w="120" w:type="dxa"/>
              <w:bottom w:w="120" w:type="dxa"/>
              <w:left w:w="150" w:type="dxa"/>
              <w:right w:w="150" w:type="dxa"/>
            </w:tcMar>
            <w:shd w:fill="F8FAFC"/>
          </w:tcPr>
          <w:p>
            <w:pPr>
              <w:spacing w:after="0" w:before="0"/>
              <w:jc w:val="left"/>
            </w:pPr>
            <w:r>
              <w:rPr>
                <w:rFonts w:ascii="Arial" w:hAnsi="Arial"/>
                <w:b/>
                <w:color w:val="1E293B"/>
                <w:sz w:val="19"/>
              </w:rPr>
              <w:t>Constantes</w:t>
            </w:r>
          </w:p>
        </w:tc>
        <w:tc>
          <w:tcPr>
            <w:tcW w:type="dxa" w:w="3120"/>
            <w:vAlign w:val="center"/>
            <w:tcMar>
              <w:top w:w="120" w:type="dxa"/>
              <w:bottom w:w="120" w:type="dxa"/>
              <w:left w:w="150" w:type="dxa"/>
              <w:right w:w="150" w:type="dxa"/>
            </w:tcMar>
            <w:shd w:fill="F8FAFC"/>
          </w:tcPr>
          <w:p>
            <w:pPr>
              <w:spacing w:after="0" w:before="0"/>
              <w:jc w:val="left"/>
            </w:pPr>
            <w:r>
              <w:rPr>
                <w:rFonts w:ascii="Arial" w:hAnsi="Arial"/>
                <w:color w:val="1E293B"/>
                <w:sz w:val="19"/>
              </w:rPr>
              <w:t>UPPER_SNAKE_CASE</w:t>
            </w:r>
          </w:p>
        </w:tc>
        <w:tc>
          <w:tcPr>
            <w:tcW w:type="dxa" w:w="3120"/>
            <w:vAlign w:val="center"/>
            <w:tcMar>
              <w:top w:w="120" w:type="dxa"/>
              <w:bottom w:w="120" w:type="dxa"/>
              <w:left w:w="150" w:type="dxa"/>
              <w:right w:w="150" w:type="dxa"/>
            </w:tcMar>
            <w:shd w:fill="F8FAFC"/>
          </w:tcPr>
          <w:p>
            <w:pPr>
              <w:spacing w:after="0" w:before="0"/>
              <w:jc w:val="left"/>
            </w:pPr>
            <w:r>
              <w:rPr>
                <w:rFonts w:ascii="Arial" w:hAnsi="Arial"/>
                <w:color w:val="1E293B"/>
                <w:sz w:val="19"/>
              </w:rPr>
              <w:t>DEFAULT_TAX_RATE</w:t>
            </w:r>
          </w:p>
        </w:tc>
      </w:tr>
    </w:tbl>
    <w:p/>
    <w:p>
      <w:pPr>
        <w:pStyle w:val="Heading2"/>
      </w:pPr>
      <w:r>
        <w:t>8.2. Documentación e Identificación de Código</w:t>
      </w:r>
    </w:p>
    <w:p>
      <w:r>
        <w:t>Cada clase, método relevante o archivo script debe llevar documentación explícita y la firma del autor:</w:t>
      </w:r>
    </w:p>
    <w:p>
      <w:pPr>
        <w:spacing w:before="120" w:after="120"/>
        <w:ind w:left="360"/>
      </w:pPr>
      <w:r>
        <w:rPr>
          <w:rFonts w:ascii="Courier New" w:hAnsi="Courier New"/>
          <w:color w:val="334155"/>
          <w:sz w:val="18"/>
        </w:rPr>
        <w:t>/** Registra una nueva venta validando disponibilidad de stock. @author RADJ */</w:t>
      </w:r>
    </w:p>
    <w:p>
      <w:pPr>
        <w:pStyle w:val="Heading2"/>
      </w:pPr>
      <w:r>
        <w:t>8.3. Patrones de Codificación y Modularidad</w:t>
      </w:r>
    </w:p>
    <w:p>
      <w:pPr>
        <w:pStyle w:val="ListBullet"/>
        <w:spacing w:after="60"/>
      </w:pPr>
      <w:r>
        <w:rPr>
          <w:b/>
        </w:rPr>
        <w:t>Inyección de Dependencias:</w:t>
      </w:r>
      <w:r>
        <w:t xml:space="preserve"> Uso de anotaciones Spring (</w:t>
      </w:r>
      <w:r>
        <w:rPr>
          <w:rFonts w:ascii="Courier New" w:hAnsi="Courier New"/>
          <w:color w:val="464646"/>
          <w:sz w:val="19"/>
        </w:rPr>
        <w:t>@Service</w:t>
      </w:r>
      <w:r>
        <w:t xml:space="preserve">, </w:t>
      </w:r>
      <w:r>
        <w:rPr>
          <w:rFonts w:ascii="Courier New" w:hAnsi="Courier New"/>
          <w:color w:val="464646"/>
          <w:sz w:val="19"/>
        </w:rPr>
        <w:t>@RestController</w:t>
      </w:r>
      <w:r>
        <w:t xml:space="preserve">, </w:t>
      </w:r>
      <w:r>
        <w:rPr>
          <w:rFonts w:ascii="Courier New" w:hAnsi="Courier New"/>
          <w:color w:val="464646"/>
          <w:sz w:val="19"/>
        </w:rPr>
        <w:t>@Autowired</w:t>
      </w:r>
      <w:r>
        <w:t>).</w:t>
      </w:r>
    </w:p>
    <w:p>
      <w:pPr>
        <w:pStyle w:val="ListBullet"/>
        <w:spacing w:after="60"/>
      </w:pPr>
      <w:r>
        <w:rPr>
          <w:b/>
        </w:rPr>
        <w:t>Lombok Integration:</w:t>
      </w:r>
      <w:r>
        <w:t xml:space="preserve"> Reducción de código repetitivo en modelos Java.</w:t>
      </w:r>
    </w:p>
    <w:p>
      <w:pPr>
        <w:pStyle w:val="ListBullet"/>
        <w:spacing w:after="60"/>
      </w:pPr>
      <w:r>
        <w:rPr>
          <w:b/>
        </w:rPr>
        <w:t>JavaScript Modular:</w:t>
      </w:r>
      <w:r>
        <w:t xml:space="preserve"> Organización estricta en carpetas </w:t>
      </w:r>
      <w:r>
        <w:rPr>
          <w:rFonts w:ascii="Courier New" w:hAnsi="Courier New"/>
          <w:color w:val="464646"/>
          <w:sz w:val="19"/>
        </w:rPr>
        <w:t>core/</w:t>
      </w:r>
      <w:r>
        <w:t xml:space="preserve"> (servicios base), </w:t>
      </w:r>
      <w:r>
        <w:rPr>
          <w:rFonts w:ascii="Courier New" w:hAnsi="Courier New"/>
          <w:color w:val="464646"/>
          <w:sz w:val="19"/>
        </w:rPr>
        <w:t>modules/</w:t>
      </w:r>
      <w:r>
        <w:t xml:space="preserve"> (lógica de vistas) y </w:t>
      </w:r>
      <w:r>
        <w:rPr>
          <w:rFonts w:ascii="Courier New" w:hAnsi="Courier New"/>
          <w:color w:val="464646"/>
          <w:sz w:val="19"/>
        </w:rPr>
        <w:t>shared/</w:t>
      </w:r>
      <w:r>
        <w:t xml:space="preserve"> (componentes globales).</w:t>
      </w:r>
    </w:p>
    <w:p>
      <w:pPr>
        <w:pStyle w:val="Heading2"/>
      </w:pPr>
      <w:r>
        <w:t>8.4. Alineación con Normas Internacionales</w:t>
      </w:r>
    </w:p>
    <w:p>
      <w:pPr>
        <w:pStyle w:val="ListBullet"/>
        <w:spacing w:after="60"/>
      </w:pPr>
      <w:r>
        <w:rPr>
          <w:b/>
        </w:rPr>
        <w:t>ISO/IEC 25000 (SQuaRE):</w:t>
      </w:r>
      <w:r>
        <w:t xml:space="preserve"> Criterios de evaluación de calidad en mantenibilidad, seguridad y adecuación funcional.</w:t>
      </w:r>
    </w:p>
    <w:p>
      <w:pPr>
        <w:pStyle w:val="ListBullet"/>
        <w:spacing w:after="60"/>
      </w:pPr>
      <w:r>
        <w:rPr>
          <w:b/>
        </w:rPr>
        <w:t>ISO/IEC 9126:</w:t>
      </w:r>
      <w:r>
        <w:t xml:space="preserve"> Aseguramiento de atributos de usabilidad, eficiencia y portabilidad.</w:t>
      </w:r>
    </w:p>
    <w:p>
      <w:pPr>
        <w:pStyle w:val="ListBullet"/>
        <w:spacing w:after="60"/>
      </w:pPr>
      <w:r>
        <w:rPr>
          <w:b/>
        </w:rPr>
        <w:t>CMMI Nivel 2:</w:t>
      </w:r>
      <w:r>
        <w:t xml:space="preserve"> Gestión de configuración y trazabilidad de cambios en desarrollo.</w:t>
      </w:r>
    </w:p>
    <w:p>
      <w:pPr>
        <w:pStyle w:val="Heading1"/>
      </w:pPr>
      <w:r>
        <w:t>9. Seguridad y Protección de Datos</w:t>
      </w:r>
    </w:p>
    <w:p>
      <w:pPr>
        <w:pStyle w:val="Heading2"/>
      </w:pPr>
      <w:r>
        <w:t>9.1. Autenticación y Autorización</w:t>
      </w:r>
    </w:p>
    <w:p>
      <w:pPr>
        <w:pStyle w:val="ListBullet"/>
        <w:spacing w:after="60"/>
      </w:pPr>
      <w:r>
        <w:t xml:space="preserve">Implementación de </w:t>
      </w:r>
      <w:r>
        <w:rPr>
          <w:b/>
        </w:rPr>
        <w:t>JSON Web Tokens (JWT)</w:t>
      </w:r>
      <w:r>
        <w:t xml:space="preserve"> para la gestión de sesiones sin estado (stateless).</w:t>
      </w:r>
    </w:p>
    <w:p>
      <w:pPr>
        <w:pStyle w:val="ListBullet"/>
        <w:spacing w:after="60"/>
      </w:pPr>
      <w:r>
        <w:t>Restricción de acceso a endpoints basada en roles de usuario (</w:t>
      </w:r>
      <w:r>
        <w:rPr>
          <w:rFonts w:ascii="Courier New" w:hAnsi="Courier New"/>
          <w:color w:val="464646"/>
          <w:sz w:val="19"/>
        </w:rPr>
        <w:t>ADMINISTRADOR</w:t>
      </w:r>
      <w:r>
        <w:t xml:space="preserve"> y </w:t>
      </w:r>
      <w:r>
        <w:rPr>
          <w:rFonts w:ascii="Courier New" w:hAnsi="Courier New"/>
          <w:color w:val="464646"/>
          <w:sz w:val="19"/>
        </w:rPr>
        <w:t>AUXILIAR</w:t>
      </w:r>
      <w:r>
        <w:t>).</w:t>
      </w:r>
    </w:p>
    <w:p>
      <w:pPr>
        <w:pStyle w:val="Heading2"/>
      </w:pPr>
      <w:r>
        <w:t>9.2. Aislamiento de Capas</w:t>
      </w:r>
    </w:p>
    <w:p>
      <w:pPr>
        <w:pStyle w:val="ListBullet"/>
        <w:spacing w:after="60"/>
      </w:pPr>
      <w:r>
        <w:t>Ningún cliente frontend o móvil posee credenciales de base de datos.</w:t>
      </w:r>
    </w:p>
    <w:p>
      <w:pPr>
        <w:pStyle w:val="ListBullet"/>
        <w:spacing w:after="60"/>
      </w:pPr>
      <w:r>
        <w:t>Configuración centralizada de políticas CORS para filtrar peticiones de orígenes no autorizados.</w:t>
      </w:r>
    </w:p>
    <w:p>
      <w:pPr>
        <w:pStyle w:val="Heading1"/>
      </w:pPr>
      <w:r>
        <w:t>10. Aseguramiento de Calidad y Pruebas</w:t>
      </w:r>
    </w:p>
    <w:p>
      <w:pPr>
        <w:pStyle w:val="Heading2"/>
      </w:pPr>
      <w:r>
        <w:t>10.1. Tipos de Pruebas Ejecutadas</w:t>
      </w:r>
    </w:p>
    <w:tbl>
      <w:tblPr>
        <w:tblStyle w:val="TableGrid"/>
        <w:tblW w:type="auto" w:w="0"/>
        <w:jc w:val="center"/>
        <w:tblLook w:firstColumn="1" w:firstRow="1" w:lastColumn="0" w:lastRow="0" w:noHBand="0" w:noVBand="1" w:val="04A0"/>
        <w:tblBorders>
          <w:top w:val="single" w:sz="6" w:space="0" w:color="64748B"/>
          <w:left w:val="single" w:sz="6" w:space="0" w:color="64748B"/>
          <w:bottom w:val="single" w:sz="6" w:space="0" w:color="64748B"/>
          <w:right w:val="single" w:sz="6" w:space="0" w:color="64748B"/>
          <w:insideH w:val="single" w:sz="6" w:space="0" w:color="64748B"/>
          <w:insideV w:val="single" w:sz="6" w:space="0" w:color="64748B"/>
        </w:tblBorders>
      </w:tblPr>
      <w:tblGrid>
        <w:gridCol w:w="3120"/>
        <w:gridCol w:w="3120"/>
        <w:gridCol w:w="3120"/>
      </w:tblGrid>
      <w:tr>
        <w:tc>
          <w:tcPr>
            <w:tcW w:type="dxa" w:w="3120"/>
            <w:vAlign w:val="center"/>
            <w:tcMar>
              <w:top w:w="120" w:type="dxa"/>
              <w:bottom w:w="120" w:type="dxa"/>
              <w:left w:w="150" w:type="dxa"/>
              <w:right w:w="150" w:type="dxa"/>
            </w:tcMar>
            <w:shd w:fill="1E293B"/>
          </w:tcPr>
          <w:p>
            <w:pPr>
              <w:spacing w:after="0" w:before="0"/>
              <w:jc w:val="center"/>
            </w:pPr>
            <w:r>
              <w:rPr>
                <w:rFonts w:ascii="Arial" w:hAnsi="Arial"/>
                <w:b/>
                <w:color w:val="FFFFFF"/>
                <w:sz w:val="20"/>
              </w:rPr>
              <w:t>Nivel de Prueba</w:t>
            </w:r>
          </w:p>
        </w:tc>
        <w:tc>
          <w:tcPr>
            <w:tcW w:type="dxa" w:w="3120"/>
            <w:vAlign w:val="center"/>
            <w:tcMar>
              <w:top w:w="120" w:type="dxa"/>
              <w:bottom w:w="120" w:type="dxa"/>
              <w:left w:w="150" w:type="dxa"/>
              <w:right w:w="150" w:type="dxa"/>
            </w:tcMar>
            <w:shd w:fill="1E293B"/>
          </w:tcPr>
          <w:p>
            <w:pPr>
              <w:spacing w:after="0" w:before="0"/>
              <w:jc w:val="center"/>
            </w:pPr>
            <w:r>
              <w:rPr>
                <w:rFonts w:ascii="Arial" w:hAnsi="Arial"/>
                <w:b/>
                <w:color w:val="FFFFFF"/>
                <w:sz w:val="20"/>
              </w:rPr>
              <w:t>Alcance</w:t>
            </w:r>
          </w:p>
        </w:tc>
        <w:tc>
          <w:tcPr>
            <w:tcW w:type="dxa" w:w="3120"/>
            <w:vAlign w:val="center"/>
            <w:tcMar>
              <w:top w:w="120" w:type="dxa"/>
              <w:bottom w:w="120" w:type="dxa"/>
              <w:left w:w="150" w:type="dxa"/>
              <w:right w:w="150" w:type="dxa"/>
            </w:tcMar>
            <w:shd w:fill="1E293B"/>
          </w:tcPr>
          <w:p>
            <w:pPr>
              <w:spacing w:after="0" w:before="0"/>
              <w:jc w:val="center"/>
            </w:pPr>
            <w:r>
              <w:rPr>
                <w:rFonts w:ascii="Arial" w:hAnsi="Arial"/>
                <w:b/>
                <w:color w:val="FFFFFF"/>
                <w:sz w:val="20"/>
              </w:rPr>
              <w:t>Herramienta / Método</w:t>
            </w:r>
          </w:p>
        </w:tc>
      </w:tr>
      <w:tr>
        <w:tc>
          <w:tcPr>
            <w:tcW w:type="dxa" w:w="3120"/>
            <w:vAlign w:val="center"/>
            <w:tcMar>
              <w:top w:w="120" w:type="dxa"/>
              <w:bottom w:w="120" w:type="dxa"/>
              <w:left w:w="150" w:type="dxa"/>
              <w:right w:w="150" w:type="dxa"/>
            </w:tcMar>
            <w:shd w:fill="F8FAFC"/>
          </w:tcPr>
          <w:p>
            <w:pPr>
              <w:spacing w:after="0" w:before="0"/>
              <w:jc w:val="left"/>
            </w:pPr>
            <w:r>
              <w:rPr>
                <w:rFonts w:ascii="Arial" w:hAnsi="Arial"/>
                <w:b/>
                <w:color w:val="1E293B"/>
                <w:sz w:val="19"/>
              </w:rPr>
              <w:t>Pruebas Unitarias</w:t>
            </w:r>
          </w:p>
        </w:tc>
        <w:tc>
          <w:tcPr>
            <w:tcW w:type="dxa" w:w="3120"/>
            <w:vAlign w:val="center"/>
            <w:tcMar>
              <w:top w:w="120" w:type="dxa"/>
              <w:bottom w:w="120" w:type="dxa"/>
              <w:left w:w="150" w:type="dxa"/>
              <w:right w:w="150" w:type="dxa"/>
            </w:tcMar>
            <w:shd w:fill="F8FAFC"/>
          </w:tcPr>
          <w:p>
            <w:pPr>
              <w:spacing w:after="0" w:before="0"/>
              <w:jc w:val="left"/>
            </w:pPr>
            <w:r>
              <w:rPr>
                <w:rFonts w:ascii="Arial" w:hAnsi="Arial"/>
                <w:color w:val="1E293B"/>
                <w:sz w:val="19"/>
              </w:rPr>
              <w:t>Validación lógica de métodos de negocio aislados.</w:t>
            </w:r>
          </w:p>
        </w:tc>
        <w:tc>
          <w:tcPr>
            <w:tcW w:type="dxa" w:w="3120"/>
            <w:vAlign w:val="center"/>
            <w:tcMar>
              <w:top w:w="120" w:type="dxa"/>
              <w:bottom w:w="120" w:type="dxa"/>
              <w:left w:w="150" w:type="dxa"/>
              <w:right w:w="150" w:type="dxa"/>
            </w:tcMar>
            <w:shd w:fill="F8FAFC"/>
          </w:tcPr>
          <w:p>
            <w:pPr>
              <w:spacing w:after="0" w:before="0"/>
              <w:jc w:val="left"/>
            </w:pPr>
            <w:r>
              <w:rPr>
                <w:rFonts w:ascii="Arial" w:hAnsi="Arial"/>
                <w:color w:val="1E293B"/>
                <w:sz w:val="19"/>
              </w:rPr>
              <w:t>JUnit / Mockito</w:t>
            </w:r>
          </w:p>
        </w:tc>
      </w:tr>
      <w:tr>
        <w:tc>
          <w:tcPr>
            <w:tcW w:type="dxa" w:w="3120"/>
            <w:vAlign w:val="center"/>
            <w:tcMar>
              <w:top w:w="120" w:type="dxa"/>
              <w:bottom w:w="120" w:type="dxa"/>
              <w:left w:w="150" w:type="dxa"/>
              <w:right w:w="150" w:type="dxa"/>
            </w:tcMar>
            <w:shd w:fill="FFFFFF"/>
          </w:tcPr>
          <w:p>
            <w:pPr>
              <w:spacing w:after="0" w:before="0"/>
              <w:jc w:val="left"/>
            </w:pPr>
            <w:r>
              <w:rPr>
                <w:rFonts w:ascii="Arial" w:hAnsi="Arial"/>
                <w:b/>
                <w:color w:val="1E293B"/>
                <w:sz w:val="19"/>
              </w:rPr>
              <w:t>Pruebas de Integración</w:t>
            </w:r>
          </w:p>
        </w:tc>
        <w:tc>
          <w:tcPr>
            <w:tcW w:type="dxa" w:w="3120"/>
            <w:vAlign w:val="center"/>
            <w:tcMar>
              <w:top w:w="120" w:type="dxa"/>
              <w:bottom w:w="120" w:type="dxa"/>
              <w:left w:w="150" w:type="dxa"/>
              <w:right w:w="150" w:type="dxa"/>
            </w:tcMar>
            <w:shd w:fill="FFFFFF"/>
          </w:tcPr>
          <w:p>
            <w:pPr>
              <w:spacing w:after="0" w:before="0"/>
              <w:jc w:val="left"/>
            </w:pPr>
            <w:r>
              <w:rPr>
                <w:rFonts w:ascii="Arial" w:hAnsi="Arial"/>
                <w:color w:val="1E293B"/>
                <w:sz w:val="19"/>
              </w:rPr>
              <w:t>Comunicación entre Controladores, Servicios y Repositorios JPA.</w:t>
            </w:r>
          </w:p>
        </w:tc>
        <w:tc>
          <w:tcPr>
            <w:tcW w:type="dxa" w:w="3120"/>
            <w:vAlign w:val="center"/>
            <w:tcMar>
              <w:top w:w="120" w:type="dxa"/>
              <w:bottom w:w="120" w:type="dxa"/>
              <w:left w:w="150" w:type="dxa"/>
              <w:right w:w="150" w:type="dxa"/>
            </w:tcMar>
            <w:shd w:fill="FFFFFF"/>
          </w:tcPr>
          <w:p>
            <w:pPr>
              <w:spacing w:after="0" w:before="0"/>
              <w:jc w:val="left"/>
            </w:pPr>
            <w:r>
              <w:rPr>
                <w:rFonts w:ascii="Arial" w:hAnsi="Arial"/>
                <w:color w:val="1E293B"/>
                <w:sz w:val="19"/>
              </w:rPr>
              <w:t>Spring Boot Test</w:t>
            </w:r>
          </w:p>
        </w:tc>
      </w:tr>
      <w:tr>
        <w:tc>
          <w:tcPr>
            <w:tcW w:type="dxa" w:w="3120"/>
            <w:vAlign w:val="center"/>
            <w:tcMar>
              <w:top w:w="120" w:type="dxa"/>
              <w:bottom w:w="120" w:type="dxa"/>
              <w:left w:w="150" w:type="dxa"/>
              <w:right w:w="150" w:type="dxa"/>
            </w:tcMar>
            <w:shd w:fill="F8FAFC"/>
          </w:tcPr>
          <w:p>
            <w:pPr>
              <w:spacing w:after="0" w:before="0"/>
              <w:jc w:val="left"/>
            </w:pPr>
            <w:r>
              <w:rPr>
                <w:rFonts w:ascii="Arial" w:hAnsi="Arial"/>
                <w:b/>
                <w:color w:val="1E293B"/>
                <w:sz w:val="19"/>
              </w:rPr>
              <w:t>Pruebas de API</w:t>
            </w:r>
          </w:p>
        </w:tc>
        <w:tc>
          <w:tcPr>
            <w:tcW w:type="dxa" w:w="3120"/>
            <w:vAlign w:val="center"/>
            <w:tcMar>
              <w:top w:w="120" w:type="dxa"/>
              <w:bottom w:w="120" w:type="dxa"/>
              <w:left w:w="150" w:type="dxa"/>
              <w:right w:w="150" w:type="dxa"/>
            </w:tcMar>
            <w:shd w:fill="F8FAFC"/>
          </w:tcPr>
          <w:p>
            <w:pPr>
              <w:spacing w:after="0" w:before="0"/>
              <w:jc w:val="left"/>
            </w:pPr>
            <w:r>
              <w:rPr>
                <w:rFonts w:ascii="Arial" w:hAnsi="Arial"/>
                <w:color w:val="1E293B"/>
                <w:sz w:val="19"/>
              </w:rPr>
              <w:t>Verificación de respuestas JSON, códigos HTTP y payloads.</w:t>
            </w:r>
          </w:p>
        </w:tc>
        <w:tc>
          <w:tcPr>
            <w:tcW w:type="dxa" w:w="3120"/>
            <w:vAlign w:val="center"/>
            <w:tcMar>
              <w:top w:w="120" w:type="dxa"/>
              <w:bottom w:w="120" w:type="dxa"/>
              <w:left w:w="150" w:type="dxa"/>
              <w:right w:w="150" w:type="dxa"/>
            </w:tcMar>
            <w:shd w:fill="F8FAFC"/>
          </w:tcPr>
          <w:p>
            <w:pPr>
              <w:spacing w:after="0" w:before="0"/>
              <w:jc w:val="left"/>
            </w:pPr>
            <w:r>
              <w:rPr>
                <w:rFonts w:ascii="Arial" w:hAnsi="Arial"/>
                <w:color w:val="1E293B"/>
                <w:sz w:val="19"/>
              </w:rPr>
              <w:t>Postman Collections</w:t>
            </w:r>
          </w:p>
        </w:tc>
      </w:tr>
      <w:tr>
        <w:tc>
          <w:tcPr>
            <w:tcW w:type="dxa" w:w="3120"/>
            <w:vAlign w:val="center"/>
            <w:tcMar>
              <w:top w:w="120" w:type="dxa"/>
              <w:bottom w:w="120" w:type="dxa"/>
              <w:left w:w="150" w:type="dxa"/>
              <w:right w:w="150" w:type="dxa"/>
            </w:tcMar>
            <w:shd w:fill="FFFFFF"/>
          </w:tcPr>
          <w:p>
            <w:pPr>
              <w:spacing w:after="0" w:before="0"/>
              <w:jc w:val="left"/>
            </w:pPr>
            <w:r>
              <w:rPr>
                <w:rFonts w:ascii="Arial" w:hAnsi="Arial"/>
                <w:b/>
                <w:color w:val="1E293B"/>
                <w:sz w:val="19"/>
              </w:rPr>
              <w:t>Pruebas de UI y UAT</w:t>
            </w:r>
          </w:p>
        </w:tc>
        <w:tc>
          <w:tcPr>
            <w:tcW w:type="dxa" w:w="3120"/>
            <w:vAlign w:val="center"/>
            <w:tcMar>
              <w:top w:w="120" w:type="dxa"/>
              <w:bottom w:w="120" w:type="dxa"/>
              <w:left w:w="150" w:type="dxa"/>
              <w:right w:w="150" w:type="dxa"/>
            </w:tcMar>
            <w:shd w:fill="FFFFFF"/>
          </w:tcPr>
          <w:p>
            <w:pPr>
              <w:spacing w:after="0" w:before="0"/>
              <w:jc w:val="left"/>
            </w:pPr>
            <w:r>
              <w:rPr>
                <w:rFonts w:ascii="Arial" w:hAnsi="Arial"/>
                <w:color w:val="1E293B"/>
                <w:sz w:val="19"/>
              </w:rPr>
              <w:t>Validación de usabilidad y flujo continuo en navegadores y dispositivos.</w:t>
            </w:r>
          </w:p>
        </w:tc>
        <w:tc>
          <w:tcPr>
            <w:tcW w:type="dxa" w:w="3120"/>
            <w:vAlign w:val="center"/>
            <w:tcMar>
              <w:top w:w="120" w:type="dxa"/>
              <w:bottom w:w="120" w:type="dxa"/>
              <w:left w:w="150" w:type="dxa"/>
              <w:right w:w="150" w:type="dxa"/>
            </w:tcMar>
            <w:shd w:fill="FFFFFF"/>
          </w:tcPr>
          <w:p>
            <w:pPr>
              <w:spacing w:after="0" w:before="0"/>
              <w:jc w:val="left"/>
            </w:pPr>
            <w:r>
              <w:rPr>
                <w:rFonts w:ascii="Arial" w:hAnsi="Arial"/>
                <w:color w:val="1E293B"/>
                <w:sz w:val="19"/>
              </w:rPr>
              <w:t>Manual / Chrome DevTools</w:t>
            </w:r>
          </w:p>
        </w:tc>
      </w:tr>
    </w:tbl>
    <w:p/>
    <w:p>
      <w:pPr>
        <w:pStyle w:val="Heading2"/>
      </w:pPr>
      <w:r>
        <w:t>10.2. Ciclo de Gestión de Incidencias</w:t>
      </w:r>
    </w:p>
    <w:p>
      <w:r>
        <w:t>Flujo estandarizado conforme a ISO/IEC/IEEE 29119-3:</w:t>
      </w:r>
    </w:p>
    <w:p>
      <w:r>
        <w:rPr>
          <w:rFonts w:ascii="Courier New" w:hAnsi="Courier New"/>
          <w:color w:val="464646"/>
          <w:sz w:val="19"/>
        </w:rPr>
        <w:t>Detectado → Reportado (BUG) → Asignado → Corregido → Re-Test → Cerrado</w:t>
      </w:r>
    </w:p>
    <w:p>
      <w:pPr>
        <w:pStyle w:val="Heading2"/>
      </w:pPr>
      <w:r>
        <w:t>10.3. Procesos de Construcción (Build)</w:t>
      </w:r>
    </w:p>
    <w:p>
      <w:r>
        <w:t xml:space="preserve">Uso de </w:t>
      </w:r>
      <w:r>
        <w:rPr>
          <w:b/>
        </w:rPr>
        <w:t>Apache Maven</w:t>
      </w:r>
      <w:r>
        <w:t xml:space="preserve"> para la gestión automatizada de dependencias y empaquetado JAR ejecutable del backend (</w:t>
      </w:r>
      <w:r>
        <w:rPr>
          <w:rFonts w:ascii="Courier New" w:hAnsi="Courier New"/>
          <w:color w:val="464646"/>
          <w:sz w:val="19"/>
        </w:rPr>
        <w:t>mvn clean package</w:t>
      </w:r>
      <w:r>
        <w:t>).</w:t>
      </w:r>
    </w:p>
    <w:p>
      <w:pPr>
        <w:pStyle w:val="Heading1"/>
      </w:pPr>
      <w:r>
        <w:t>11. Mantenimiento y Refactorización</w:t>
      </w:r>
    </w:p>
    <w:p>
      <w:pPr>
        <w:pStyle w:val="Heading2"/>
      </w:pPr>
      <w:r>
        <w:t>11.1. Historial de Refactorizaciones Relevantes</w:t>
      </w:r>
    </w:p>
    <w:tbl>
      <w:tblPr>
        <w:tblStyle w:val="TableGrid"/>
        <w:tblW w:type="auto" w:w="0"/>
        <w:jc w:val="center"/>
        <w:tblLook w:firstColumn="1" w:firstRow="1" w:lastColumn="0" w:lastRow="0" w:noHBand="0" w:noVBand="1" w:val="04A0"/>
        <w:tblBorders>
          <w:top w:val="single" w:sz="6" w:space="0" w:color="64748B"/>
          <w:left w:val="single" w:sz="6" w:space="0" w:color="64748B"/>
          <w:bottom w:val="single" w:sz="6" w:space="0" w:color="64748B"/>
          <w:right w:val="single" w:sz="6" w:space="0" w:color="64748B"/>
          <w:insideH w:val="single" w:sz="6" w:space="0" w:color="64748B"/>
          <w:insideV w:val="single" w:sz="6" w:space="0" w:color="64748B"/>
        </w:tblBorders>
      </w:tblPr>
      <w:tblGrid>
        <w:gridCol w:w="3120"/>
        <w:gridCol w:w="3120"/>
        <w:gridCol w:w="3120"/>
      </w:tblGrid>
      <w:tr>
        <w:tc>
          <w:tcPr>
            <w:tcW w:type="dxa" w:w="3120"/>
            <w:vAlign w:val="center"/>
            <w:tcMar>
              <w:top w:w="120" w:type="dxa"/>
              <w:bottom w:w="120" w:type="dxa"/>
              <w:left w:w="150" w:type="dxa"/>
              <w:right w:w="150" w:type="dxa"/>
            </w:tcMar>
            <w:shd w:fill="1E293B"/>
          </w:tcPr>
          <w:p>
            <w:pPr>
              <w:spacing w:after="0" w:before="0"/>
              <w:jc w:val="center"/>
            </w:pPr>
            <w:r>
              <w:rPr>
                <w:rFonts w:ascii="Arial" w:hAnsi="Arial"/>
                <w:b/>
                <w:color w:val="FFFFFF"/>
                <w:sz w:val="20"/>
              </w:rPr>
              <w:t>Fecha</w:t>
            </w:r>
          </w:p>
        </w:tc>
        <w:tc>
          <w:tcPr>
            <w:tcW w:type="dxa" w:w="3120"/>
            <w:vAlign w:val="center"/>
            <w:tcMar>
              <w:top w:w="120" w:type="dxa"/>
              <w:bottom w:w="120" w:type="dxa"/>
              <w:left w:w="150" w:type="dxa"/>
              <w:right w:w="150" w:type="dxa"/>
            </w:tcMar>
            <w:shd w:fill="1E293B"/>
          </w:tcPr>
          <w:p>
            <w:pPr>
              <w:spacing w:after="0" w:before="0"/>
              <w:jc w:val="center"/>
            </w:pPr>
            <w:r>
              <w:rPr>
                <w:rFonts w:ascii="Arial" w:hAnsi="Arial"/>
                <w:b/>
                <w:color w:val="FFFFFF"/>
                <w:sz w:val="20"/>
              </w:rPr>
              <w:t>Descripción de Cambio</w:t>
            </w:r>
          </w:p>
        </w:tc>
        <w:tc>
          <w:tcPr>
            <w:tcW w:type="dxa" w:w="3120"/>
            <w:vAlign w:val="center"/>
            <w:tcMar>
              <w:top w:w="120" w:type="dxa"/>
              <w:bottom w:w="120" w:type="dxa"/>
              <w:left w:w="150" w:type="dxa"/>
              <w:right w:w="150" w:type="dxa"/>
            </w:tcMar>
            <w:shd w:fill="1E293B"/>
          </w:tcPr>
          <w:p>
            <w:pPr>
              <w:spacing w:after="0" w:before="0"/>
              <w:jc w:val="center"/>
            </w:pPr>
            <w:r>
              <w:rPr>
                <w:rFonts w:ascii="Arial" w:hAnsi="Arial"/>
                <w:b/>
                <w:color w:val="FFFFFF"/>
                <w:sz w:val="20"/>
              </w:rPr>
              <w:t>Impacto</w:t>
            </w:r>
          </w:p>
        </w:tc>
      </w:tr>
      <w:tr>
        <w:tc>
          <w:tcPr>
            <w:tcW w:type="dxa" w:w="3120"/>
            <w:vAlign w:val="center"/>
            <w:tcMar>
              <w:top w:w="120" w:type="dxa"/>
              <w:bottom w:w="120" w:type="dxa"/>
              <w:left w:w="150" w:type="dxa"/>
              <w:right w:w="150" w:type="dxa"/>
            </w:tcMar>
            <w:shd w:fill="F8FAFC"/>
          </w:tcPr>
          <w:p>
            <w:pPr>
              <w:spacing w:after="0" w:before="0"/>
              <w:jc w:val="left"/>
            </w:pPr>
            <w:r>
              <w:rPr>
                <w:rFonts w:ascii="Arial" w:hAnsi="Arial"/>
                <w:b/>
                <w:color w:val="1E293B"/>
                <w:sz w:val="19"/>
              </w:rPr>
              <w:t>2026-05-22</w:t>
            </w:r>
          </w:p>
        </w:tc>
        <w:tc>
          <w:tcPr>
            <w:tcW w:type="dxa" w:w="3120"/>
            <w:vAlign w:val="center"/>
            <w:tcMar>
              <w:top w:w="120" w:type="dxa"/>
              <w:bottom w:w="120" w:type="dxa"/>
              <w:left w:w="150" w:type="dxa"/>
              <w:right w:w="150" w:type="dxa"/>
            </w:tcMar>
            <w:shd w:fill="F8FAFC"/>
          </w:tcPr>
          <w:p>
            <w:pPr>
              <w:spacing w:after="0" w:before="0"/>
              <w:jc w:val="left"/>
            </w:pPr>
            <w:r>
              <w:rPr>
                <w:rFonts w:ascii="Arial" w:hAnsi="Arial"/>
                <w:color w:val="1E293B"/>
                <w:sz w:val="19"/>
              </w:rPr>
              <w:t xml:space="preserve">Estandarización del campo </w:t>
            </w:r>
            <w:r>
              <w:rPr>
                <w:rFonts w:ascii="Arial" w:hAnsi="Arial"/>
                <w:color w:val="1E293B"/>
                <w:sz w:val="19"/>
              </w:rPr>
              <w:t>stockActual</w:t>
            </w:r>
            <w:r>
              <w:rPr>
                <w:rFonts w:ascii="Arial" w:hAnsi="Arial"/>
                <w:color w:val="1E293B"/>
                <w:sz w:val="19"/>
              </w:rPr>
              <w:t xml:space="preserve"> en todas las capas del sistema.</w:t>
            </w:r>
          </w:p>
        </w:tc>
        <w:tc>
          <w:tcPr>
            <w:tcW w:type="dxa" w:w="3120"/>
            <w:vAlign w:val="center"/>
            <w:tcMar>
              <w:top w:w="120" w:type="dxa"/>
              <w:bottom w:w="120" w:type="dxa"/>
              <w:left w:w="150" w:type="dxa"/>
              <w:right w:w="150" w:type="dxa"/>
            </w:tcMar>
            <w:shd w:fill="F8FAFC"/>
          </w:tcPr>
          <w:p>
            <w:pPr>
              <w:spacing w:after="0" w:before="0"/>
              <w:jc w:val="left"/>
            </w:pPr>
            <w:r>
              <w:rPr>
                <w:rFonts w:ascii="Arial" w:hAnsi="Arial"/>
                <w:color w:val="1E293B"/>
                <w:sz w:val="19"/>
              </w:rPr>
              <w:t>Eliminó inconsistencias entre capas de datos.</w:t>
            </w:r>
          </w:p>
        </w:tc>
      </w:tr>
      <w:tr>
        <w:tc>
          <w:tcPr>
            <w:tcW w:type="dxa" w:w="3120"/>
            <w:vAlign w:val="center"/>
            <w:tcMar>
              <w:top w:w="120" w:type="dxa"/>
              <w:bottom w:w="120" w:type="dxa"/>
              <w:left w:w="150" w:type="dxa"/>
              <w:right w:w="150" w:type="dxa"/>
            </w:tcMar>
            <w:shd w:fill="FFFFFF"/>
          </w:tcPr>
          <w:p>
            <w:pPr>
              <w:spacing w:after="0" w:before="0"/>
              <w:jc w:val="left"/>
            </w:pPr>
            <w:r>
              <w:rPr>
                <w:rFonts w:ascii="Arial" w:hAnsi="Arial"/>
                <w:b/>
                <w:color w:val="1E293B"/>
                <w:sz w:val="19"/>
              </w:rPr>
              <w:t>2026-06-04</w:t>
            </w:r>
          </w:p>
        </w:tc>
        <w:tc>
          <w:tcPr>
            <w:tcW w:type="dxa" w:w="3120"/>
            <w:vAlign w:val="center"/>
            <w:tcMar>
              <w:top w:w="120" w:type="dxa"/>
              <w:bottom w:w="120" w:type="dxa"/>
              <w:left w:w="150" w:type="dxa"/>
              <w:right w:w="150" w:type="dxa"/>
            </w:tcMar>
            <w:shd w:fill="FFFFFF"/>
          </w:tcPr>
          <w:p>
            <w:pPr>
              <w:spacing w:after="0" w:before="0"/>
              <w:jc w:val="left"/>
            </w:pPr>
            <w:r>
              <w:rPr>
                <w:rFonts w:ascii="Arial" w:hAnsi="Arial"/>
                <w:color w:val="1E293B"/>
                <w:sz w:val="19"/>
              </w:rPr>
              <w:t>Modularización completa de scripts JS en el frontend web (</w:t>
            </w:r>
            <w:r>
              <w:rPr>
                <w:rFonts w:ascii="Arial" w:hAnsi="Arial"/>
                <w:color w:val="1E293B"/>
                <w:sz w:val="19"/>
              </w:rPr>
              <w:t>core/</w:t>
            </w:r>
            <w:r>
              <w:rPr>
                <w:rFonts w:ascii="Arial" w:hAnsi="Arial"/>
                <w:color w:val="1E293B"/>
                <w:sz w:val="19"/>
              </w:rPr>
              <w:t xml:space="preserve">, </w:t>
            </w:r>
            <w:r>
              <w:rPr>
                <w:rFonts w:ascii="Arial" w:hAnsi="Arial"/>
                <w:color w:val="1E293B"/>
                <w:sz w:val="19"/>
              </w:rPr>
              <w:t>modules/</w:t>
            </w:r>
            <w:r>
              <w:rPr>
                <w:rFonts w:ascii="Arial" w:hAnsi="Arial"/>
                <w:color w:val="1E293B"/>
                <w:sz w:val="19"/>
              </w:rPr>
              <w:t xml:space="preserve">, </w:t>
            </w:r>
            <w:r>
              <w:rPr>
                <w:rFonts w:ascii="Arial" w:hAnsi="Arial"/>
                <w:color w:val="1E293B"/>
                <w:sz w:val="19"/>
              </w:rPr>
              <w:t>shared/</w:t>
            </w:r>
            <w:r>
              <w:rPr>
                <w:rFonts w:ascii="Arial" w:hAnsi="Arial"/>
                <w:color w:val="1E293B"/>
                <w:sz w:val="19"/>
              </w:rPr>
              <w:t>).</w:t>
            </w:r>
          </w:p>
        </w:tc>
        <w:tc>
          <w:tcPr>
            <w:tcW w:type="dxa" w:w="3120"/>
            <w:vAlign w:val="center"/>
            <w:tcMar>
              <w:top w:w="120" w:type="dxa"/>
              <w:bottom w:w="120" w:type="dxa"/>
              <w:left w:w="150" w:type="dxa"/>
              <w:right w:w="150" w:type="dxa"/>
            </w:tcMar>
            <w:shd w:fill="FFFFFF"/>
          </w:tcPr>
          <w:p>
            <w:pPr>
              <w:spacing w:after="0" w:before="0"/>
              <w:jc w:val="left"/>
            </w:pPr>
            <w:r>
              <w:rPr>
                <w:rFonts w:ascii="Arial" w:hAnsi="Arial"/>
                <w:color w:val="1E293B"/>
                <w:sz w:val="19"/>
              </w:rPr>
              <w:t>Eliminó la dependencia de scripts globales gigantes.</w:t>
            </w:r>
          </w:p>
        </w:tc>
      </w:tr>
      <w:tr>
        <w:tc>
          <w:tcPr>
            <w:tcW w:type="dxa" w:w="3120"/>
            <w:vAlign w:val="center"/>
            <w:tcMar>
              <w:top w:w="120" w:type="dxa"/>
              <w:bottom w:w="120" w:type="dxa"/>
              <w:left w:w="150" w:type="dxa"/>
              <w:right w:w="150" w:type="dxa"/>
            </w:tcMar>
            <w:shd w:fill="F8FAFC"/>
          </w:tcPr>
          <w:p>
            <w:pPr>
              <w:spacing w:after="0" w:before="0"/>
              <w:jc w:val="left"/>
            </w:pPr>
            <w:r>
              <w:rPr>
                <w:rFonts w:ascii="Arial" w:hAnsi="Arial"/>
                <w:b/>
                <w:color w:val="1E293B"/>
                <w:sz w:val="19"/>
              </w:rPr>
              <w:t>2026-07-26</w:t>
            </w:r>
          </w:p>
        </w:tc>
        <w:tc>
          <w:tcPr>
            <w:tcW w:type="dxa" w:w="3120"/>
            <w:vAlign w:val="center"/>
            <w:tcMar>
              <w:top w:w="120" w:type="dxa"/>
              <w:bottom w:w="120" w:type="dxa"/>
              <w:left w:w="150" w:type="dxa"/>
              <w:right w:w="150" w:type="dxa"/>
            </w:tcMar>
            <w:shd w:fill="F8FAFC"/>
          </w:tcPr>
          <w:p>
            <w:pPr>
              <w:spacing w:after="0" w:before="0"/>
              <w:jc w:val="left"/>
            </w:pPr>
            <w:r>
              <w:rPr>
                <w:rFonts w:ascii="Arial" w:hAnsi="Arial"/>
                <w:color w:val="1E293B"/>
                <w:sz w:val="19"/>
              </w:rPr>
              <w:t>Depuración de archivos legacy (</w:t>
            </w:r>
            <w:r>
              <w:rPr>
                <w:rFonts w:ascii="Arial" w:hAnsi="Arial"/>
                <w:color w:val="1E293B"/>
                <w:sz w:val="19"/>
              </w:rPr>
              <w:t>dashboard.js</w:t>
            </w:r>
            <w:r>
              <w:rPr>
                <w:rFonts w:ascii="Arial" w:hAnsi="Arial"/>
                <w:color w:val="1E293B"/>
                <w:sz w:val="19"/>
              </w:rPr>
              <w:t xml:space="preserve"> de 1800 líneas) y corrección de referencias en </w:t>
            </w:r>
            <w:r>
              <w:rPr>
                <w:rFonts w:ascii="Arial" w:hAnsi="Arial"/>
                <w:color w:val="1E293B"/>
                <w:sz w:val="19"/>
              </w:rPr>
              <w:t>login.html</w:t>
            </w:r>
            <w:r>
              <w:rPr>
                <w:rFonts w:ascii="Arial" w:hAnsi="Arial"/>
                <w:color w:val="1E293B"/>
                <w:sz w:val="19"/>
              </w:rPr>
              <w:t>.</w:t>
            </w:r>
          </w:p>
        </w:tc>
        <w:tc>
          <w:tcPr>
            <w:tcW w:type="dxa" w:w="3120"/>
            <w:vAlign w:val="center"/>
            <w:tcMar>
              <w:top w:w="120" w:type="dxa"/>
              <w:bottom w:w="120" w:type="dxa"/>
              <w:left w:w="150" w:type="dxa"/>
              <w:right w:w="150" w:type="dxa"/>
            </w:tcMar>
            <w:shd w:fill="F8FAFC"/>
          </w:tcPr>
          <w:p>
            <w:pPr>
              <w:spacing w:after="0" w:before="0"/>
              <w:jc w:val="left"/>
            </w:pPr>
            <w:r>
              <w:rPr>
                <w:rFonts w:ascii="Arial" w:hAnsi="Arial"/>
                <w:color w:val="1E293B"/>
                <w:sz w:val="19"/>
              </w:rPr>
              <w:t>Reducción de 86 KB de código muerto e independización modular.</w:t>
            </w:r>
          </w:p>
        </w:tc>
      </w:tr>
    </w:tbl>
    <w:p/>
    <w:p>
      <w:pPr>
        <w:pStyle w:val="Heading2"/>
      </w:pPr>
      <w:r>
        <w:t>11.2. Estado Actual del Proyecto</w:t>
      </w:r>
    </w:p>
    <w:p>
      <w:r>
        <w:t xml:space="preserve">El sistema se encuentra en </w:t>
      </w:r>
      <w:r>
        <w:rPr>
          <w:b/>
        </w:rPr>
        <w:t>Fase de Estabilización y Despliegue</w:t>
      </w:r>
      <w:r>
        <w:t>, con los módulos principales (Autenticación, Inventario, POS Ventas, Clientes, Proveedores, Inteligencia de Negocio y Reportes) totalmente funcionales e integrados.</w:t>
      </w:r>
    </w:p>
    <w:p>
      <w:pPr>
        <w:pStyle w:val="Heading1"/>
      </w:pPr>
      <w:r>
        <w:t>12. Conclusiones</w:t>
      </w:r>
    </w:p>
    <w:p>
      <w:pPr>
        <w:spacing w:after="60"/>
        <w:ind w:left="360"/>
      </w:pPr>
      <w:r>
        <w:rPr>
          <w:b/>
        </w:rPr>
        <w:t xml:space="preserve">1. </w:t>
      </w:r>
      <w:r>
        <w:rPr>
          <w:b/>
        </w:rPr>
        <w:t>Eficiencia Arquitectónica:</w:t>
      </w:r>
      <w:r>
        <w:t xml:space="preserve"> La adopción de una arquitectura centrada en una API REST uniforme demostró ser la estrategia adecuada para escalar la solución a múltiples plataformas (Web, Desktop y Móvil) manteniendo una única fuente de verdad.</w:t>
      </w:r>
    </w:p>
    <w:p>
      <w:pPr>
        <w:spacing w:after="60"/>
        <w:ind w:left="360"/>
      </w:pPr>
      <w:r>
        <w:rPr>
          <w:b/>
        </w:rPr>
        <w:t xml:space="preserve">2. </w:t>
      </w:r>
      <w:r>
        <w:rPr>
          <w:b/>
        </w:rPr>
        <w:t>Impacto de las Buenas Prácticas:</w:t>
      </w:r>
      <w:r>
        <w:t xml:space="preserve"> La aplicación rigurosa de estándares de codificación, convenciones de nombres y modularidad facilitó el mantenimiento, permitiendo refactorizaciones profundas (como la eliminación del código legacy </w:t>
      </w:r>
      <w:r>
        <w:rPr>
          <w:rFonts w:ascii="Courier New" w:hAnsi="Courier New"/>
          <w:color w:val="464646"/>
          <w:sz w:val="19"/>
        </w:rPr>
        <w:t>dashboard.js</w:t>
      </w:r>
      <w:r>
        <w:t>) sin interrumpir la operación del sistema.</w:t>
      </w:r>
    </w:p>
    <w:p>
      <w:pPr>
        <w:spacing w:after="60"/>
        <w:ind w:left="360"/>
      </w:pPr>
      <w:r>
        <w:rPr>
          <w:b/>
        </w:rPr>
        <w:t xml:space="preserve">3. </w:t>
      </w:r>
      <w:r>
        <w:rPr>
          <w:b/>
        </w:rPr>
        <w:t>Valor para el Negocio:</w:t>
      </w:r>
      <w:r>
        <w:t xml:space="preserve"> AcaciosWork no solo resuelve los problemas de gestión operativa de Tienda Los Acacios, sino que aporta un valor diferenciador mediante la analítica de datos en tiempo real, transformando el control tradicional de existencias en una herramienta estratégica.</w:t>
      </w:r>
    </w:p>
    <w:p>
      <w:r>
        <w:rPr>
          <w:i/>
        </w:rPr>
        <w:t>Documento elaborado conforme a los requerimientos del programa ADSO — SENA.</w:t>
      </w:r>
    </w:p>
    <w:p>
      <w:r>
        <w:rPr>
          <w:i/>
        </w:rPr>
        <w:t>AcaciosWork © 2026 | Desarrollado por Rubiel Andrés Díaz Jiménez</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9"/>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ascii="Arial" w:hAnsi="Arial"/>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Arial" w:hAnsi="Arial"/>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