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Times New Roman" w:hAnsi="Times New Roman"/>
          <w:color w:val="00703C"/>
          <w:sz w:val="28"/>
        </w:rPr>
        <w:t>GA11-220501098-AA1-EV04: Bitácora de los Procesos Documentados del Proyecto AcaciosWork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Times New Roman" w:hAnsi="Times New Roman"/>
          <w:color w:val="1F3964"/>
          <w:sz w:val="24"/>
        </w:rPr>
        <w:t>📑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300"/>
            <w:shd w:val="clear" w:color="auto" w:fill="004C2B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300"/>
            <w:shd w:val="clear" w:color="auto" w:fill="004C2B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300"/>
            <w:shd w:val="clear" w:color="auto" w:fill="004C2B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Autor</w:t>
            </w:r>
          </w:p>
        </w:tc>
        <w:tc>
          <w:tcPr>
            <w:tcW w:type="dxa" w:w="1300"/>
            <w:shd w:val="clear" w:color="auto" w:fill="004C2B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300"/>
            <w:shd w:val="clear" w:color="auto" w:fill="004C2B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Revisó</w:t>
            </w:r>
          </w:p>
        </w:tc>
        <w:tc>
          <w:tcPr>
            <w:tcW w:type="dxa" w:w="1300"/>
            <w:shd w:val="clear" w:color="auto" w:fill="004C2B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Aprobó</w:t>
            </w:r>
          </w:p>
        </w:tc>
        <w:tc>
          <w:tcPr>
            <w:tcW w:type="dxa" w:w="1300"/>
            <w:shd w:val="clear" w:color="auto" w:fill="004C2B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Descripción del Cambio</w:t>
            </w:r>
          </w:p>
        </w:tc>
      </w:tr>
      <w:tr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**1.0.0**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01/08/2026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Rubiel Andrés Díaz Jiménez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Aprendiz ADSO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Herley Antonio Puentes Peñaloza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Instructor SENA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Creación inicial de la bitácora del ciclo de desarrollo de AcaciosWork.</w:t>
            </w:r>
          </w:p>
        </w:tc>
      </w:tr>
      <w:tr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**1.1.0**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02/08/2026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Rubiel Andrés Díaz Jiménez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Aprendiz ADSO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Herley Antonio Puentes Peñaloza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Instructor SENA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Actualización e integración de registros reales del hito de paridad de plataformas.</w:t>
            </w:r>
          </w:p>
        </w:tc>
      </w:tr>
      <w:tr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**1.2.0**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02/08/2026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Rubiel Andrés Díaz Jiménez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Aprendiz ADSO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Herley Antonio Puentes Peñaloza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Instructor SENA</w:t>
            </w:r>
          </w:p>
        </w:tc>
        <w:tc>
          <w:tcPr>
            <w:tcW w:type="dxa" w:w="1300"/>
          </w:tcPr>
          <w:p>
            <w:r>
              <w:rPr>
                <w:rFonts w:ascii="Times New Roman" w:hAnsi="Times New Roman"/>
                <w:sz w:val="18"/>
              </w:rPr>
              <w:t>Incorporación de 13 registros históricos (Feb 2025 – Jul 2026) cubriendo el ciclo completo de vida del software: planeación, requisitos, arquitectura, desarrollo, pruebas, despliegue y documentación.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Times New Roman" w:hAnsi="Times New Roman"/>
          <w:color w:val="1F3964"/>
          <w:sz w:val="24"/>
        </w:rPr>
        <w:t>🏢 PORTADA</w:t>
      </w:r>
    </w:p>
    <w:p>
      <w:pPr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SERVICIO NACIONAL DE APRENDIZAJE – SENA</w:t>
      </w:r>
      <w:r>
        <w:rPr>
          <w:rFonts w:ascii="Times New Roman" w:hAnsi="Times New Roman"/>
          <w:sz w:val="24"/>
        </w:rPr>
      </w:r>
    </w:p>
    <w:p>
      <w:pPr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CENTRO DE LOGÍSTICA Y PROMOCIÓN ECOTURÍSTICA DEL MAGDALENA</w:t>
      </w:r>
      <w:r>
        <w:rPr>
          <w:rFonts w:ascii="Times New Roman" w:hAnsi="Times New Roman"/>
          <w:sz w:val="24"/>
        </w:rPr>
      </w:r>
    </w:p>
    <w:p>
      <w:pPr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TECNÓLOGO EN ANÁLISIS Y DESARROLLO DE SOFTWARE (ADSO)</w:t>
      </w:r>
      <w:r>
        <w:rPr>
          <w:rFonts w:ascii="Times New Roman" w:hAnsi="Times New Roman"/>
          <w:sz w:val="24"/>
        </w:rPr>
      </w:r>
    </w:p>
    <w:p>
      <w:pPr>
        <w:ind w:left="850"/>
        <w:jc w:val="both"/>
      </w:pPr>
      <w:r>
        <w:rPr>
          <w:rFonts w:ascii="Times New Roman" w:hAnsi="Times New Roman"/>
          <w:b w:val="0"/>
          <w:color w:val="000000"/>
          <w:sz w:val="24"/>
        </w:rPr>
        <w:t>**Evidencia:** GA11-220501098-AA1-EV04</w:t>
      </w:r>
    </w:p>
    <w:p>
      <w:pPr>
        <w:ind w:left="850"/>
        <w:jc w:val="both"/>
      </w:pPr>
      <w:r>
        <w:rPr>
          <w:rFonts w:ascii="Times New Roman" w:hAnsi="Times New Roman"/>
          <w:b w:val="0"/>
          <w:color w:val="000000"/>
          <w:sz w:val="24"/>
        </w:rPr>
        <w:t>**Instrumento:** Bitácora de los Procesos Documentados del Proyecto</w:t>
      </w:r>
    </w:p>
    <w:p>
      <w:pPr>
        <w:ind w:left="850"/>
        <w:jc w:val="both"/>
      </w:pPr>
      <w:r>
        <w:rPr>
          <w:rFonts w:ascii="Times New Roman" w:hAnsi="Times New Roman"/>
          <w:b w:val="0"/>
          <w:color w:val="000000"/>
          <w:sz w:val="24"/>
        </w:rPr>
        <w:t>**Proyecto:** Sistema Multiplataforma de Gestión Empresarial ERP/POS — **AcaciosWork**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9"/>
        <w:gridCol w:w="4549"/>
      </w:tblGrid>
      <w:tr>
        <w:tc>
          <w:tcPr>
            <w:tcW w:type="dxa" w:w="4549"/>
            <w:shd w:val="clear" w:color="auto" w:fill="004C2B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Información del Aprendiz</w:t>
            </w:r>
          </w:p>
        </w:tc>
        <w:tc>
          <w:tcPr>
            <w:tcW w:type="dxa" w:w="4549"/>
            <w:shd w:val="clear" w:color="auto" w:fill="004C2B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Detalles del Curso / Tutor</w:t>
            </w:r>
          </w:p>
        </w:tc>
      </w:tr>
      <w:tr>
        <w:tc>
          <w:tcPr>
            <w:tcW w:type="dxa" w:w="4549"/>
          </w:tcPr>
          <w:p>
            <w:r>
              <w:rPr>
                <w:rFonts w:ascii="Times New Roman" w:hAnsi="Times New Roman"/>
                <w:sz w:val="18"/>
              </w:rPr>
              <w:t>**Nombre:** Rubiel Andrés Díaz Jiménez</w:t>
            </w:r>
          </w:p>
        </w:tc>
        <w:tc>
          <w:tcPr>
            <w:tcW w:type="dxa" w:w="4549"/>
          </w:tcPr>
          <w:p>
            <w:r>
              <w:rPr>
                <w:rFonts w:ascii="Times New Roman" w:hAnsi="Times New Roman"/>
                <w:sz w:val="18"/>
              </w:rPr>
              <w:t>**Instructor:** Herley Antonio Puentes Peñaloza</w:t>
            </w:r>
          </w:p>
        </w:tc>
      </w:tr>
      <w:tr>
        <w:tc>
          <w:tcPr>
            <w:tcW w:type="dxa" w:w="4549"/>
          </w:tcPr>
          <w:p>
            <w:r>
              <w:rPr>
                <w:rFonts w:ascii="Times New Roman" w:hAnsi="Times New Roman"/>
                <w:sz w:val="18"/>
              </w:rPr>
              <w:t>**Correo:** andresrubiel@hotmail.com</w:t>
            </w:r>
          </w:p>
        </w:tc>
        <w:tc>
          <w:tcPr>
            <w:tcW w:type="dxa" w:w="4549"/>
          </w:tcPr>
          <w:p>
            <w:r>
              <w:rPr>
                <w:rFonts w:ascii="Times New Roman" w:hAnsi="Times New Roman"/>
                <w:sz w:val="18"/>
              </w:rPr>
              <w:t>**Ficha:** 3118313</w:t>
            </w:r>
          </w:p>
        </w:tc>
      </w:tr>
      <w:tr>
        <w:tc>
          <w:tcPr>
            <w:tcW w:type="dxa" w:w="4549"/>
          </w:tcPr>
          <w:p>
            <w:r>
              <w:rPr>
                <w:rFonts w:ascii="Times New Roman" w:hAnsi="Times New Roman"/>
                <w:sz w:val="18"/>
              </w:rPr>
              <w:t>**Lugar:** Colombia</w:t>
            </w:r>
          </w:p>
        </w:tc>
        <w:tc>
          <w:tcPr>
            <w:tcW w:type="dxa" w:w="4549"/>
          </w:tcPr>
          <w:p>
            <w:r>
              <w:rPr>
                <w:rFonts w:ascii="Times New Roman" w:hAnsi="Times New Roman"/>
                <w:sz w:val="18"/>
              </w:rPr>
              <w:t>**Fecha:** Agosto de 2026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Times New Roman" w:hAnsi="Times New Roman"/>
          <w:color w:val="1F3964"/>
          <w:sz w:val="24"/>
        </w:rPr>
        <w:t>📋 TABLA DE CONTENIDO</w:t>
      </w:r>
    </w:p>
    <w:p>
      <w:pPr>
        <w:jc w:val="both"/>
      </w:pPr>
      <w:r>
        <w:rPr>
          <w:rFonts w:ascii="Times New Roman" w:hAnsi="Times New Roman"/>
          <w:sz w:val="24"/>
        </w:rPr>
        <w:t>1. [Introducción](#1-introducción)</w:t>
      </w:r>
    </w:p>
    <w:p>
      <w:pPr>
        <w:jc w:val="both"/>
      </w:pPr>
      <w:r>
        <w:rPr>
          <w:rFonts w:ascii="Times New Roman" w:hAnsi="Times New Roman"/>
          <w:sz w:val="24"/>
        </w:rPr>
        <w:t>2. [Objetivo del Documento](#2-objetivo-del-documento)</w:t>
      </w:r>
    </w:p>
    <w:p>
      <w:pPr>
        <w:jc w:val="both"/>
      </w:pPr>
      <w:r>
        <w:rPr>
          <w:rFonts w:ascii="Times New Roman" w:hAnsi="Times New Roman"/>
          <w:sz w:val="24"/>
        </w:rPr>
        <w:t>3. [Buenas Prácticas de Calidad Aplicadas](#3-buenas-prácticas-de-calidad-aplicadas)</w:t>
      </w:r>
    </w:p>
    <w:p>
      <w:pPr>
        <w:jc w:val="both"/>
      </w:pPr>
      <w:r>
        <w:rPr>
          <w:rFonts w:ascii="Times New Roman" w:hAnsi="Times New Roman"/>
          <w:sz w:val="24"/>
        </w:rPr>
        <w:t>4. [Bitácora Detallada del Desarrollo (DevLog)](#4-bitácora-detallada-del-desarrollo-devlog)</w:t>
      </w:r>
    </w:p>
    <w:p>
      <w:pPr>
        <w:jc w:val="both"/>
      </w:pPr>
      <w:r>
        <w:rPr>
          <w:rFonts w:ascii="Times New Roman" w:hAnsi="Times New Roman"/>
          <w:sz w:val="24"/>
        </w:rPr>
        <w:t>5. [Lecciones Aprendidas](#5-lecciones-aprendidas)</w:t>
      </w:r>
    </w:p>
    <w:p>
      <w:pPr>
        <w:jc w:val="both"/>
      </w:pPr>
      <w:r>
        <w:rPr>
          <w:rFonts w:ascii="Times New Roman" w:hAnsi="Times New Roman"/>
          <w:sz w:val="24"/>
        </w:rPr>
        <w:t>6. [Conclusiones y Recomendaciones](#6-conclusiones-y-recomendaciones)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Times New Roman" w:hAnsi="Times New Roman"/>
          <w:color w:val="1F3964"/>
          <w:sz w:val="24"/>
        </w:rPr>
        <w:t>1. INTRODUCCIÓN</w:t>
      </w:r>
    </w:p>
    <w:p>
      <w:pPr>
        <w:jc w:val="both"/>
      </w:pPr>
      <w:r>
        <w:rPr>
          <w:rFonts w:ascii="Times New Roman" w:hAnsi="Times New Roman"/>
          <w:sz w:val="24"/>
        </w:rPr>
        <w:t xml:space="preserve">La presente bitácora documenta los avances, decisiones técnicas, incidencias, soluciones y actividades de aseguramiento de la calidad desarrolladas durante el ciclo de vida del software del ecosistema </w:t>
      </w:r>
      <w:r>
        <w:rPr>
          <w:rFonts w:ascii="Times New Roman" w:hAnsi="Times New Roman"/>
          <w:b/>
          <w:sz w:val="24"/>
        </w:rPr>
        <w:t>AcaciosWork</w:t>
      </w:r>
      <w:r>
        <w:rPr>
          <w:rFonts w:ascii="Times New Roman" w:hAnsi="Times New Roman"/>
          <w:sz w:val="24"/>
        </w:rPr>
        <w:t>.</w:t>
      </w:r>
    </w:p>
    <w:p>
      <w:pPr>
        <w:jc w:val="both"/>
      </w:pPr>
      <w:r>
        <w:rPr>
          <w:rFonts w:ascii="Times New Roman" w:hAnsi="Times New Roman"/>
          <w:sz w:val="24"/>
        </w:rPr>
        <w:t xml:space="preserve">Como solución tecnológica orientada a la gestión empresarial (ERP/POS), AcaciosWork exige una coordinación rigurosa entre sus múltiples clientes (Dashboard Web, Aplicación de Escritorio y Aplicación Móvil Android) que consumen una única API REST centralizada. Esta bitácora sirve como instrumento de trazabilidad académica y profesional, estructurando cronológicamente el ciclo de construcción bajo el amparo de estándares de calidad de software como </w:t>
      </w:r>
      <w:r>
        <w:rPr>
          <w:rFonts w:ascii="Times New Roman" w:hAnsi="Times New Roman"/>
          <w:b/>
          <w:sz w:val="24"/>
        </w:rPr>
        <w:t>ISO/IEC 25000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ISO/IEC 9126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ISO/IEC/IEEE 29119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CMMI Nivel 2</w:t>
      </w:r>
      <w:r>
        <w:rPr>
          <w:rFonts w:ascii="Times New Roman" w:hAnsi="Times New Roman"/>
          <w:sz w:val="24"/>
        </w:rPr>
        <w:t xml:space="preserve"> y el Proceso de Software Personal (</w:t>
      </w:r>
      <w:r>
        <w:rPr>
          <w:rFonts w:ascii="Times New Roman" w:hAnsi="Times New Roman"/>
          <w:b/>
          <w:sz w:val="24"/>
        </w:rPr>
        <w:t>PSP</w:t>
      </w:r>
      <w:r>
        <w:rPr>
          <w:rFonts w:ascii="Times New Roman" w:hAnsi="Times New Roman"/>
          <w:sz w:val="24"/>
        </w:rPr>
        <w:t>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Times New Roman" w:hAnsi="Times New Roman"/>
          <w:color w:val="1F3964"/>
          <w:sz w:val="24"/>
        </w:rPr>
        <w:t>2. OBJETIVO DEL DOCUMENTO</w:t>
      </w:r>
    </w:p>
    <w:p>
      <w:pPr>
        <w:jc w:val="both"/>
      </w:pPr>
      <w:r>
        <w:rPr>
          <w:rFonts w:ascii="Times New Roman" w:hAnsi="Times New Roman"/>
          <w:sz w:val="24"/>
        </w:rPr>
        <w:t>Registrar cronológica y detalladamente las actividades ejecutadas durante la construcción del ecosistema multiplataforma AcaciosWork, evidenciando las decisiones de diseño arquitectónico, refactorizaciones por deuda técnica, control de cambios y validaciones de calidad que garantizan un producto de software robusto, escalable y mantenible.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Times New Roman" w:hAnsi="Times New Roman"/>
          <w:color w:val="1F3964"/>
          <w:sz w:val="24"/>
        </w:rPr>
        <w:t>3. BUENAS PRÁCTICAS DE CALIDAD APLICADAS</w:t>
      </w:r>
    </w:p>
    <w:p>
      <w:pPr>
        <w:jc w:val="both"/>
      </w:pPr>
      <w:r>
        <w:rPr>
          <w:rFonts w:ascii="Times New Roman" w:hAnsi="Times New Roman"/>
          <w:sz w:val="24"/>
        </w:rPr>
        <w:t>La garantía de calidad de AcaciosWork no se limita al funcionamiento correcto de su código, sino a la formalización de marcos de trabajo y estándares internacionales: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┌────────────────────────────────────────────────────────┐</w:t>
        <w:br/>
        <w:t>│               SISTEMA DE CALIDAD ACACIOSWORK           │</w:t>
        <w:br/>
        <w:t>├───────────────┬────────────────────────────────────────┤</w:t>
        <w:br/>
        <w:t>│ ISO/IEC 25000 │ Evaluación de Calidad del Producto     │</w:t>
        <w:br/>
        <w:t>├───────────────┼────────────────────────────────────────┤</w:t>
        <w:br/>
        <w:t>│ ISO/IEC 9126  │ Usabilidad, Eficiencia y Portabilidad  │</w:t>
        <w:br/>
        <w:t>├───────────────┼────────────────────────────────────────┤</w:t>
        <w:br/>
        <w:t>│ ISO/IEEE 29119│ Estructuración y Ciclo de Pruebas      │</w:t>
        <w:br/>
        <w:t>├───────────────┼────────────────────────────────────────┤</w:t>
        <w:br/>
        <w:t>│ CMMI Nivel 2  │ Gestión de Configuración y Cambios     │</w:t>
        <w:br/>
        <w:t>├───────────────┼────────────────────────────────────────┤</w:t>
        <w:br/>
        <w:t>│ PSP (Personal)│ Planificación, Métricas y Autocontrol  │</w:t>
        <w:br/>
        <w:t>└───────────────┴────────────────────────────────────────┘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ISO/IEC 25000 (SQuaRE):</w:t>
      </w:r>
      <w:r>
        <w:rPr>
          <w:rFonts w:ascii="Times New Roman" w:hAnsi="Times New Roman"/>
          <w:sz w:val="24"/>
        </w:rPr>
        <w:t xml:space="preserve"> Utilizado para estructurar los requisitos de calidad del producto, enfocándose en la mantenibilidad (analizabilidad y modularidad) y la seguridad de la información.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ISO/IEC 9126:</w:t>
      </w:r>
      <w:r>
        <w:rPr>
          <w:rFonts w:ascii="Times New Roman" w:hAnsi="Times New Roman"/>
          <w:sz w:val="24"/>
        </w:rPr>
        <w:t xml:space="preserve"> Aplicado en las métricas de portabilidad de las interfaces y en el comportamiento uniforme de los datos a través de plataformas heterogéneas (Java Swing, Web Thymeleaf/JS y Android Kotlin/Compose).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ISO/IEC/IEEE 29119:</w:t>
      </w:r>
      <w:r>
        <w:rPr>
          <w:rFonts w:ascii="Times New Roman" w:hAnsi="Times New Roman"/>
          <w:sz w:val="24"/>
        </w:rPr>
        <w:t xml:space="preserve"> Guió las fases de pruebas unitarias y de integración de endpoints, asegurando que las reglas de negocio del inventario se cumplan en cada iteración.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CMMI Nivel 2 (Gestión de Requisitos y Configuración):</w:t>
      </w:r>
      <w:r>
        <w:rPr>
          <w:rFonts w:ascii="Times New Roman" w:hAnsi="Times New Roman"/>
          <w:sz w:val="24"/>
        </w:rPr>
        <w:t xml:space="preserve"> Aplicado mediante un estricto control de cambios documentado en la bitácora y políticas de control de versiones.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Proceso de Software Personal (PSP):</w:t>
      </w:r>
      <w:r>
        <w:rPr>
          <w:rFonts w:ascii="Times New Roman" w:hAnsi="Times New Roman"/>
          <w:sz w:val="24"/>
        </w:rPr>
        <w:t xml:space="preserve"> Implementación del registro de tiempos, conteo de líneas de código (límite estricto de </w:t>
      </w:r>
      <w:r>
        <w:rPr>
          <w:rFonts w:ascii="Times New Roman" w:hAnsi="Times New Roman"/>
          <w:b/>
          <w:sz w:val="24"/>
        </w:rPr>
        <w:t>300 líneas por clase</w:t>
      </w:r>
      <w:r>
        <w:rPr>
          <w:rFonts w:ascii="Times New Roman" w:hAnsi="Times New Roman"/>
          <w:sz w:val="24"/>
        </w:rPr>
        <w:t>) y análisis de defectos antes de compilar.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Times New Roman" w:hAnsi="Times New Roman"/>
          <w:color w:val="1F3964"/>
          <w:sz w:val="24"/>
        </w:rPr>
        <w:t>4. BITÁCORA DETALLADA DEL DESARROLLO (DEVLOG)</w:t>
      </w:r>
    </w:p>
    <w:p>
      <w:pPr>
        <w:jc w:val="both"/>
      </w:pPr>
      <w:r>
        <w:rPr>
          <w:rFonts w:ascii="Times New Roman" w:hAnsi="Times New Roman"/>
          <w:sz w:val="24"/>
        </w:rPr>
        <w:t>A continuación se presenta el registro histórico y cronológico del desarrollo de software del proyecto AcaciosWork.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1 (15/02/2025)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Planeación y análisis inicial del proyecto.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`TSK-PM-001`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Gestión del Proyecto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Se definieron los objetivos del proyecto, los roles del equipo y las interfaces en la primera fase de planeación y análisis, así como el cronograma preliminar. Se discutieron las funcionalidades principales de la plataforma y se establecieron las bases para el desarrollo del prototipo.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Reunión de inicio de proyecto (</w:t>
      </w:r>
      <w:r>
        <w:rPr>
          <w:rFonts w:ascii="Times New Roman" w:hAnsi="Times New Roman"/>
          <w:i/>
          <w:sz w:val="24"/>
        </w:rPr>
        <w:t>kickoff meeting</w:t>
      </w:r>
      <w:r>
        <w:rPr>
          <w:rFonts w:ascii="Times New Roman" w:hAnsi="Times New Roman"/>
          <w:sz w:val="24"/>
        </w:rPr>
        <w:t>), definición de alcance y asignación de roles bajo metodología estructurada de gestión de proyectos de software.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Documento de planeación preliminar con cronograma, roles y objetivos formalizados, alineado con los estándares CMMI Nivel 2 para la gestión de proyectos.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2 (25/02/2025)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Toma de requisitos funcionales y no funcionales.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`TSK-REQ-001`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Ingeniería de Requisitos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Se realizó el levantamiento formal de requisitos funcionales y no funcionales del sistema, identificando las necesidades del cliente y las restricciones técnicas de la plataforma ERP/POS.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Entrevistas estructuradas con el cliente, talleres de elicitación de requisitos y documentación en plantillas de especificación de requisitos de software (ERS).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Catálogo de requisitos validado, sirviendo como línea base para el diseño del sistema conforme a la gestión de requisitos de CMMI Nivel 2.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3 (05/03/2025)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Desarrollo del prototipo inicial (arquitectura).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`TSK-PROTO-001`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Frontend — Inventario y Catálogo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Comenzó el desarrollo del prototipo de la plataforma, enfocándose en la interfaz de usuario para el inventario de productos y el catálogo de servicios. Se establecieron las convenciones de diseño visual y la estructura de navegación base.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Diseño iterativo de </w:t>
      </w:r>
      <w:r>
        <w:rPr>
          <w:rFonts w:ascii="Times New Roman" w:hAnsi="Times New Roman"/>
          <w:i/>
          <w:sz w:val="24"/>
        </w:rPr>
        <w:t>mockups</w:t>
      </w:r>
      <w:r>
        <w:rPr>
          <w:rFonts w:ascii="Times New Roman" w:hAnsi="Times New Roman"/>
          <w:sz w:val="24"/>
        </w:rPr>
        <w:t xml:space="preserve"> de baja fidelidad, construcción de prototipos funcionales de interfaz y retroalimentación temprana con el usuario final.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Prototipo navegable aprobado por el cliente, que sirvió como referencia vinculante para las fases de desarrollo posteriores.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4 (25/03/2025)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Definición de arquitectura y diagramas del sistema.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`TSK-ARCH-001`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Arquitectura Global del Sistema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Se consolidó la arquitectura definitiva del ecosistema AcaciosWork, definiendo la separación en capas (backend API REST, frontend web, cliente de escritorio y cliente Android) y su modelo de comunicación centralizado.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Elaboración de diagramas UML (casos de uso, clases, componentes y despliegue), diagramas de flujo de datos y modelo Entidad-Relación (ERD) de la base de datos MySQL.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Documentación arquitectónica completa y aprobada, que garantizó coherencia de diseño durante todo el ciclo de desarrollo del producto.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5 (20/05/2025)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Desarrollo y refinamiento de requisitos detallados.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`TSK-REQ-002`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Ingeniería de Requisitos — Todas las plataformas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A lo largo del tiempo se fue operando el diseño de lo que el usuario podría realizar en la plataforma, tomando como base un diseño inicial que fue mejorando a medida que se realizaban preguntas a manera de encuesta con el fin de dar pie a la solución de los problemas encontrados. También se produjeron diferentes herramientas a medida que se tomaban los datos: historias de usuario y diagramas de flujo, permitiendo así la comprensibilidad, claridad de requisitos y eficiencia en el diseño.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Encuestas de validación de requisitos con usuarios, elaboración de historias de usuario en formato ágil y construcción de diagramas de flujo de procesos de negocio.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Conjunto refinado de historias de usuario y diagramas de flujo que garantizaron la trazabilidad de cada requisito hasta su implementación técnica.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6 (30/07/2025)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Diseño e implementación de la base de datos.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`TSK-DB-001`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`acacioswork-backend` — Capa de Persistencia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Se diseñó e implementó el modelo relacional completo de la base de datos MySQL, incluyendo las entidades de productos, inventario, ventas, proveedores, clientes y usuarios, con sus respectivas relaciones e integridad referencial.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Normalización hasta tercera forma normal (3FN), definición de índices de rendimiento, implementación de migraciones versionadas y configuración de la capa de persistencia con JPA/Hibernate en Spring Boot.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Modelo de datos robusto y escalable en producción, con cero anomalías de inserción, actualización o eliminación detectadas en las pruebas iniciales.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7 (30/09/2025)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Pruebas de integración de componentes del sistema.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`TSK-QA-001`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Integración Backend–Frontend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Se completaron las mejoras sugeridas en revisiones anteriores y se verificó que los componentes del sistema funcionen correctamente de forma conjunta, validando los flujos de comunicación entre el backend API REST y los distintos clientes.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Ejecución de casos de prueba de integración con Postman, verificación de contratos de API y pruebas de regresión sobre los módulos de inventario, ventas y autenticación.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Todos los endpoints integrados superaron las pruebas de integración sin errores críticos, garantizando la interoperabilidad del ecosistema multiplataforma.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8 (21/10/2025)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Codificación de módulos de software.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`TSK-DEV-001`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Todos los módulos del ecosistema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Se avanzó en la codificación de los módulos principales del sistema: inventario, ventas/POS, gestión de proveedores, clientes y administración de usuarios. Se implementaron los controladores REST, servicios de negocio y repositorios JPA en el backend, así como sus interfaces correspondientes en los clientes.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Desarrollo bajo el patrón de arquitectura en capas (Controller–Service–Repository), aplicación del principio de responsabilidad única (SRP) y revisiones de código entre pares (</w:t>
      </w:r>
      <w:r>
        <w:rPr>
          <w:rFonts w:ascii="Times New Roman" w:hAnsi="Times New Roman"/>
          <w:i/>
          <w:sz w:val="24"/>
        </w:rPr>
        <w:t>peer review</w:t>
      </w:r>
      <w:r>
        <w:rPr>
          <w:rFonts w:ascii="Times New Roman" w:hAnsi="Times New Roman"/>
          <w:sz w:val="24"/>
        </w:rPr>
        <w:t>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Módulos codificados con cobertura de lógica de negocio verificada, aplicando el límite estricto de </w:t>
      </w:r>
      <w:r>
        <w:rPr>
          <w:rFonts w:ascii="Times New Roman" w:hAnsi="Times New Roman"/>
          <w:b/>
          <w:sz w:val="24"/>
        </w:rPr>
        <w:t>300 líneas de código</w:t>
      </w:r>
      <w:r>
        <w:rPr>
          <w:rFonts w:ascii="Times New Roman" w:hAnsi="Times New Roman"/>
          <w:sz w:val="24"/>
        </w:rPr>
        <w:t xml:space="preserve"> por clase para garantizar la mantenibilidad.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9 (17/04/2026)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Pruebas del sistema (funcionales y no funcionales).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`TSK-QA-002`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Sistema Completo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Con el fin de obtener adecuación funcional, fiabilidad, usabilidad, eficiencia y seguridad, se planificaron y ejecutaron planes de prueba, casos de prueba y herramientas de automatización de pruebas sobre el sistema integrado.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Definición de planes de prueba bajo la norma </w:t>
      </w:r>
      <w:r>
        <w:rPr>
          <w:rFonts w:ascii="Times New Roman" w:hAnsi="Times New Roman"/>
          <w:b/>
          <w:sz w:val="24"/>
        </w:rPr>
        <w:t>ISO/IEC/IEEE 29119</w:t>
      </w:r>
      <w:r>
        <w:rPr>
          <w:rFonts w:ascii="Times New Roman" w:hAnsi="Times New Roman"/>
          <w:sz w:val="24"/>
        </w:rPr>
        <w:t>, ejecución de pruebas de carga con JMeter, pruebas de seguridad de autenticación JWT y validación de usabilidad con usuarios finales.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Sistema validado con métricas de calidad dentro de los umbrales aceptables definidos por ISO/IEC 25000: tiempo de respuesta promedio &lt; 800 ms y tasa de defectos críticos = 0.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10 (16/05/2026)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Mantenimiento correctivo de defectos identificados.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`TSK-MANT-001`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Backend y Frontend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Se corrigieron los defectos encontrados durante la fase de pruebas del sistema. Se atendieron incidencias relacionadas con la validación de formularios, el manejo de errores en la API y la presentación de datos en los reportes PDF.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Gestión y priorización de defectos en lista de seguimiento, aplicación de correcciones con pruebas de regresión posterior para garantizar que los cambios no introdujeran nuevas fallas.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Lista de defectos críticos y mayores cerrada al 100%. Sistema estabilizado y listo para el despliegue en el entorno del cliente.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11 (01/06/2026)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Instalación y despliegue del software en la plataforma del cliente.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`TSK-DEPLOY-001`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Entorno de Producción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Se realizó el despliegue formal del software AcaciosWork en la infraestructura del cliente, incluyendo la configuración del servidor, la migración de datos iniciales y la verificación del funcionamiento en el entorno de producción real.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Proceso de instalación guiada con checklist de despliegue, verificación post-instalación de todos los módulos y capacitación inicial al usuario administrador del sistema.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Sistema operativo en producción con todos los módulos funcionales verificados. Acta de entrega firmada por el cliente como constancia de conformidad.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12 (05/07/2026)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Elaboración de documentos técnicos y manual de usuario.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`TSK-DOC-004`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Documentación del Proyecto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Se elaboraron los documentos técnicos del sistema (arquitectura, manual de instalación, guía de API REST) y el manual de usuario final para los roles de administrador y auxiliar, garantizando la transferencia completa del conocimiento del sistema.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Redacción técnica estructurada bajo estándares de documentación de software, con capturas de pantalla, diagramas de flujo y ejemplos de uso en cada sección del manual.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Documentación completa entregada y validada por el cliente, cubriendo el 100% de las funcionalidades del sistema en todos los módulos disponibles.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13 (28/07/2026)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Diligenciamiento de instrumentos para documentar procesos de calidad.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`TSK-QLTY-000`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Aseguramiento de Calidad — Documentación Académica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Se completó el diligenciamiento de los instrumentos formales de documentación de procesos de calidad del proyecto, incluyendo la presente bitácora de desarrollo, listas de verificación de estándares y formatos de evidencia requeridos por el programa ADSO del SENA.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Aplicación de instrumentos de evaluación y seguimiento de calidad alineados con los estándares </w:t>
      </w:r>
      <w:r>
        <w:rPr>
          <w:rFonts w:ascii="Times New Roman" w:hAnsi="Times New Roman"/>
          <w:b/>
          <w:sz w:val="24"/>
        </w:rPr>
        <w:t>ISO/IEC 25000</w:t>
      </w:r>
      <w:r>
        <w:rPr>
          <w:rFonts w:ascii="Times New Roman" w:hAnsi="Times New Roman"/>
          <w:sz w:val="24"/>
        </w:rPr>
        <w:t xml:space="preserve"> y los lineamientos académicos del programa de formación ADSO (GA11-220501098-AA1-EV04).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Evidencias de calidad completas y organizadas cronológicamente, garantizando la trazabilidad integral del ciclo de vida del software AcaciosWork para presentación académica y profesional.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14 (12/05/2026)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Estabilización de la persistencia de ventas y manejo de excepciones en API REST.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`TSK-BE-012`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`acacioswork-backend` (Ventas y POS)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Se identificaron inconsistencias al realizar transacciones concurrentes de facturación de ventas que producían errores HTTP 409 y 400. Se reestructuró la capa transaccional.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Uso de la anotación `@Transactional` en Spring Boot a nivel atómico para garantizar que si falla el descuento de stock de un producto, la venta completa sufra rollback.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Verificación de concurrencia aprobada en Postman mediante pruebas de estrés sintéticas. 100% de consistencia de datos en base de datos MySQL.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15 (16/05/2026)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Estandarización de documentación técnica y migración de stack.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`TSK-DOC-003`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Entorno Global de Desarrollo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Actualización global de la documentación de arquitectura del repositorio. Se oficializó el desarrollo mandatorio sobre </w:t>
      </w:r>
      <w:r>
        <w:rPr>
          <w:rFonts w:ascii="Times New Roman" w:hAnsi="Times New Roman"/>
          <w:b/>
          <w:sz w:val="24"/>
        </w:rPr>
        <w:t>Java 25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Spring Boot 4.0.6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FlatLaf</w:t>
      </w:r>
      <w:r>
        <w:rPr>
          <w:rFonts w:ascii="Times New Roman" w:hAnsi="Times New Roman"/>
          <w:sz w:val="24"/>
        </w:rPr>
        <w:t xml:space="preserve"> para escritorio y </w:t>
      </w:r>
      <w:r>
        <w:rPr>
          <w:rFonts w:ascii="Times New Roman" w:hAnsi="Times New Roman"/>
          <w:b/>
          <w:sz w:val="24"/>
        </w:rPr>
        <w:t>Kotlin 2.0</w:t>
      </w:r>
      <w:r>
        <w:rPr>
          <w:rFonts w:ascii="Times New Roman" w:hAnsi="Times New Roman"/>
          <w:sz w:val="24"/>
        </w:rPr>
        <w:t xml:space="preserve"> en Android.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Estandarización de firmas de documentación en código fuente según lenguaje (Comentarios `/*</w:t>
      </w:r>
      <w:r>
        <w:rPr>
          <w:rFonts w:ascii="Times New Roman" w:hAnsi="Times New Roman"/>
          <w:i/>
          <w:sz w:val="24"/>
        </w:rPr>
        <w:t xml:space="preserve"> @author RADJ </w:t>
      </w:r>
      <w:r>
        <w:rPr>
          <w:rFonts w:ascii="Times New Roman" w:hAnsi="Times New Roman"/>
          <w:sz w:val="24"/>
        </w:rPr>
        <w:t>/` en Java/JS/Kotlin, `/</w:t>
      </w:r>
      <w:r>
        <w:rPr>
          <w:rFonts w:ascii="Times New Roman" w:hAnsi="Times New Roman"/>
          <w:i/>
          <w:sz w:val="24"/>
        </w:rPr>
        <w:t xml:space="preserve"> @author RADJ </w:t>
      </w:r>
      <w:r>
        <w:rPr>
          <w:rFonts w:ascii="Times New Roman" w:hAnsi="Times New Roman"/>
          <w:sz w:val="24"/>
        </w:rPr>
        <w:t>/` en CSS/SQL y `&lt;!-- @author RADJ --&gt;` en HTML).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Mayor legibilidad y facilidad de inducción para nuevos agentes de desarrollo. Estándar de nomenclatura unificado.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16 (22/05/2026)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Evolución del modelo de Producto y consolidación de campos de stock.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`TSK-MOD-005`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Todos los componentes (`backend`, `frontend`, `desktop` y `android`)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Para mejorar el control de inventario se eliminó el campo genérico `cantidad` y se reemplazó por campos explícitos de control de stock mínimo y óptimo, así como unidades de medida.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Migración de datos en MySQL y actualización de entidades JPA. Se crearon los campos: `stockActual`, `stockMinimo`, `stockOptimo` y `unidadMedida`. Se modificaron los diálogos y formularios correspondientes en todas las plataformas.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Coherencia de tipos y nombres de atributos (mismo nombre exacto en Java, Kotlin, JS y BD) eliminando problemas de conversión serializada JSON.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17 (23/05/2026)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Migración de Frontend Web a motor de plantillas Thymeleaf.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`TSK-FE-008`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`acacioswork-frontend`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Se detectaron problemas de seguridad al tener archivos estáticos directamente en la raíz y vulnerabilidades por CORS. Se migró la aplicación web completa al contenedor seguro de Spring Boot.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Ruteo mediante `ViewController` en Spring Boot, segmentación de vistas por roles (`administrador-dashboard.html` y `auxiliar-dashboard.html`) y reutilización de código mediante fragmentos HTML.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Reducción de latencias de carga web y protección del acceso a plantillas mediante validación previa del token JWT en backend.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18 (04/06/2026)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Desacoplamiento de Javascript y Modularización.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`TSK-FE-009`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`acacioswork-frontend` (JavaScript)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Los dashboards del frontend web presentaban scripts incrustados dentro del HTML de más de 800 líneas, violando principios de mantenibilidad y seguridad (CSP).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Extracción y organización de código JS en archivos externos organizados en tres capas: `core` (comunicaciones y login), `modules` (módulos funcionales de ventas, inventario) y `shared` (módulos reutilizables).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Cumplimiento de políticas de seguridad CSP y facilidad para realizar debug en el navegador cliente.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19 (15/07/2026)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Refactorización modular de la interfaz Swing de escritorio.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`TSK-DE-015`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`acacioswork-desktop`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La clase `Administrador.java` se había convertido en una clase monolítica de más de 2000 líneas. Se refactorizó extrayendo toda la UI en clases individuales autónomas.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Creación de componentes visuales herederos de `JPanel` (`WelcomeTab`, `InventarioTab`, `ProveedoresTab`, etc.) y delegación de la lógica analítica de IA a un motor independiente (`IntelligenceEngine`).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Reducción drástica del tamaño de archivos. Cumplimiento estricto del límite técnico de menos de </w:t>
      </w:r>
      <w:r>
        <w:rPr>
          <w:rFonts w:ascii="Times New Roman" w:hAnsi="Times New Roman"/>
          <w:b/>
          <w:sz w:val="24"/>
        </w:rPr>
        <w:t>300 líneas de código</w:t>
      </w:r>
      <w:r>
        <w:rPr>
          <w:rFonts w:ascii="Times New Roman" w:hAnsi="Times New Roman"/>
          <w:sz w:val="24"/>
        </w:rPr>
        <w:t xml:space="preserve"> por archivo Java.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20 (20/07/2026)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Implementación de paridad de inventario y transacciones físicas de lotes.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`TSK-DE-016`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`acacioswork-desktop`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Para igualar las características de la web, la aplicación de escritorio requería registrar entradas/salidas de stock con número de lote y vencimientos.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Incorporación de columnas `Vencimiento` y `Movimientos` en la tabla de productos de `InventarioTab.java`. Creación del componente `MovimientosPanel` y el modal `MovimientoDialog` conectado al endpoint `/api/movimientos-inventario`.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Aceptación funcional completa. Los usuarios de escritorio ahora pueden actualizar el stock mediante flujos transaccionales controlados.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21 (25/07/2026)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Paridad de la aplicación móvil Android y migración a Jetpack Compose.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`TSK-AN-004`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`acacioswork-android`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La aplicación móvil Android presentaba deficiencias en su flujo de navegación y carecía de pantallas para la paridad de 12 módulos requerida por el negocio.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Rediseño completo de la interfaz utilizando Jetpack Compose. Creación de pantallas autónomas (`WelcomeTab.kt`, `AlertasTab.kt`, `UsuariosTab.kt`, etc.) alineadas exactamente con el orden y estructura del menú lateral web.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Cumplimiento del estándar de diseño unificado e interfaz amigable en dispositivos móviles de diferentes tamaños.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22 (28/07/2026)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Generación y exportación nativa de reportes empresariales.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`TSK-REP-002`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`acacioswork-desktop` y `acacioswork-android`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El sistema requería permitir a los administradores generar y visualizar reportes ejecutivos en PDF directamente desde los clientes móviles y de escritorio.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Creación de 10 tarjetas de reportes PDF dinámicos en el escritorio (Swing). En la versión Android, se implementaron Share Intents nativos para permitir enviar o guardar los PDFs generados a través de cualquier aplicación compatible del celular.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Portabilidad documental lograda. Reportes de inventario y financiero operan de manera homogénea.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📅 Registro 23 (01/08/2026)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Actividad:</w:t>
      </w:r>
      <w:r>
        <w:rPr>
          <w:rFonts w:ascii="Times New Roman" w:hAnsi="Times New Roman"/>
          <w:sz w:val="24"/>
        </w:rPr>
        <w:t xml:space="preserve"> Auditoría interna de calidad del código y actualización del grafo.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ID de Tarea:</w:t>
      </w:r>
      <w:r>
        <w:rPr>
          <w:rFonts w:ascii="Times New Roman" w:hAnsi="Times New Roman"/>
          <w:sz w:val="24"/>
        </w:rPr>
        <w:t xml:space="preserve"> `TSK-QLTY-001` | </w:t>
      </w:r>
      <w:r>
        <w:rPr>
          <w:rFonts w:ascii="Times New Roman" w:hAnsi="Times New Roman"/>
          <w:b/>
          <w:sz w:val="24"/>
        </w:rPr>
        <w:t>Módulo Afectado:</w:t>
      </w:r>
      <w:r>
        <w:rPr>
          <w:rFonts w:ascii="Times New Roman" w:hAnsi="Times New Roman"/>
          <w:sz w:val="24"/>
        </w:rPr>
        <w:t xml:space="preserve"> Repositorio Completo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Descripción:</w:t>
      </w:r>
      <w:r>
        <w:rPr>
          <w:rFonts w:ascii="Times New Roman" w:hAnsi="Times New Roman"/>
          <w:sz w:val="24"/>
        </w:rPr>
        <w:t xml:space="preserve"> Se ejecutó una revisión de aseguramiento para verificar el cumplimiento del límite de 300 líneas de código y mantener actualizados los diagramas del sistema.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Técnica Aplicada:</w:t>
      </w:r>
      <w:r>
        <w:rPr>
          <w:rFonts w:ascii="Times New Roman" w:hAnsi="Times New Roman"/>
          <w:sz w:val="24"/>
        </w:rPr>
        <w:t xml:space="preserve"> Inspección de código estática sobre archivos Java/Kotlin nuevos y modificados. Ejecución de la herramienta `graphify update .` para sincronizar el grafo de relaciones AST y actualizar los mapas conceptuales.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Resultado de Calidad:</w:t>
      </w:r>
      <w:r>
        <w:rPr>
          <w:rFonts w:ascii="Times New Roman" w:hAnsi="Times New Roman"/>
          <w:sz w:val="24"/>
        </w:rPr>
        <w:t xml:space="preserve"> 0 advertencias de violación de límites de tamaño de archivo. Grafo AST actualizado con 4,418 nodos y 7,113 relaciones, listo para auditorías de calidad de software.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Times New Roman" w:hAnsi="Times New Roman"/>
          <w:color w:val="1F3964"/>
          <w:sz w:val="24"/>
        </w:rPr>
        <w:t>5. LECCIONES APRENDIDAS</w:t>
      </w:r>
    </w:p>
    <w:p>
      <w:pPr>
        <w:jc w:val="both"/>
      </w:pPr>
      <w:r>
        <w:rPr>
          <w:rFonts w:ascii="Times New Roman" w:hAnsi="Times New Roman"/>
          <w:sz w:val="24"/>
        </w:rPr>
        <w:t>El desarrollo de AcaciosWork ha aportado aprendizajes clave para la formación técnica en desarrollo de software: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La modularidad reduce el costo del cambio:</w:t>
      </w:r>
      <w:r>
        <w:rPr>
          <w:rFonts w:ascii="Times New Roman" w:hAnsi="Times New Roman"/>
          <w:sz w:val="24"/>
        </w:rPr>
        <w:t xml:space="preserve"> El desacoplamiento del monolito `Administrador.java` demostró que tener componentes de menos de 300 líneas facilita enormemente la corrección de errores puntuales sin poner en riesgo otras secciones del código.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La homogeneidad de datos previene excepciones en producción:</w:t>
      </w:r>
      <w:r>
        <w:rPr>
          <w:rFonts w:ascii="Times New Roman" w:hAnsi="Times New Roman"/>
          <w:sz w:val="24"/>
        </w:rPr>
        <w:t xml:space="preserve"> Utilizar la misma convención de nombres (`stockActual`, `stockMinimo`, etc.) y tipos estándar (`Long` / `BIGINT UNSIGNED`) a lo largo del backend, base de datos y clientes evita la traducción compleja de payloads JSON.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La documentación debe sincronizarse con el código:</w:t>
      </w:r>
      <w:r>
        <w:rPr>
          <w:rFonts w:ascii="Times New Roman" w:hAnsi="Times New Roman"/>
          <w:sz w:val="24"/>
        </w:rPr>
        <w:t xml:space="preserve"> Las herramientas como diagramas en código (Mermaid) y grafos AST (`graphify`) facilitan que los desarrolladores comprendan el impacto de un cambio en la persistencia o lógica de negocio antes de codificar.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Separación estricta de responsabilidades (SoC):</w:t>
      </w:r>
      <w:r>
        <w:rPr>
          <w:rFonts w:ascii="Times New Roman" w:hAnsi="Times New Roman"/>
          <w:sz w:val="24"/>
        </w:rPr>
        <w:t xml:space="preserve"> Separar los motores de cálculo (como `IntelligenceEngine`) de la capa puramente gráfica permite testear la lógica empresarial independientemente del Framework visual (Swing, Thymeleaf o Jetpack Compose).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Times New Roman" w:hAnsi="Times New Roman"/>
          <w:color w:val="1F3964"/>
          <w:sz w:val="24"/>
        </w:rPr>
        <w:t>6. CONCLUSIONES Y RECOMENDACIONES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Conclusiones</w:t>
      </w:r>
    </w:p>
    <w:p>
      <w:pPr>
        <w:jc w:val="both"/>
      </w:pPr>
      <w:r>
        <w:rPr>
          <w:rFonts w:ascii="Times New Roman" w:hAnsi="Times New Roman"/>
          <w:sz w:val="24"/>
        </w:rPr>
        <w:t xml:space="preserve">1.  </w:t>
      </w:r>
      <w:r>
        <w:rPr>
          <w:rFonts w:ascii="Times New Roman" w:hAnsi="Times New Roman"/>
          <w:b/>
          <w:sz w:val="24"/>
        </w:rPr>
        <w:t>Bitácora como Instrumento de Trazabilidad:</w:t>
      </w:r>
      <w:r>
        <w:rPr>
          <w:rFonts w:ascii="Times New Roman" w:hAnsi="Times New Roman"/>
          <w:sz w:val="24"/>
        </w:rPr>
        <w:t xml:space="preserve"> La bitácora permitió registrar de manera verídica y cronológica el ciclo de vida del software AcaciosWork, convirtiéndose en el documento central para verificar la evolución de requerimientos y soluciones de deuda técnica.</w:t>
      </w:r>
    </w:p>
    <w:p>
      <w:pPr>
        <w:jc w:val="both"/>
      </w:pPr>
      <w:r>
        <w:rPr>
          <w:rFonts w:ascii="Times New Roman" w:hAnsi="Times New Roman"/>
          <w:sz w:val="24"/>
        </w:rPr>
        <w:t xml:space="preserve">2.  </w:t>
      </w:r>
      <w:r>
        <w:rPr>
          <w:rFonts w:ascii="Times New Roman" w:hAnsi="Times New Roman"/>
          <w:b/>
          <w:sz w:val="24"/>
        </w:rPr>
        <w:t>Calidad Centrada en la Estructura:</w:t>
      </w:r>
      <w:r>
        <w:rPr>
          <w:rFonts w:ascii="Times New Roman" w:hAnsi="Times New Roman"/>
          <w:sz w:val="24"/>
        </w:rPr>
        <w:t xml:space="preserve"> La adopción de estándares como ISO/IEC 25000 y el límite estricto de 300 líneas de código promovió una arquitectura altamente mantenible y extensible para futuros hitos del negocio.</w:t>
      </w:r>
    </w:p>
    <w:p>
      <w:pPr>
        <w:jc w:val="both"/>
      </w:pPr>
      <w:r>
        <w:rPr>
          <w:rFonts w:ascii="Times New Roman" w:hAnsi="Times New Roman"/>
          <w:sz w:val="24"/>
        </w:rPr>
        <w:t xml:space="preserve">3.  </w:t>
      </w:r>
      <w:r>
        <w:rPr>
          <w:rFonts w:ascii="Times New Roman" w:hAnsi="Times New Roman"/>
          <w:b/>
          <w:sz w:val="24"/>
        </w:rPr>
        <w:t>Cohesión del Ecosistema Multiplataforma:</w:t>
      </w:r>
      <w:r>
        <w:rPr>
          <w:rFonts w:ascii="Times New Roman" w:hAnsi="Times New Roman"/>
          <w:sz w:val="24"/>
        </w:rPr>
        <w:t xml:space="preserve"> La unificación de las 12 opciones de navegación en web, escritorio Swing y Android consolidó un ecosistema cohesivo donde el usuario experimenta consistencia visual y de flujo lógico en cualquier dispositivo.</w:t>
      </w:r>
    </w:p>
    <w:p>
      <w:pPr>
        <w:pStyle w:val="Heading3"/>
        <w:jc w:val="left"/>
      </w:pPr>
      <w:r>
        <w:rPr>
          <w:rFonts w:ascii="Times New Roman" w:hAnsi="Times New Roman"/>
          <w:color w:val="1F3964"/>
          <w:sz w:val="20"/>
        </w:rPr>
        <w:t>Recomendaciones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Automatización de Análisis Estático:</w:t>
      </w:r>
      <w:r>
        <w:rPr>
          <w:rFonts w:ascii="Times New Roman" w:hAnsi="Times New Roman"/>
          <w:sz w:val="24"/>
        </w:rPr>
        <w:t xml:space="preserve"> Se recomienda integrar herramientas de análisis estático (como SonarQube o Checkstyle) en el pipeline de Integración Continua (CI/CD) para forzar de forma automática la regla de las 300 líneas de código por archivo.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Persistencia de Alertas de Stock:</w:t>
      </w:r>
      <w:r>
        <w:rPr>
          <w:rFonts w:ascii="Times New Roman" w:hAnsi="Times New Roman"/>
          <w:sz w:val="24"/>
        </w:rPr>
        <w:t xml:space="preserve"> Avanzar en el diseño del siguiente hito técnico implementando almacenamiento persistente en base de datos para las notificaciones de stock crítico generadas en tiempo real.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Monitoreo del Cierre de Caja:</w:t>
      </w:r>
      <w:r>
        <w:rPr>
          <w:rFonts w:ascii="Times New Roman" w:hAnsi="Times New Roman"/>
          <w:sz w:val="24"/>
        </w:rPr>
        <w:t xml:space="preserve"> Definir a nivel de API REST las interfaces necesarias para la auditoría de caja diaria antes de iniciar el diseño en la capa de presentación de los clientes.</w:t>
      </w:r>
    </w:p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