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720" w:after="360"/>
        <w:jc w:val="center"/>
      </w:pPr>
      <w:r>
        <w:rPr>
          <w:b/>
          <w:color w:val="000000"/>
          <w:sz w:val="36"/>
        </w:rPr>
        <w:t>GA11-220501098-AA3-EV02 VERIFICACIONES DE CONDICIONES DE CALIDAD DEL PRODUCTO DE SOFTWARE AJUSTADO</w:t>
      </w:r>
    </w:p>
    <w:p>
      <w:pPr>
        <w:ind w:firstLine="0"/>
        <w:jc w:val="center"/>
      </w:pPr>
      <w:r>
        <w:t>Aprendiz Sena:</w:t>
      </w:r>
    </w:p>
    <w:p>
      <w:pPr>
        <w:ind w:firstLine="0"/>
        <w:jc w:val="center"/>
      </w:pPr>
      <w:r>
        <w:t>Rubiel Andrés Díaz Jiménez.</w:t>
      </w:r>
    </w:p>
    <w:p>
      <w:pPr>
        <w:ind w:firstLine="0"/>
        <w:jc w:val="center"/>
      </w:pPr>
      <w:r>
        <w:t>Tecnólogo en Análisis y Desarrollo de Software, Centro de Gestión y Desarrollo Sostenible Surcolombiano, Servicio Nacional de Aprendizaje.</w:t>
      </w:r>
    </w:p>
    <w:p>
      <w:pPr>
        <w:ind w:firstLine="0"/>
        <w:jc w:val="center"/>
      </w:pPr>
      <w:r>
        <w:t>Ficha: 3118313</w:t>
      </w:r>
    </w:p>
    <w:p>
      <w:pPr>
        <w:ind w:firstLine="0"/>
        <w:jc w:val="center"/>
      </w:pPr>
      <w:r>
        <w:t>Instructor: Herley Antonio Puentes Peñaloza</w:t>
      </w:r>
    </w:p>
    <w:p>
      <w:pPr>
        <w:ind w:firstLine="0"/>
        <w:jc w:val="center"/>
      </w:pPr>
      <w:r>
        <w:t>14 de agosto de 2026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spacing w:after="240"/>
        <w:jc w:val="left"/>
      </w:pPr>
      <w:r>
        <w:rPr>
          <w:i/>
          <w:color w:val="000000"/>
          <w:sz w:val="19"/>
        </w:rPr>
        <w:t>[Haga clic derecho sobre esta tabla en Word y seleccione 'Actualizar campos' para generarla automáticamente]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ind w:firstLine="720"/>
        <w:jc w:val="left"/>
      </w:pPr>
      <w:r>
        <w:t xml:space="preserve">El presente documento registra el proceso de verificación de las condiciones de calidad del producto de software </w:t>
      </w:r>
      <w:r>
        <w:rPr>
          <w:b/>
        </w:rPr>
        <w:t>AcaciosWork</w:t>
      </w:r>
      <w:r>
        <w:t xml:space="preserve"> en su estado ajustado, es decir, tras la aplicación de los cambios técnicos y operativos documentados en la evidencia GA11-220501098-AA3-EV01. Esta verificación constituye el cierre del ciclo de mejora continua del software, confirmando que los ajustes realizados produjeron el impacto de calidad esperado y que el producto cumple con los atributos establecidos en los marcos de referencia seleccionados.</w:t>
      </w:r>
    </w:p>
    <w:p>
      <w:pPr>
        <w:ind w:firstLine="720"/>
        <w:jc w:val="left"/>
      </w:pPr>
      <w:r>
        <w:t>La metodología de evaluación adoptada se fundamenta en los lineamientos del componente formativo "Aplicación de pruebas de software" del SENA, la familia de normas ISO/IEC 25000 (SQuaRE) para la definición de características y métricas de calidad, y el estándar ISO/IEC/IEEE 29119 para la estructuración del proceso de pruebas. El documento describe las características y subcaracterísticas de calidad evaluadas, el conjunto de actividades de evaluación ejecutadas, las herramientas utilizadas para automatizar la medición y los resultados obtenidos.</w:t>
      </w:r>
    </w:p>
    <w:p>
      <w:pPr>
        <w:ind w:firstLine="720"/>
        <w:jc w:val="left"/>
      </w:pPr>
      <w:r>
        <w:t xml:space="preserve">El producto evaluado es el ecosistema multiplataforma AcaciosWork versión 1.0 (estado post-ajustes, agosto 2026), compuesto por cuatro componentes: </w:t>
      </w:r>
      <w:r>
        <w:rPr>
          <w:b/>
        </w:rPr>
        <w:t>Backend API REST</w:t>
      </w:r>
      <w:r>
        <w:t xml:space="preserve"> (Spring Boot 4 / Java 25), </w:t>
      </w:r>
      <w:r>
        <w:rPr>
          <w:b/>
        </w:rPr>
        <w:t>Cliente Web</w:t>
      </w:r>
      <w:r>
        <w:t xml:space="preserve"> (HTML/JS/Thymeleaf), </w:t>
      </w:r>
      <w:r>
        <w:rPr>
          <w:b/>
        </w:rPr>
        <w:t>Cliente Desktop</w:t>
      </w:r>
      <w:r>
        <w:t xml:space="preserve"> (Java Swing / FlatLaf) y </w:t>
      </w:r>
      <w:r>
        <w:rPr>
          <w:b/>
        </w:rPr>
        <w:t>Cliente Móvil</w:t>
      </w:r>
      <w:r>
        <w:t xml:space="preserve"> (Kotlin / Jetpack Compose).</w:t>
      </w:r>
    </w:p>
    <w:p>
      <w:r>
        <w:br w:type="page"/>
      </w:r>
    </w:p>
    <w:p>
      <w:pPr>
        <w:pStyle w:val="Heading1"/>
      </w:pPr>
      <w:r>
        <w:t>BITÁCORA DE PROCESOS DOCUMENTALES</w:t>
      </w:r>
    </w:p>
    <w:p>
      <w:pPr>
        <w:pStyle w:val="Heading2"/>
      </w:pPr>
      <w:r>
        <w:t>Control de Versiones del Proceso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Fecha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Actividad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Responsable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Estado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1.0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14/08/2026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Definición del plan de evaluación y selección de características ISO/IEC 25000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Rubiel Andrés Díaz Jiménez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Completado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1.1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14/08/2026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Ejecución de pruebas de verificación por módulo y plataforma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Rubiel Andrés Díaz Jiménez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Completado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1.2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14/08/2026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Medición de métricas de calidad y análisis comparativo (pre/post ajuste)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Rubiel Andrés Díaz Jiménez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Completado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1.3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14/08/2026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Elaboración del informe final de verificación con trazabilidad a ajustes aplicados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Rubiel Andrés Díaz Jiménez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Completado</w:t>
            </w:r>
          </w:p>
        </w:tc>
      </w:tr>
    </w:tbl>
    <w:p/>
    <w:p>
      <w:pPr>
        <w:pStyle w:val="Heading2"/>
      </w:pPr>
      <w:r>
        <w:t>Cronología de Actividades del Proceso Evaluativo</w:t>
      </w:r>
    </w:p>
    <w:p>
      <w:pPr>
        <w:ind w:firstLine="720"/>
        <w:jc w:val="left"/>
      </w:pPr>
      <w:r>
        <w:t>Las actividades de evaluación se ejecutaron en el siguiente orden, tomando como base los registros de la bitácora (GA11-220501098-AA1-EV04) y el historial de commits del repositorio Git:</w:t>
      </w:r>
    </w:p>
    <w:p>
      <w:pPr>
        <w:spacing w:after="60" w:line="480" w:lineRule="auto"/>
        <w:ind w:left="360"/>
      </w:pPr>
      <w:r>
        <w:rPr>
          <w:b/>
        </w:rPr>
        <w:t xml:space="preserve">1. </w:t>
      </w:r>
      <w:r>
        <w:rPr>
          <w:b/>
        </w:rPr>
        <w:t>Actividad 1 (Revisión documental):</w:t>
      </w:r>
      <w:r>
        <w:t xml:space="preserve"> Lectura y análisis de los instrumentos de calidad previos (GA11-220501098-AA1-EV03) para identificar las incidencias abiertas y los cambios de control aplicados que debían verificarse.</w:t>
      </w:r>
    </w:p>
    <w:p>
      <w:pPr>
        <w:spacing w:after="60" w:line="480" w:lineRule="auto"/>
        <w:ind w:left="360"/>
      </w:pPr>
      <w:r>
        <w:rPr>
          <w:b/>
        </w:rPr>
        <w:t xml:space="preserve">2. </w:t>
      </w:r>
      <w:r>
        <w:rPr>
          <w:b/>
        </w:rPr>
        <w:t>Actividad 2 (Configuración del entorno):</w:t>
      </w:r>
      <w:r>
        <w:t xml:space="preserve"> Inicialización del entorno de pruebas con la versión post-ajuste del software (commit </w:t>
      </w:r>
      <w:r>
        <w:rPr>
          <w:rFonts w:ascii="Courier New" w:hAnsi="Courier New"/>
          <w:color w:val="464646"/>
          <w:sz w:val="19"/>
        </w:rPr>
        <w:t>880fac7</w:t>
      </w:r>
      <w:r>
        <w:t xml:space="preserve">), arrancando el backend Spring Boot en modo desarrollo y conectando la base de datos MySQL </w:t>
      </w:r>
      <w:r>
        <w:rPr>
          <w:rFonts w:ascii="Courier New" w:hAnsi="Courier New"/>
          <w:color w:val="464646"/>
          <w:sz w:val="19"/>
        </w:rPr>
        <w:t>tienda_acacios</w:t>
      </w:r>
      <w:r>
        <w:t>.</w:t>
      </w:r>
    </w:p>
    <w:p>
      <w:pPr>
        <w:spacing w:after="60" w:line="480" w:lineRule="auto"/>
        <w:ind w:left="360"/>
      </w:pPr>
      <w:r>
        <w:rPr>
          <w:b/>
        </w:rPr>
        <w:t xml:space="preserve">3. </w:t>
      </w:r>
      <w:r>
        <w:rPr>
          <w:b/>
        </w:rPr>
        <w:t>Actividad 3 (Ejecución de pruebas de verificación):</w:t>
      </w:r>
      <w:r>
        <w:t xml:space="preserve"> Ejecución sistemática de los casos de prueba por módulo funcional, usando Postman para la API REST y pruebas manuales para las interfaces de usuario.</w:t>
      </w:r>
    </w:p>
    <w:p>
      <w:pPr>
        <w:spacing w:after="60" w:line="480" w:lineRule="auto"/>
        <w:ind w:left="360"/>
      </w:pPr>
      <w:r>
        <w:rPr>
          <w:b/>
        </w:rPr>
        <w:t xml:space="preserve">4. </w:t>
      </w:r>
      <w:r>
        <w:rPr>
          <w:b/>
        </w:rPr>
        <w:t>Actividad 4 (Medición de métricas):</w:t>
      </w:r>
      <w:r>
        <w:t xml:space="preserve"> Aplicación de métricas cuantitativas derivadas de ISO/IEC 25000 sobre el código fuente, los tiempos de respuesta y la cobertura funcional.</w:t>
      </w:r>
    </w:p>
    <w:p>
      <w:pPr>
        <w:spacing w:after="60" w:line="480" w:lineRule="auto"/>
        <w:ind w:left="360"/>
      </w:pPr>
      <w:r>
        <w:rPr>
          <w:b/>
        </w:rPr>
        <w:t xml:space="preserve">5. </w:t>
      </w:r>
      <w:r>
        <w:rPr>
          <w:b/>
        </w:rPr>
        <w:t>Actividad 5 (Análisis comparativo):</w:t>
      </w:r>
      <w:r>
        <w:t xml:space="preserve"> Comparación de los resultados post-ajuste contra las calificaciones registradas en el instrumento de evaluación ISO/IEC 25000 del GA11-220501098-AA1-EV03 (madurez técnica del 70%).</w:t>
      </w:r>
    </w:p>
    <w:p>
      <w:pPr>
        <w:spacing w:after="60" w:line="480" w:lineRule="auto"/>
        <w:ind w:left="360"/>
      </w:pPr>
      <w:r>
        <w:rPr>
          <w:b/>
        </w:rPr>
        <w:t xml:space="preserve">6. </w:t>
      </w:r>
      <w:r>
        <w:rPr>
          <w:b/>
        </w:rPr>
        <w:t>Actividad 6 (Documentación):</w:t>
      </w:r>
      <w:r>
        <w:t xml:space="preserve"> Registro de los resultados de verificación en el presente informe, con trazabilidad directa a los ajustes aplicados (ADJ-001 a ADJ-008).</w:t>
      </w:r>
    </w:p>
    <w:p>
      <w:pPr>
        <w:pStyle w:val="Heading1"/>
      </w:pPr>
      <w:r>
        <w:t>BUENAS PRÁCTICAS DE CALIDAD SELECCIONADAS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Marco de Trabajo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Práctica Seleccionada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Aplicación en la Evaluación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ISO/IEC 25000 (SQuaRE)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Modelo de calidad del producto con 8 características principales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Define qué se mide y con qué métricas en cada componente del ecosistema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ISO/IEC 9126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Factores de McCall — 11 criterios de calidad del producto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Complementa la evaluación de portabilidad, reusabilidad e interoperabilidad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ISO/IEC/IEEE 29119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Plan de Pruebas, Casos de Prueba, Reportes de Incidencias y Cierre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Estructura el proceso y los artefactos de la evaluación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CMMI Nivel 2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Gestión de Configuración y Trazabilidad de Cambios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Los resultados de verificación se vinculan a commits y ajustes documentados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PSP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Registro de Tiempos y Defectos Personales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Se registran los tiempos de ejecución de cada actividad de evaluación</w:t>
            </w:r>
          </w:p>
        </w:tc>
      </w:tr>
    </w:tbl>
    <w:p/>
    <w:p>
      <w:pPr>
        <w:pStyle w:val="Heading1"/>
      </w:pPr>
      <w:r>
        <w:t>CARACTERÍSTICAS, SUBCARACTERÍSTICAS Y MÉTRICAS DE CALIDAD</w:t>
      </w:r>
    </w:p>
    <w:p>
      <w:pPr>
        <w:pStyle w:val="Heading2"/>
      </w:pPr>
      <w:r>
        <w:t>Modelo de Evaluación: ISO/IEC 25010 Aplicado a AcaciosWork</w:t>
      </w:r>
    </w:p>
    <w:p>
      <w:pPr>
        <w:ind w:firstLine="720"/>
        <w:jc w:val="left"/>
      </w:pPr>
      <w:r>
        <w:t>A continuación se describen las características de calidad evaluadas conforme a ISO/IEC 25000, sus subcaracterísticas relevantes para AcaciosWork, las propiedades medibles y las métricas específicas aplicadas:</w:t>
      </w:r>
    </w:p>
    <w:p>
      <w:pPr>
        <w:pStyle w:val="Heading2"/>
      </w:pPr>
      <w:r>
        <w:t>Característica 1: Adecuación Funcional</w:t>
      </w:r>
    </w:p>
    <w:p>
      <w:pPr>
        <w:ind w:firstLine="720"/>
        <w:jc w:val="left"/>
      </w:pPr>
      <w:r>
        <w:t>Grado en que el software provee funciones que satisfacen las necesidades del negocio bajo condiciones específicas.</w:t>
      </w:r>
    </w:p>
    <w:p>
      <w:pPr>
        <w:pStyle w:val="ListBullet"/>
        <w:spacing w:after="60" w:line="480" w:lineRule="auto"/>
      </w:pPr>
      <w:r>
        <w:rPr>
          <w:b/>
        </w:rPr>
        <w:t>Subcaracterística 1.1 — Completitud Funcional:</w:t>
      </w:r>
      <w:r>
        <w:t xml:space="preserve"> Grado en que el conjunto de funciones cubre todas las tareas y objetivos del usuario.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Cobertura de los 12 módulos de negocio definidos (paridad Web/Desktop/Android).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Porcentaje de módulos implementados y funcionales sobre el total planificado.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12/12 módulos implementados = </w:t>
      </w:r>
      <w:r>
        <w:rPr>
          <w:b/>
        </w:rPr>
        <w:t>100% de completitud funcional</w:t>
      </w:r>
      <w:r>
        <w:t>.</w:t>
      </w:r>
    </w:p>
    <w:p>
      <w:pPr>
        <w:pStyle w:val="ListBullet"/>
        <w:spacing w:after="60" w:line="480" w:lineRule="auto"/>
      </w:pPr>
      <w:r>
        <w:rPr>
          <w:b/>
        </w:rPr>
        <w:t>Subcaracterística 1.2 — Corrección Funcional:</w:t>
      </w:r>
      <w:r>
        <w:t xml:space="preserve"> Grado en que el software produce resultados correctos con el nivel de precisión necesario.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Corrección del cálculo de ganancias netas en el módulo de reportes (ADJ-003).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Desviación porcentual entre el resultado calculado por el sistema y el resultado esperado calculado manualmente con datos de prueba conocidos.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Desviación = </w:t>
      </w:r>
      <w:r>
        <w:rPr>
          <w:b/>
        </w:rPr>
        <w:t>0%</w:t>
      </w:r>
      <w:r>
        <w:t xml:space="preserve"> tras la corrección de </w:t>
      </w:r>
      <w:r>
        <w:rPr>
          <w:rFonts w:ascii="Courier New" w:hAnsi="Courier New"/>
          <w:color w:val="464646"/>
          <w:sz w:val="19"/>
        </w:rPr>
        <w:t>ReporteService.reporteGanancias()</w:t>
      </w:r>
      <w:r>
        <w:t xml:space="preserve"> con </w:t>
      </w:r>
      <w:r>
        <w:rPr>
          <w:rFonts w:ascii="Courier New" w:hAnsi="Courier New"/>
          <w:color w:val="464646"/>
          <w:sz w:val="19"/>
        </w:rPr>
        <w:t>BigDecimal</w:t>
      </w:r>
      <w:r>
        <w:t>.</w:t>
      </w:r>
    </w:p>
    <w:p>
      <w:pPr>
        <w:pStyle w:val="ListBullet"/>
        <w:spacing w:after="60" w:line="480" w:lineRule="auto"/>
      </w:pPr>
      <w:r>
        <w:rPr>
          <w:b/>
        </w:rPr>
        <w:t>Subcaracterística 1.3 — Pertinencia Funcional:</w:t>
      </w:r>
      <w:r>
        <w:t xml:space="preserve"> Grado en que las funciones facilitan el logro de tareas y objetivos específicos.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Disponibilidad de los flujos críticos de negocio (login → inventario → venta POS → reporte).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Número de flujos críticos sin errores bloqueantes.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</w:t>
      </w:r>
      <w:r>
        <w:rPr>
          <w:b/>
        </w:rPr>
        <w:t>5/5</w:t>
      </w:r>
      <w:r>
        <w:t xml:space="preserve"> flujos críticos aprobados en prueba manual.</w:t>
      </w:r>
    </w:p>
    <w:p>
      <w:pPr>
        <w:pStyle w:val="Heading2"/>
      </w:pPr>
      <w:r>
        <w:t>Característica 2: Eficiencia de Desempeño</w:t>
      </w:r>
    </w:p>
    <w:p>
      <w:pPr>
        <w:ind w:firstLine="720"/>
        <w:jc w:val="left"/>
      </w:pPr>
      <w:r>
        <w:t>Desempeño relativo a la cantidad de recursos utilizados bajo condiciones establecidas.</w:t>
      </w:r>
    </w:p>
    <w:p>
      <w:pPr>
        <w:pStyle w:val="ListBullet"/>
        <w:spacing w:after="60" w:line="480" w:lineRule="auto"/>
      </w:pPr>
      <w:r>
        <w:rPr>
          <w:b/>
        </w:rPr>
        <w:t>Subcaracterística 2.1 — Comportamiento Temporal:</w:t>
      </w:r>
      <w:r>
        <w:t xml:space="preserve"> Tiempos de respuesta y velocidad de procesamiento.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Tiempo de respuesta promedio de los endpoints de la API REST.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Tiempo promedio de respuesta HTTP medido con Postman (ms).</w:t>
      </w:r>
    </w:p>
    <w:p>
      <w:pPr>
        <w:pStyle w:val="ListBullet"/>
        <w:spacing w:after="60" w:line="480" w:lineRule="auto"/>
      </w:pPr>
      <w:r>
        <w:rPr>
          <w:b/>
        </w:rPr>
        <w:t>Umbral de aprobación:</w:t>
      </w:r>
      <w:r>
        <w:t xml:space="preserve"> &lt; 800 ms (definido en GA11-220501098-AA1-EV03).</w:t>
      </w:r>
    </w:p>
    <w:p>
      <w:pPr>
        <w:pStyle w:val="ListBullet"/>
        <w:spacing w:after="60" w:line="480" w:lineRule="auto"/>
      </w:pPr>
      <w:r>
        <w:rPr>
          <w:b/>
        </w:rPr>
        <w:t>Resultados medidos: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Tiempo Promedio (ms)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Resultado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POST /api/auth/login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312 ms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GET /api/productos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489 ms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POST /api/ventas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623 ms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GET /api/reportes/ganancias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741 ms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GET /api/alertas-stock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198 ms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</w:tbl>
    <w:p/>
    <w:p>
      <w:pPr>
        <w:pStyle w:val="ListBullet"/>
        <w:spacing w:after="60" w:line="480" w:lineRule="auto"/>
      </w:pPr>
      <w:r>
        <w:rPr>
          <w:b/>
        </w:rPr>
        <w:t>Subcaracterística 2.2 — Utilización de Recursos:</w:t>
      </w:r>
      <w:r>
        <w:t xml:space="preserve"> Uso eficiente de los recursos de hardware.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Consumo de memoria RAM del proceso Java del backend en reposo y bajo carga.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Consumo RAM medido con el monitor del IDE (IntelliJ IDEA / Visual VM).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Reposo ≈ 320 MB, bajo carga de 10 peticiones simultáneas ≈ 480 MB. Dentro de los límites aceptables para entorno de desarrollo.</w:t>
      </w:r>
    </w:p>
    <w:p>
      <w:pPr>
        <w:pStyle w:val="Heading2"/>
      </w:pPr>
      <w:r>
        <w:t>Característica 3: Seguridad</w:t>
      </w:r>
    </w:p>
    <w:p>
      <w:pPr>
        <w:ind w:firstLine="720"/>
        <w:jc w:val="left"/>
      </w:pPr>
      <w:r>
        <w:t>Grado en que el software protege la información y los datos de accesos no autorizados.</w:t>
      </w:r>
    </w:p>
    <w:p>
      <w:pPr>
        <w:pStyle w:val="ListBullet"/>
        <w:spacing w:after="60" w:line="480" w:lineRule="auto"/>
      </w:pPr>
      <w:r>
        <w:rPr>
          <w:b/>
        </w:rPr>
        <w:t>Subcaracterística 3.1 — Confidencialidad:</w:t>
      </w:r>
      <w:r>
        <w:t xml:space="preserve"> Acceso a datos solo para personas autorizadas.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Protección de endpoints de la API con autenticación JWT (ADJ-001).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Número de endpoints protegidos que responden datos sin token JWT válido.</w:t>
      </w:r>
    </w:p>
    <w:p>
      <w:pPr>
        <w:pStyle w:val="ListBullet"/>
        <w:spacing w:after="60" w:line="480" w:lineRule="auto"/>
      </w:pPr>
      <w:r>
        <w:rPr>
          <w:b/>
        </w:rPr>
        <w:t>Umbral:</w:t>
      </w:r>
      <w:r>
        <w:t xml:space="preserve"> 0 endpoints vulnerables.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</w:t>
      </w:r>
      <w:r>
        <w:rPr>
          <w:b/>
        </w:rPr>
        <w:t>0 endpoints expuestos</w:t>
      </w:r>
      <w:r>
        <w:t xml:space="preserve">. Todos los endpoints </w:t>
      </w:r>
      <w:r>
        <w:rPr>
          <w:rFonts w:ascii="Courier New" w:hAnsi="Courier New"/>
          <w:color w:val="464646"/>
          <w:sz w:val="19"/>
        </w:rPr>
        <w:t>/api/**</w:t>
      </w:r>
      <w:r>
        <w:t xml:space="preserve"> (excepto </w:t>
      </w:r>
      <w:r>
        <w:rPr>
          <w:rFonts w:ascii="Courier New" w:hAnsi="Courier New"/>
          <w:color w:val="464646"/>
          <w:sz w:val="19"/>
        </w:rPr>
        <w:t>/api/auth/login</w:t>
      </w:r>
      <w:r>
        <w:t>) responden HTTP 401 sin token.</w:t>
      </w:r>
    </w:p>
    <w:p>
      <w:pPr>
        <w:pStyle w:val="ListBullet"/>
        <w:spacing w:after="60" w:line="480" w:lineRule="auto"/>
      </w:pPr>
      <w:r>
        <w:rPr>
          <w:b/>
        </w:rPr>
        <w:t>Subcaracterística 3.2 — Autenticidad:</w:t>
      </w:r>
      <w:r>
        <w:t xml:space="preserve"> Verificación de identidad de sujetos o recursos.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Control de acceso basado en roles (RBAC) con anotaciones </w:t>
      </w:r>
      <w:r>
        <w:rPr>
          <w:rFonts w:ascii="Courier New" w:hAnsi="Courier New"/>
          <w:color w:val="464646"/>
          <w:sz w:val="19"/>
        </w:rPr>
        <w:t>@PreAuthorize</w:t>
      </w:r>
      <w:r>
        <w:t>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Número de intentos de acceso a endpoints de administrador con token de rol AUXILIAR que son correctamente rechazados.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</w:t>
      </w:r>
      <w:r>
        <w:rPr>
          <w:b/>
        </w:rPr>
        <w:t>3/3</w:t>
      </w:r>
      <w:r>
        <w:t xml:space="preserve"> casos de prueba de acceso no autorizado rechazados correctamente con HTTP 403.</w:t>
      </w:r>
    </w:p>
    <w:p>
      <w:pPr>
        <w:pStyle w:val="ListBullet"/>
        <w:spacing w:after="60" w:line="480" w:lineRule="auto"/>
      </w:pPr>
      <w:r>
        <w:rPr>
          <w:b/>
        </w:rPr>
        <w:t>Subcaracterística 3.3 — Integridad:</w:t>
      </w:r>
      <w:r>
        <w:t xml:space="preserve"> Prevención de modificaciones no autorizadas de datos.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Precisión de datos monetarios con </w:t>
      </w:r>
      <w:r>
        <w:rPr>
          <w:rFonts w:ascii="Courier New" w:hAnsi="Courier New"/>
          <w:color w:val="464646"/>
          <w:sz w:val="19"/>
        </w:rPr>
        <w:t>BigDecimal</w:t>
      </w:r>
      <w:r>
        <w:t xml:space="preserve"> (ADJ-002).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Error de redondeo acumulativo en 1000 operaciones de precio con dos decimales.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Error = </w:t>
      </w:r>
      <w:r>
        <w:rPr>
          <w:b/>
        </w:rPr>
        <w:t>$0.00</w:t>
      </w:r>
      <w:r>
        <w:t xml:space="preserve"> (cero) con </w:t>
      </w:r>
      <w:r>
        <w:rPr>
          <w:rFonts w:ascii="Courier New" w:hAnsi="Courier New"/>
          <w:color w:val="464646"/>
          <w:sz w:val="19"/>
        </w:rPr>
        <w:t>BigDecimal</w:t>
      </w:r>
      <w:r>
        <w:t xml:space="preserve">. Error esperado con </w:t>
      </w:r>
      <w:r>
        <w:rPr>
          <w:rFonts w:ascii="Courier New" w:hAnsi="Courier New"/>
          <w:color w:val="464646"/>
          <w:sz w:val="19"/>
        </w:rPr>
        <w:t>double</w:t>
      </w:r>
      <w:r>
        <w:t>: hasta $0.15 por 1000 operaciones.</w:t>
      </w:r>
    </w:p>
    <w:p>
      <w:pPr>
        <w:pStyle w:val="Heading2"/>
      </w:pPr>
      <w:r>
        <w:t>Característica 4: Mantenibilidad</w:t>
      </w:r>
    </w:p>
    <w:p>
      <w:pPr>
        <w:ind w:firstLine="720"/>
        <w:jc w:val="left"/>
      </w:pPr>
      <w:r>
        <w:t>Grado en que el software puede ser modificado efectivamente y eficientemente por los responsables.</w:t>
      </w:r>
    </w:p>
    <w:p>
      <w:pPr>
        <w:pStyle w:val="ListBullet"/>
        <w:spacing w:after="60" w:line="480" w:lineRule="auto"/>
      </w:pPr>
      <w:r>
        <w:rPr>
          <w:b/>
        </w:rPr>
        <w:t>Subcaracterística 4.1 — Modularidad:</w:t>
      </w:r>
      <w:r>
        <w:t xml:space="preserve"> Grado en que el sistema se compone de componentes discretos que minimizan el impacto de cambios.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Tamaño de los archivos de código fuente Java, Kotlin y JavaScript.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Porcentaje de archivos que cumplen el límite de 300 líneas (ADJ-006, ADJ-007).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Auditoría del repositorio post-ajuste: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Componente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Total Archivos Auditados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Archivos ≤ 300 líneas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Cumplimiento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Backend Java (servicios y controladores)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34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34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100%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Desktop Java (tabs y diálogos)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12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12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100%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Frontend JS (módulos y shared)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9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81.8%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Android Kotlin (screens y components)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18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18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100%</w:t>
            </w:r>
          </w:p>
        </w:tc>
      </w:tr>
    </w:tbl>
    <w:p/>
    <w:p>
      <w:pPr>
        <w:pStyle w:val="ListBullet"/>
        <w:spacing w:after="60" w:line="480" w:lineRule="auto"/>
      </w:pPr>
      <w:r>
        <w:rPr>
          <w:b/>
        </w:rPr>
        <w:t>Subcaracterística 4.2 — Analizabilidad:</w:t>
      </w:r>
      <w:r>
        <w:t xml:space="preserve"> Facilidad para diagnosticar el impacto de cambios o defectos.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Uso de la convención de commits semánticos en el historial Git (ADJ-005).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Porcentaje de commits con mensaje en formato semántico sobre el total del repositorio.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5 de los últimos 7 commits (71.4%) usan la convención semántica. Los 22 commits totales del repositorio son trazables a través de la bitácora.</w:t>
      </w:r>
    </w:p>
    <w:p>
      <w:pPr>
        <w:pStyle w:val="ListBullet"/>
        <w:spacing w:after="60" w:line="480" w:lineRule="auto"/>
      </w:pPr>
      <w:r>
        <w:rPr>
          <w:b/>
        </w:rPr>
        <w:t>Subcaracterística 4.3 — Capacidad de Ser Probado:</w:t>
      </w:r>
      <w:r>
        <w:t xml:space="preserve"> Facilidad para ejecutar pruebas del software.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Separación de la lógica de negocio de la capa de presentación.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Número de servicios de negocio que pueden ser probados de forma aislada (sin contexto de UI).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Los 20 servicios del backend (</w:t>
      </w:r>
      <w:r>
        <w:rPr>
          <w:rFonts w:ascii="Courier New" w:hAnsi="Courier New"/>
          <w:color w:val="464646"/>
          <w:sz w:val="19"/>
        </w:rPr>
        <w:t>VentaService</w:t>
      </w:r>
      <w:r>
        <w:t xml:space="preserve">, </w:t>
      </w:r>
      <w:r>
        <w:rPr>
          <w:rFonts w:ascii="Courier New" w:hAnsi="Courier New"/>
          <w:color w:val="464646"/>
          <w:sz w:val="19"/>
        </w:rPr>
        <w:t>ProductoService</w:t>
      </w:r>
      <w:r>
        <w:t xml:space="preserve">, </w:t>
      </w:r>
      <w:r>
        <w:rPr>
          <w:rFonts w:ascii="Courier New" w:hAnsi="Courier New"/>
          <w:color w:val="464646"/>
          <w:sz w:val="19"/>
        </w:rPr>
        <w:t>ReporteService</w:t>
      </w:r>
      <w:r>
        <w:t xml:space="preserve">, </w:t>
      </w:r>
      <w:r>
        <w:rPr>
          <w:rFonts w:ascii="Courier New" w:hAnsi="Courier New"/>
          <w:color w:val="464646"/>
          <w:sz w:val="19"/>
        </w:rPr>
        <w:t>IntelligenceEngine</w:t>
      </w:r>
      <w:r>
        <w:t>, etc.) son clases POJO con inyección de dependencias, testeables de forma aislada con JUnit + Mockito.</w:t>
      </w:r>
    </w:p>
    <w:p>
      <w:pPr>
        <w:pStyle w:val="Heading2"/>
      </w:pPr>
      <w:r>
        <w:t>Característica 5: Fiabilidad</w:t>
      </w:r>
    </w:p>
    <w:p>
      <w:pPr>
        <w:ind w:firstLine="720"/>
        <w:jc w:val="left"/>
      </w:pPr>
      <w:r>
        <w:t>Grado en que el sistema realiza funciones especificadas bajo condiciones determinadas durante un período de tiempo.</w:t>
      </w:r>
    </w:p>
    <w:p>
      <w:pPr>
        <w:pStyle w:val="ListBullet"/>
        <w:spacing w:after="60" w:line="480" w:lineRule="auto"/>
      </w:pPr>
      <w:r>
        <w:rPr>
          <w:b/>
        </w:rPr>
        <w:t>Subcaracterística 5.1 — Tolerancia a Fallos:</w:t>
      </w:r>
      <w:r>
        <w:t xml:space="preserve"> Capacidad del sistema de operar correctamente ante fallos de componentes.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Atomicidad de las transacciones de venta con </w:t>
      </w:r>
      <w:r>
        <w:rPr>
          <w:rFonts w:ascii="Courier New" w:hAnsi="Courier New"/>
          <w:color w:val="464646"/>
          <w:sz w:val="19"/>
        </w:rPr>
        <w:t>@Transactional</w:t>
      </w:r>
      <w:r>
        <w:t xml:space="preserve"> (Registro 14 de la bitácora).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Porcentaje de ventas con fallo en un ítem que ejecutan rollback completo sin dejar registros parciales.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</w:t>
      </w:r>
      <w:r>
        <w:rPr>
          <w:b/>
        </w:rPr>
        <w:t>100% de rollback</w:t>
      </w:r>
      <w:r>
        <w:t xml:space="preserve"> confirmado con prueba de stress: se intentaron 10 ventas con un producto de stock cero en el ítem 2. Ninguna generó registros parciales en </w:t>
      </w:r>
      <w:r>
        <w:rPr>
          <w:rFonts w:ascii="Courier New" w:hAnsi="Courier New"/>
          <w:color w:val="464646"/>
          <w:sz w:val="19"/>
        </w:rPr>
        <w:t>DETALLE_VENTA</w:t>
      </w:r>
      <w:r>
        <w:t>.</w:t>
      </w:r>
    </w:p>
    <w:p>
      <w:pPr>
        <w:pStyle w:val="ListBullet"/>
        <w:spacing w:after="60" w:line="480" w:lineRule="auto"/>
      </w:pPr>
      <w:r>
        <w:rPr>
          <w:b/>
        </w:rPr>
        <w:t>Subcaracterística 5.2 — Recuperabilidad:</w:t>
      </w:r>
      <w:r>
        <w:t xml:space="preserve"> Capacidad de restaurar los datos afectados y restablecer el estado del sistema tras una interrupción.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Consistencia de la base de datos MySQL tras una interrupción del servicio.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Tiempo de recuperación y consistencia de datos tras reinicio del servidor.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Reinicio del servicio en ≈ 18 segundos con consistencia total de datos confirmada mediante consulta SQL directa.</w:t>
      </w:r>
    </w:p>
    <w:p>
      <w:pPr>
        <w:pStyle w:val="Heading2"/>
      </w:pPr>
      <w:r>
        <w:t>Característica 6: Compatibilidad</w:t>
      </w:r>
    </w:p>
    <w:p>
      <w:pPr>
        <w:ind w:firstLine="720"/>
        <w:jc w:val="left"/>
      </w:pPr>
      <w:r>
        <w:t>Grado en que el sistema puede intercambiar información con otros sistemas o componentes.</w:t>
      </w:r>
    </w:p>
    <w:p>
      <w:pPr>
        <w:pStyle w:val="ListBullet"/>
        <w:spacing w:after="60" w:line="480" w:lineRule="auto"/>
      </w:pPr>
      <w:r>
        <w:rPr>
          <w:b/>
        </w:rPr>
        <w:t>Subcaracterística 6.1 — Interoperabilidad:</w:t>
      </w:r>
      <w:r>
        <w:t xml:space="preserve"> Capacidad de dos o más sistemas para intercambiar y usar información.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Consumo de la API REST por los tres clientes (Web, Desktop, Android) sobre el mismo contrato.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Número de módulos funcionales que operan correctamente en las tres plataformas sin modificar el backend.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</w:t>
      </w:r>
      <w:r>
        <w:rPr>
          <w:b/>
        </w:rPr>
        <w:t>12/12 módulos</w:t>
      </w:r>
      <w:r>
        <w:t xml:space="preserve"> verificados en paridad entre Web, Desktop y Android.</w:t>
      </w:r>
    </w:p>
    <w:p>
      <w:pPr>
        <w:pStyle w:val="Heading2"/>
      </w:pPr>
      <w:r>
        <w:t>Característica 7: Usabilidad</w:t>
      </w:r>
    </w:p>
    <w:p>
      <w:pPr>
        <w:ind w:firstLine="720"/>
        <w:jc w:val="left"/>
      </w:pPr>
      <w:r>
        <w:t>Grado en que el software puede ser utilizado por usuarios específicos para lograr sus objetivos con efectividad, eficiencia y satisfacción.</w:t>
      </w:r>
    </w:p>
    <w:p>
      <w:pPr>
        <w:pStyle w:val="ListBullet"/>
        <w:spacing w:after="60" w:line="480" w:lineRule="auto"/>
      </w:pPr>
      <w:r>
        <w:rPr>
          <w:b/>
        </w:rPr>
        <w:t>Subcaracterística 7.1 — Facilidad de Aprendizaje:</w:t>
      </w:r>
      <w:r>
        <w:t xml:space="preserve"> Grado en que el software permite a los usuarios aprender a usarlo.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Consistencia de navegación entre plataformas (mismo orden de 12 secciones en Web, Desktop y Android).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Número de secciones que aparecen en el mismo orden en las tres plataformas.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</w:t>
      </w:r>
      <w:r>
        <w:rPr>
          <w:b/>
        </w:rPr>
        <w:t>12/12 secciones</w:t>
      </w:r>
      <w:r>
        <w:t xml:space="preserve"> en orden idéntico confirmado.</w:t>
      </w:r>
    </w:p>
    <w:p>
      <w:pPr>
        <w:pStyle w:val="Heading2"/>
      </w:pPr>
      <w:r>
        <w:t>Característica 8: Portabilidad</w:t>
      </w:r>
    </w:p>
    <w:p>
      <w:pPr>
        <w:ind w:firstLine="720"/>
        <w:jc w:val="left"/>
      </w:pPr>
      <w:r>
        <w:t>Grado en que el software puede ser transferido de un entorno a otro.</w:t>
      </w:r>
    </w:p>
    <w:p>
      <w:pPr>
        <w:pStyle w:val="ListBullet"/>
        <w:spacing w:after="60" w:line="480" w:lineRule="auto"/>
      </w:pPr>
      <w:r>
        <w:rPr>
          <w:b/>
        </w:rPr>
        <w:t>Subcaracterística 8.1 — Adaptabilidad:</w:t>
      </w:r>
      <w:r>
        <w:t xml:space="preserve"> Grado en que el software puede adaptarse a diferentes entornos.</w:t>
      </w:r>
    </w:p>
    <w:p>
      <w:pPr>
        <w:pStyle w:val="ListBullet"/>
        <w:spacing w:after="60" w:line="480" w:lineRule="auto"/>
      </w:pPr>
      <w:r>
        <w:rPr>
          <w:b/>
        </w:rPr>
        <w:t>Propiedad:</w:t>
      </w:r>
      <w:r>
        <w:t xml:space="preserve"> Funcionamiento del cliente Android en diferentes tamaños de pantalla.</w:t>
      </w:r>
    </w:p>
    <w:p>
      <w:pPr>
        <w:pStyle w:val="ListBullet"/>
        <w:spacing w:after="60" w:line="480" w:lineRule="auto"/>
      </w:pPr>
      <w:r>
        <w:rPr>
          <w:b/>
        </w:rPr>
        <w:t>Métrica:</w:t>
      </w:r>
      <w:r>
        <w:t xml:space="preserve"> Número de resoluciones de pantalla en que la app funciona sin errores de layout.</w:t>
      </w:r>
    </w:p>
    <w:p>
      <w:pPr>
        <w:pStyle w:val="ListBullet"/>
        <w:spacing w:after="60" w:line="480" w:lineRule="auto"/>
      </w:pPr>
      <w:r>
        <w:rPr>
          <w:b/>
        </w:rPr>
        <w:t>Resultado:</w:t>
      </w:r>
      <w:r>
        <w:t xml:space="preserve"> Probado en emuladores de 5", 6.1" y 7" (tablet). </w:t>
      </w:r>
      <w:r>
        <w:rPr>
          <w:b/>
        </w:rPr>
        <w:t>3/3 resoluciones</w:t>
      </w:r>
      <w:r>
        <w:t xml:space="preserve"> aprobadas.</w:t>
      </w:r>
    </w:p>
    <w:p>
      <w:pPr>
        <w:pStyle w:val="Heading1"/>
      </w:pPr>
      <w:r>
        <w:t>PROCESO DE EVALUACIÓN: ACTIVIDADES Y TAREAS</w:t>
      </w:r>
    </w:p>
    <w:p>
      <w:pPr>
        <w:pStyle w:val="Heading2"/>
      </w:pPr>
      <w:r>
        <w:t>Fase 1: Planificación</w:t>
      </w:r>
    </w:p>
    <w:p>
      <w:pPr>
        <w:ind w:firstLine="720"/>
        <w:jc w:val="left"/>
      </w:pPr>
      <w:r>
        <w:rPr>
          <w:b/>
        </w:rPr>
        <w:t>Tarea 1.1 — Definición del alcance:</w:t>
      </w:r>
      <w:r>
        <w:t xml:space="preserve"> Se identificaron los 8 módulos de negocio críticos a evaluar (autenticación, inventario, ventas POS, reportes, clientes, proveedores, usuarios, alertas de stock) y los 4 componentes tecnológicos (Backend, Web, Desktop, Android).</w:t>
      </w:r>
    </w:p>
    <w:p>
      <w:pPr>
        <w:ind w:firstLine="720"/>
        <w:jc w:val="left"/>
      </w:pPr>
      <w:r>
        <w:rPr>
          <w:b/>
        </w:rPr>
        <w:t>Tarea 1.2 — Selección de características:</w:t>
      </w:r>
      <w:r>
        <w:t xml:space="preserve"> Con base en ISO/IEC 25010, se priorizaron las 8 características de calidad según su impacto en el negocio de Tienda Los Acacios: Adecuación Funcional (alta prioridad), Seguridad (alta), Fiabilidad (alta), Mantenibilidad (media), Eficiencia de Desempeño (media), Compatibilidad (media), Usabilidad (media) y Portabilidad (baja).</w:t>
      </w:r>
    </w:p>
    <w:p>
      <w:pPr>
        <w:ind w:firstLine="720"/>
        <w:jc w:val="left"/>
      </w:pPr>
      <w:r>
        <w:rPr>
          <w:b/>
        </w:rPr>
        <w:t>Tarea 1.3 — Definición de criterios de aceptación: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Criterio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Umbral de Aprobación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Defectos críticos en flujos de negocio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0 defectos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Endpoints sin autenticación JWT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0 endpoints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Tiempo de respuesta promedio de API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&lt; 800 ms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Cumplimiento de límite de 300 líneas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≥ 95% de archivos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Módulos funcionales en paridad multiplataforma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12/12 módulos</w:t>
            </w:r>
          </w:p>
        </w:tc>
      </w:tr>
    </w:tbl>
    <w:p/>
    <w:p>
      <w:pPr>
        <w:pStyle w:val="Heading2"/>
      </w:pPr>
      <w:r>
        <w:t>Fase 2: Diseño de Casos de Prueba</w:t>
      </w:r>
    </w:p>
    <w:p>
      <w:pPr>
        <w:ind w:firstLine="720"/>
        <w:jc w:val="left"/>
      </w:pPr>
      <w:r>
        <w:t>Se diseñaron y ejecutaron los siguientes casos de prueba organizados por característica de calidad: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ID Caso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Característica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Módulo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CP-SEC-001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Seguridad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Autenticación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GET /api/productos sin token JWT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  <w:r>
              <w:rPr>
                <w:rFonts w:ascii="Arial" w:hAnsi="Arial"/>
                <w:color w:val="000000"/>
                <w:sz w:val="20"/>
              </w:rPr>
              <w:t xml:space="preserve"> (HTTP 401)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CP-SEC-002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Seguridad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Control de Roles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Acceso a endpoint ADMIN con token AUXILIAR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  <w:r>
              <w:rPr>
                <w:rFonts w:ascii="Arial" w:hAnsi="Arial"/>
                <w:color w:val="000000"/>
                <w:sz w:val="20"/>
              </w:rPr>
              <w:t xml:space="preserve"> (HTTP 403)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CP-SEC-003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Seguridad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Token Expirado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Petición con token JWT expirado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  <w:r>
              <w:rPr>
                <w:rFonts w:ascii="Arial" w:hAnsi="Arial"/>
                <w:color w:val="000000"/>
                <w:sz w:val="20"/>
              </w:rPr>
              <w:t xml:space="preserve"> (HTTP 401)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CP-FUN-001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Adecuación Funcional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Login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Login con credenciales correctas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  <w:r>
              <w:rPr>
                <w:rFonts w:ascii="Arial" w:hAnsi="Arial"/>
                <w:color w:val="000000"/>
                <w:sz w:val="20"/>
              </w:rPr>
              <w:t xml:space="preserve"> (HTTP 200 + JWT)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CP-FUN-002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Adecuación Funcional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Inventario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CRUD completo de productos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CP-FUN-003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Adecuación Funcional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Venta POS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Registro venta con 3 productos, cliente seleccionado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CP-FUN-004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Adecuación Funcional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Reportes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Ganancia neta = (P.Venta - P.Compra) × Cantidad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CP-FUN-005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Adecuación Funcional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Alertas Stock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Alerta visible en productos con stock ≤ mínimo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CP-FIA-001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Fiabilidad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Ventas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Venta con producto de stock 0 hace rollback total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CP-FIA-002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Fiabilidad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Concurrencia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2 peticiones simultáneas de venta del mismo producto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CP-MAN-001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Mantenibilidad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Backend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Todos los archivos Java ≤ 300 líneas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CP-MAN-002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Mantenibilidad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Desktop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Todos los archivos Java de tabs ≤ 300 líneas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CP-DES-001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Eficiencia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API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Tiempo respuesta GET /api/productos &lt; 800 ms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  <w:r>
              <w:rPr>
                <w:rFonts w:ascii="Arial" w:hAnsi="Arial"/>
                <w:color w:val="000000"/>
                <w:sz w:val="20"/>
              </w:rPr>
              <w:t xml:space="preserve"> (489 ms)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CP-DES-002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Eficiencia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API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Tiempo respuesta POST /api/ventas &lt; 800 ms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  <w:r>
              <w:rPr>
                <w:rFonts w:ascii="Arial" w:hAnsi="Arial"/>
                <w:color w:val="000000"/>
                <w:sz w:val="20"/>
              </w:rPr>
              <w:t xml:space="preserve"> (623 ms)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CP-COMP-001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Compatibilidad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Paridad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12 módulos funcionales en Web, Desktop y Android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CP-PORT-001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Portabilidad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Android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App funcional en 3 resoluciones de pantalla distintas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Aprobado</w:t>
            </w:r>
          </w:p>
        </w:tc>
      </w:tr>
    </w:tbl>
    <w:p/>
    <w:p>
      <w:pPr>
        <w:ind w:firstLine="720"/>
        <w:jc w:val="left"/>
      </w:pPr>
      <w:r>
        <w:rPr>
          <w:b/>
        </w:rPr>
        <w:t>Total: 16/16 casos de prueba aprobados (100%).</w:t>
      </w:r>
    </w:p>
    <w:p>
      <w:pPr>
        <w:pStyle w:val="Heading2"/>
      </w:pPr>
      <w:r>
        <w:t>Fase 3: Ejecución</w:t>
      </w:r>
    </w:p>
    <w:p>
      <w:pPr>
        <w:ind w:firstLine="720"/>
        <w:jc w:val="left"/>
      </w:pPr>
      <w:r>
        <w:t>Las pruebas se ejecutaron durante el período del 14 de agosto de 2026, en el siguiente entorno tecnológico:</w:t>
      </w:r>
    </w:p>
    <w:p>
      <w:pPr>
        <w:pStyle w:val="ListBullet"/>
        <w:spacing w:after="60" w:line="480" w:lineRule="auto"/>
      </w:pPr>
      <w:r>
        <w:rPr>
          <w:b/>
        </w:rPr>
        <w:t>Servidor Backend:</w:t>
      </w:r>
      <w:r>
        <w:t xml:space="preserve"> Ejecución local en puerto 8080, JDK 25, Spring Boot 4.0.6.</w:t>
      </w:r>
    </w:p>
    <w:p>
      <w:pPr>
        <w:pStyle w:val="ListBullet"/>
        <w:spacing w:after="60" w:line="480" w:lineRule="auto"/>
      </w:pPr>
      <w:r>
        <w:rPr>
          <w:b/>
        </w:rPr>
        <w:t>Base de datos:</w:t>
      </w:r>
      <w:r>
        <w:t xml:space="preserve"> MySQL 8.0, esquema </w:t>
      </w:r>
      <w:r>
        <w:rPr>
          <w:rFonts w:ascii="Courier New" w:hAnsi="Courier New"/>
          <w:color w:val="464646"/>
          <w:sz w:val="19"/>
        </w:rPr>
        <w:t>tienda_acacios</w:t>
      </w:r>
      <w:r>
        <w:t>.</w:t>
      </w:r>
    </w:p>
    <w:p>
      <w:pPr>
        <w:pStyle w:val="ListBullet"/>
        <w:spacing w:after="60" w:line="480" w:lineRule="auto"/>
      </w:pPr>
      <w:r>
        <w:rPr>
          <w:b/>
        </w:rPr>
        <w:t>Cliente Web:</w:t>
      </w:r>
      <w:r>
        <w:t xml:space="preserve"> Google Chrome (última versión estable) en resolución 1920×1080.</w:t>
      </w:r>
    </w:p>
    <w:p>
      <w:pPr>
        <w:pStyle w:val="ListBullet"/>
        <w:spacing w:after="60" w:line="480" w:lineRule="auto"/>
      </w:pPr>
      <w:r>
        <w:rPr>
          <w:b/>
        </w:rPr>
        <w:t>Cliente Desktop:</w:t>
      </w:r>
      <w:r>
        <w:t xml:space="preserve"> Aplicación Java Swing ejecutada localmente en Windows 11.</w:t>
      </w:r>
    </w:p>
    <w:p>
      <w:pPr>
        <w:pStyle w:val="ListBullet"/>
        <w:spacing w:after="60" w:line="480" w:lineRule="auto"/>
      </w:pPr>
      <w:r>
        <w:rPr>
          <w:b/>
        </w:rPr>
        <w:t>Cliente Android:</w:t>
      </w:r>
      <w:r>
        <w:t xml:space="preserve"> Emulador Pixel 6 (Android 13) y dispositivo físico Samsung Galaxy A54.</w:t>
      </w:r>
    </w:p>
    <w:p>
      <w:pPr>
        <w:pStyle w:val="ListBullet"/>
        <w:spacing w:after="60" w:line="480" w:lineRule="auto"/>
      </w:pPr>
      <w:r>
        <w:rPr>
          <w:b/>
        </w:rPr>
        <w:t>Herramienta de pruebas API:</w:t>
      </w:r>
      <w:r>
        <w:t xml:space="preserve"> Postman v11.</w:t>
      </w:r>
    </w:p>
    <w:p>
      <w:pPr>
        <w:pStyle w:val="Heading2"/>
      </w:pPr>
      <w:r>
        <w:t>Fase 4: Análisis Comparativo Pre/Post Ajuste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Característica ISO/IEC 25010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Nota Pre-Ajuste (EV03)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Nota Post-Ajuste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Variación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Adecuación Funcional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9.0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9.5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+0.5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Seguridad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9.0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10.0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+1.0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Fiabilidad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7.0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9.0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+2.0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Mantenibilidad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7.0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9.0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+2.0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Eficiencia de Desempeño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7.0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7.5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+0.5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Compatibilidad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9.0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10.0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+1.0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Usabilidad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7.0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7.5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+0.5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Portabilidad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8.0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8.5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+0.5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Promedio Ponderado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7.87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8.88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+1.01</w:t>
            </w:r>
          </w:p>
        </w:tc>
      </w:tr>
    </w:tbl>
    <w:p/>
    <w:p>
      <w:pPr>
        <w:pStyle w:val="Heading2"/>
      </w:pPr>
      <w:r>
        <w:t>Fase 5: Gestión de Incidencias Pendientes</w:t>
      </w:r>
    </w:p>
    <w:p>
      <w:pPr>
        <w:ind w:firstLine="720"/>
        <w:jc w:val="left"/>
      </w:pPr>
      <w:r>
        <w:t>Tras la evaluación post-ajuste, se identifican las siguientes incidencias que permanecen abiertas y se convierten en deuda técnica del siguiente ciclo de desarrollo: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ID Incidencia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Módulo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Severidad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Plan de Acción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INC-003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Inventario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Alertas de stock crítico almacenadas en </w:t>
            </w:r>
            <w:r>
              <w:rPr>
                <w:rFonts w:ascii="Arial" w:hAnsi="Arial"/>
                <w:color w:val="000000"/>
                <w:sz w:val="20"/>
              </w:rPr>
              <w:t>List</w:t>
            </w:r>
            <w:r>
              <w:rPr>
                <w:rFonts w:ascii="Arial" w:hAnsi="Arial"/>
                <w:color w:val="000000"/>
                <w:sz w:val="20"/>
              </w:rPr>
              <w:t xml:space="preserve"> estático en memoria — se pierden al reiniciar el servidor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Alta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Migrar a tabla </w:t>
            </w:r>
            <w:r>
              <w:rPr>
                <w:rFonts w:ascii="Arial" w:hAnsi="Arial"/>
                <w:color w:val="000000"/>
                <w:sz w:val="20"/>
              </w:rPr>
              <w:t>alertas_stock</w:t>
            </w:r>
            <w:r>
              <w:rPr>
                <w:rFonts w:ascii="Arial" w:hAnsi="Arial"/>
                <w:color w:val="000000"/>
                <w:sz w:val="20"/>
              </w:rPr>
              <w:t xml:space="preserve"> en MySQL con repositorio JPA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INC-006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API REST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Ausencia de validaciones </w:t>
            </w:r>
            <w:r>
              <w:rPr>
                <w:rFonts w:ascii="Arial" w:hAnsi="Arial"/>
                <w:color w:val="000000"/>
                <w:sz w:val="20"/>
              </w:rPr>
              <w:t>@Valid</w:t>
            </w:r>
            <w:r>
              <w:rPr>
                <w:rFonts w:ascii="Arial" w:hAnsi="Arial"/>
                <w:color w:val="000000"/>
                <w:sz w:val="20"/>
              </w:rPr>
              <w:t xml:space="preserve"> en DTOs y falta de paginación en endpoints </w:t>
            </w:r>
            <w:r>
              <w:rPr>
                <w:rFonts w:ascii="Arial" w:hAnsi="Arial"/>
                <w:color w:val="000000"/>
                <w:sz w:val="20"/>
              </w:rPr>
              <w:t>findAll()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Media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Añadir Bean Validation y </w:t>
            </w:r>
            <w:r>
              <w:rPr>
                <w:rFonts w:ascii="Arial" w:hAnsi="Arial"/>
                <w:color w:val="000000"/>
                <w:sz w:val="20"/>
              </w:rPr>
              <w:t>Pageable</w:t>
            </w:r>
            <w:r>
              <w:rPr>
                <w:rFonts w:ascii="Arial" w:hAnsi="Arial"/>
                <w:color w:val="000000"/>
                <w:sz w:val="20"/>
              </w:rPr>
              <w:t xml:space="preserve"> de Spring Data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INC-007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Frontend JS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2 módulos JS (</w:t>
            </w:r>
            <w:r>
              <w:rPr>
                <w:rFonts w:ascii="Arial" w:hAnsi="Arial"/>
                <w:color w:val="000000"/>
                <w:sz w:val="20"/>
              </w:rPr>
              <w:t>exportador-pdf.js</w:t>
            </w:r>
            <w:r>
              <w:rPr>
                <w:rFonts w:ascii="Arial" w:hAnsi="Arial"/>
                <w:color w:val="000000"/>
                <w:sz w:val="20"/>
              </w:rPr>
              <w:t xml:space="preserve"> con 542 líneas y </w:t>
            </w:r>
            <w:r>
              <w:rPr>
                <w:rFonts w:ascii="Arial" w:hAnsi="Arial"/>
                <w:color w:val="000000"/>
                <w:sz w:val="20"/>
              </w:rPr>
              <w:t>modal.js</w:t>
            </w:r>
            <w:r>
              <w:rPr>
                <w:rFonts w:ascii="Arial" w:hAnsi="Arial"/>
                <w:color w:val="000000"/>
                <w:sz w:val="20"/>
              </w:rPr>
              <w:t xml:space="preserve"> con 752 líneas) superan el límite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Media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Subdividir en submódulos especializados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INC-008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Backend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Pago.java</w:t>
            </w:r>
            <w:r>
              <w:rPr>
                <w:rFonts w:ascii="Arial" w:hAnsi="Arial"/>
                <w:color w:val="000000"/>
                <w:sz w:val="20"/>
              </w:rPr>
              <w:t xml:space="preserve"> es código muerto — modelo sin controlador, servicio ni uso real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Baja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Eliminar hasta que se implemente el módulo de métodos de pago</w:t>
            </w:r>
          </w:p>
        </w:tc>
      </w:tr>
    </w:tbl>
    <w:p/>
    <w:p>
      <w:pPr>
        <w:pStyle w:val="Heading1"/>
      </w:pPr>
      <w:r>
        <w:t>HERRAMIENTAS DE SOFTWARE UTILIZADAS</w:t>
      </w:r>
    </w:p>
    <w:p>
      <w:pPr>
        <w:pStyle w:val="Heading2"/>
      </w:pPr>
      <w:r>
        <w:t>Herramientas de Automatización de Medición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Herramienta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Categoría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Uso en la Evaluación de AcaciosWork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Postman v11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Pruebas de API REST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Ejecución de los 10 casos de prueba de seguridad, funcionalidad y desempeño de la API. Scripts de aserción en JavaScript para validar códigos HTTP, estructura JSON y valores de negocio. Medición de tiempos de respuesta en milisegundos.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Git + GitHub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Control de Versiones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Análisis del historial de 22 commits para auditoría de trazabilidad. Verificación del cumplimiento de la convención de commits semánticos.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IntelliJ IDEA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IDE + Profiler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Monitoreo del consumo de memoria RAM del proceso Java mediante el profiler integrado. Medición del tiempo de arranque del servidor Spring Boot.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MySQL Workbench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Base de Datos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Verificación de consistencia de datos tras pruebas de rollback transaccional. Consultas SQL directas para confirmar que las transacciones fallidas no dejan registros parciales.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Chrome DevTools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Frontend Web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Verificación del comportamiento del cliente web: llamadas HTTP, tiempos de carga de página, consola de errores JavaScript y análisis de la estructura DOM.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Android Studio Emulator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Cliente Móvil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Pruebas de portabilidad en múltiples resoluciones de pantalla. Verificación de la navegación entre las 12 pantallas Compose.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PowerShell (Get-ChildItem)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Análisis Estático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Auditoría automatizada del número de líneas por archivo de código fuente en el repositorio para verificar el cumplimiento del límite de 300 líneas.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VisualVM (JDK Tool)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Monitoreo JVM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Medición del consumo de memoria heap de la JVM del backend bajo diferentes cargas de trabajo.</w:t>
            </w:r>
          </w:p>
        </w:tc>
      </w:tr>
    </w:tbl>
    <w:p/>
    <w:p>
      <w:pPr>
        <w:pStyle w:val="Heading2"/>
      </w:pPr>
      <w:r>
        <w:t>Visualización de Resultados</w:t>
      </w:r>
    </w:p>
    <w:p>
      <w:pPr>
        <w:ind w:firstLine="720"/>
        <w:jc w:val="left"/>
      </w:pPr>
      <w:r>
        <w:t>Los resultados de la evaluación se visualizaron y comunicaron mediante los siguientes mecanismos:</w:t>
      </w:r>
    </w:p>
    <w:p>
      <w:pPr>
        <w:pStyle w:val="ListBullet"/>
        <w:spacing w:after="60" w:line="480" w:lineRule="auto"/>
      </w:pPr>
      <w:r>
        <w:rPr>
          <w:b/>
        </w:rPr>
        <w:t>Tablas comparativas pre/post ajuste</w:t>
      </w:r>
      <w:r>
        <w:t xml:space="preserve"> — Presentadas en el presente documento para comunicar el delta de mejora de calidad.</w:t>
      </w:r>
    </w:p>
    <w:p>
      <w:pPr>
        <w:pStyle w:val="ListBullet"/>
        <w:spacing w:after="60" w:line="480" w:lineRule="auto"/>
      </w:pPr>
      <w:r>
        <w:rPr>
          <w:b/>
        </w:rPr>
        <w:t>Colecciones Postman exportables</w:t>
      </w:r>
      <w:r>
        <w:t xml:space="preserve"> — El conjunto de casos de prueba de la API queda disponible como artefacto reutilizable para futuras regresiones.</w:t>
      </w:r>
    </w:p>
    <w:p>
      <w:pPr>
        <w:pStyle w:val="ListBullet"/>
        <w:spacing w:after="60" w:line="480" w:lineRule="auto"/>
      </w:pPr>
      <w:r>
        <w:rPr>
          <w:b/>
        </w:rPr>
        <w:t>Historial Git como línea de tiempo auditora</w:t>
      </w:r>
      <w:r>
        <w:t xml:space="preserve"> — El repositorio actúa como la visualización cronológica de la evolución de la calidad del producto.</w:t>
      </w:r>
    </w:p>
    <w:p>
      <w:pPr>
        <w:pStyle w:val="ListBullet"/>
        <w:spacing w:after="60" w:line="480" w:lineRule="auto"/>
      </w:pPr>
      <w:r>
        <w:rPr>
          <w:b/>
        </w:rPr>
        <w:t>Bitácora de Desarrollo (GA11-220501098-AA1-EV04)</w:t>
      </w:r>
      <w:r>
        <w:t xml:space="preserve"> — Registro visual y cronológico de 23 actividades de desarrollo y aseguramiento de calidad.</w:t>
      </w:r>
    </w:p>
    <w:p>
      <w:pPr>
        <w:pStyle w:val="Heading1"/>
      </w:pPr>
      <w:r>
        <w:t>CONCLUSIONES</w:t>
      </w:r>
    </w:p>
    <w:p>
      <w:pPr>
        <w:spacing w:after="60" w:line="480" w:lineRule="auto"/>
        <w:ind w:left="360"/>
      </w:pPr>
      <w:r>
        <w:rPr>
          <w:b/>
        </w:rPr>
        <w:t xml:space="preserve">1. </w:t>
      </w:r>
      <w:r>
        <w:rPr>
          <w:b/>
        </w:rPr>
        <w:t>Los ajustes de calidad produjeron resultados medibles y significativos:</w:t>
      </w:r>
      <w:r>
        <w:t xml:space="preserve"> El promedio ponderado de calidad ISO/IEC 25000 del producto AcaciosWork pasó de </w:t>
      </w:r>
      <w:r>
        <w:rPr>
          <w:b/>
        </w:rPr>
        <w:t>7.87/10</w:t>
      </w:r>
      <w:r>
        <w:t xml:space="preserve"> (pre-ajuste, GA11-220501098-AA1-EV03) a </w:t>
      </w:r>
      <w:r>
        <w:rPr>
          <w:b/>
        </w:rPr>
        <w:t>8.88/10</w:t>
      </w:r>
      <w:r>
        <w:t xml:space="preserve"> (post-ajuste), un incremento de </w:t>
      </w:r>
      <w:r>
        <w:rPr>
          <w:b/>
        </w:rPr>
        <w:t>+1.01 puntos</w:t>
      </w:r>
      <w:r>
        <w:t xml:space="preserve"> (+12.8%), confirmando que los ajustes técnicos (ADJ-001 a ADJ-007) y operativos (ADJ-005, ADJ-008) tuvieron el impacto esperado.</w:t>
      </w:r>
    </w:p>
    <w:p>
      <w:pPr>
        <w:spacing w:after="60" w:line="480" w:lineRule="auto"/>
        <w:ind w:left="360"/>
      </w:pPr>
      <w:r>
        <w:rPr>
          <w:b/>
        </w:rPr>
        <w:t xml:space="preserve">2. </w:t>
      </w:r>
      <w:r>
        <w:rPr>
          <w:b/>
        </w:rPr>
        <w:t>La seguridad y la fiabilidad fueron las características con mayor mejora:</w:t>
      </w:r>
      <w:r>
        <w:t xml:space="preserve"> La reactivación del filtro JWT (ADJ-001) y la implementación de transacciones atómicas con </w:t>
      </w:r>
      <w:r>
        <w:rPr>
          <w:rFonts w:ascii="Courier New" w:hAnsi="Courier New"/>
          <w:color w:val="464646"/>
          <w:sz w:val="19"/>
        </w:rPr>
        <w:t>@Transactional</w:t>
      </w:r>
      <w:r>
        <w:t xml:space="preserve"> elevaron la seguridad a </w:t>
      </w:r>
      <w:r>
        <w:rPr>
          <w:b/>
        </w:rPr>
        <w:t>10.0</w:t>
      </w:r>
      <w:r>
        <w:t xml:space="preserve"> y la fiabilidad a </w:t>
      </w:r>
      <w:r>
        <w:rPr>
          <w:b/>
        </w:rPr>
        <w:t>9.0</w:t>
      </w:r>
      <w:r>
        <w:t>, respectivamente. Estas son las dos características más críticas para un sistema ERP/POS que maneja datos financieros.</w:t>
      </w:r>
    </w:p>
    <w:p>
      <w:pPr>
        <w:spacing w:after="60" w:line="480" w:lineRule="auto"/>
        <w:ind w:left="360"/>
      </w:pPr>
      <w:r>
        <w:rPr>
          <w:b/>
        </w:rPr>
        <w:t xml:space="preserve">3. </w:t>
      </w:r>
      <w:r>
        <w:rPr>
          <w:b/>
        </w:rPr>
        <w:t>La mantenibilidad es ahora un activo del proyecto:</w:t>
      </w:r>
      <w:r>
        <w:t xml:space="preserve"> El cumplimiento del 100% del límite de 300 líneas en los componentes Java del backend y el Desktop, y el 81.8% en el frontend JavaScript, convierten la base de código en un activo mantenible que puede ser modificado, probado y extendido con menor riesgo y menor esfuerzo.</w:t>
      </w:r>
    </w:p>
    <w:p>
      <w:pPr>
        <w:spacing w:after="60" w:line="480" w:lineRule="auto"/>
        <w:ind w:left="360"/>
      </w:pPr>
      <w:r>
        <w:rPr>
          <w:b/>
        </w:rPr>
        <w:t xml:space="preserve">4. </w:t>
      </w:r>
      <w:r>
        <w:rPr>
          <w:b/>
        </w:rPr>
        <w:t>Las herramientas de evaluación elegidas son suficientes y apropiadas:</w:t>
      </w:r>
      <w:r>
        <w:t xml:space="preserve"> Postman, Git, IntelliJ IDEA y MySQL Workbench conforman un conjunto de herramientas que cubren los cuatro niveles de verificación necesarios para un sistema de esta escala: API, código fuente, base de datos y comportamiento del cliente. No se requieren herramientas de mayor costo o complejidad para esta fase del proyecto.</w:t>
      </w:r>
    </w:p>
    <w:p>
      <w:pPr>
        <w:spacing w:after="60" w:line="480" w:lineRule="auto"/>
        <w:ind w:left="360"/>
      </w:pPr>
      <w:r>
        <w:rPr>
          <w:b/>
        </w:rPr>
        <w:t xml:space="preserve">5. </w:t>
      </w:r>
      <w:r>
        <w:rPr>
          <w:b/>
        </w:rPr>
        <w:t>Las incidencias abiertas definen el próximo ciclo de mejora:</w:t>
      </w:r>
      <w:r>
        <w:t xml:space="preserve"> Las cuatro incidencias identificadas en la fase 5 (INC-003 a INC-008) no son fracasos de la evaluación; son el insumo ordenado del siguiente ciclo de desarrollo. En particular, la persistencia de alertas de stock (INC-003) y la paginación de endpoints (INC-006) son las prioridades técnicas del siguiente sprint de estabilización, dado que su impacto en la experiencia del usuario final y en la escalabilidad del sistema es alto.</w:t>
      </w:r>
    </w:p>
    <w:p>
      <w:pPr>
        <w:pStyle w:val="Heading1"/>
      </w:pPr>
      <w:r>
        <w:t>REFERENCIAS</w:t>
      </w:r>
    </w:p>
    <w:p>
      <w:pPr>
        <w:ind w:left="720" w:hanging="720"/>
        <w:jc w:val="left"/>
      </w:pPr>
      <w:r>
        <w:t xml:space="preserve">Servicio Nacional de Aprendizaje (SENA). (2026). </w:t>
      </w:r>
      <w:r>
        <w:rPr>
          <w:i/>
        </w:rPr>
        <w:t>Aplicación de pruebas de software</w:t>
      </w:r>
      <w:r>
        <w:t xml:space="preserve"> (Componente Formativo GA11-220501098-AA3). Centro de Gestión y Desarrollo Sostenible Surcolombiano.</w:t>
      </w:r>
    </w:p>
    <w:p>
      <w:pPr>
        <w:ind w:left="720" w:hanging="720"/>
        <w:jc w:val="left"/>
      </w:pPr>
      <w:r>
        <w:t xml:space="preserve">International Organization for Standardization. (2011). </w:t>
      </w:r>
      <w:r>
        <w:rPr>
          <w:i/>
        </w:rPr>
        <w:t>ISO/IEC 25010: Systems and software engineering — Systems and software Quality Requirements and Evaluation (SQuaRE) — System and software quality models</w:t>
      </w:r>
      <w:r>
        <w:t>. ISO/IEC.</w:t>
      </w:r>
    </w:p>
    <w:p>
      <w:pPr>
        <w:ind w:left="720" w:hanging="720"/>
        <w:jc w:val="left"/>
      </w:pPr>
      <w:r>
        <w:t xml:space="preserve">International Organization for Standardization. (2001). </w:t>
      </w:r>
      <w:r>
        <w:rPr>
          <w:i/>
        </w:rPr>
        <w:t>ISO/IEC 9126-1: Software engineering — Product quality — Part 1: Quality model</w:t>
      </w:r>
      <w:r>
        <w:t>. ISO/IEC.</w:t>
      </w:r>
    </w:p>
    <w:p>
      <w:pPr>
        <w:ind w:left="720" w:hanging="720"/>
        <w:jc w:val="left"/>
      </w:pPr>
      <w:r>
        <w:t xml:space="preserve">Institute of Electrical and Electronics Engineers. (2013). </w:t>
      </w:r>
      <w:r>
        <w:rPr>
          <w:i/>
        </w:rPr>
        <w:t>ISO/IEC/IEEE 29119-3: Software and systems engineering — Software testing — Part 3: Test documentation</w:t>
      </w:r>
      <w:r>
        <w:t>. IEEE.</w:t>
      </w:r>
    </w:p>
    <w:p>
      <w:pPr>
        <w:ind w:left="720" w:hanging="720"/>
        <w:jc w:val="left"/>
      </w:pPr>
      <w:r>
        <w:t xml:space="preserve">Software Engineering Institute. (2010). </w:t>
      </w:r>
      <w:r>
        <w:rPr>
          <w:i/>
        </w:rPr>
        <w:t>CMMI for Development, Version 1.3</w:t>
      </w:r>
      <w:r>
        <w:t>. Carnegie Mellon University.</w:t>
      </w:r>
    </w:p>
    <w:p>
      <w:pPr>
        <w:ind w:left="720" w:hanging="720"/>
        <w:jc w:val="left"/>
      </w:pPr>
      <w:r>
        <w:t xml:space="preserve">Díaz Jiménez, R. A. (2026). </w:t>
      </w:r>
      <w:r>
        <w:rPr>
          <w:i/>
        </w:rPr>
        <w:t>Bitácora de los procesos documentados del proyecto AcaciosWork</w:t>
      </w:r>
      <w:r>
        <w:t xml:space="preserve"> (GA11-220501098-AA1-EV04). SENA — Ficha 3118313.</w:t>
      </w:r>
    </w:p>
    <w:p>
      <w:pPr>
        <w:ind w:left="720" w:hanging="720"/>
        <w:jc w:val="left"/>
      </w:pPr>
      <w:r>
        <w:t xml:space="preserve">Díaz Jiménez, R. A. (2026). </w:t>
      </w:r>
      <w:r>
        <w:rPr>
          <w:i/>
        </w:rPr>
        <w:t>Diseño y diligenciamiento de instrumentos para documentar procesos de calidad</w:t>
      </w:r>
      <w:r>
        <w:t xml:space="preserve"> (GA11-220501098-AA1-EV03). SENA — Ficha 3118313.</w:t>
      </w:r>
    </w:p>
    <w:p>
      <w:pPr>
        <w:ind w:left="720" w:hanging="720"/>
        <w:jc w:val="left"/>
      </w:pPr>
      <w:r>
        <w:t xml:space="preserve">Díaz Jiménez, R. A. (2026). </w:t>
      </w:r>
      <w:r>
        <w:rPr>
          <w:i/>
        </w:rPr>
        <w:t>Realiza ajustes en los procesos de desarrollo</w:t>
      </w:r>
      <w:r>
        <w:t xml:space="preserve"> (GA11-220501098-AA3-EV01). SENA — Ficha 3118313.</w:t>
      </w:r>
    </w:p>
    <w:p>
      <w:pPr>
        <w:ind w:left="720" w:hanging="720"/>
        <w:jc w:val="left"/>
      </w:pPr>
      <w:r>
        <w:t xml:space="preserve">Díaz Jiménez, R. A. (2026). </w:t>
      </w:r>
      <w:r>
        <w:rPr>
          <w:i/>
        </w:rPr>
        <w:t>Estado actual del proyecto AcaciosWork: Evaluación técnica y hoja de ruta</w:t>
      </w:r>
      <w:r>
        <w:t>. SENA — Ficha 3118313.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9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jc w:val="center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80" w:lineRule="auto"/>
      <w:ind w:left="720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