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bottom w:val="single" w:sz="8" w:space="4" w:color="1F365D"/>
        </w:pBdr>
      </w:pPr>
      <w:r>
        <w:rPr>
          <w:rFonts w:ascii="Arial" w:hAnsi="Arial"/>
          <w:b/>
          <w:color w:val="1F365D"/>
          <w:sz w:val="40"/>
        </w:rPr>
        <w:t>POLÍTICA DE PROTECCIÓN SOBRE LA PROPIEDAD INTELECTUAL</w:t>
      </w:r>
    </w:p>
    <w:p>
      <w:pPr>
        <w:pStyle w:val="Heading2"/>
      </w:pPr>
      <w:r>
        <w:rPr>
          <w:rFonts w:ascii="Arial" w:hAnsi="Arial"/>
          <w:b/>
          <w:color w:val="1F365D"/>
        </w:rPr>
      </w:r>
      <w:r>
        <w:rPr>
          <w:rFonts w:ascii="Arial" w:hAnsi="Arial"/>
          <w:b/>
          <w:color w:val="1F365D"/>
        </w:rPr>
        <w:t>Dimensión Derechos de Autor y Derechos Conexos</w:t>
      </w:r>
    </w:p>
    <w:p>
      <w:pPr>
        <w:pStyle w:val="Heading3"/>
      </w:pPr>
      <w:r>
        <w:rPr>
          <w:rFonts w:ascii="Arial" w:hAnsi="Arial"/>
          <w:b/>
          <w:color w:val="1F365D"/>
        </w:rPr>
      </w:r>
      <w:r>
        <w:rPr>
          <w:rFonts w:ascii="Arial" w:hAnsi="Arial"/>
          <w:b/>
          <w:color w:val="1F365D"/>
        </w:rPr>
        <w:t>Alcaldía Municipal de Jamundí – Valle del Cauca</w:t>
      </w:r>
    </w:p>
    <w:p>
      <w:pPr>
        <w:spacing w:before="120" w:after="200"/>
        <w:ind w:left="340" w:right="227"/>
        <w:jc w:val="both"/>
        <w:pBdr>
          <w:left w:val="single" w:sz="18" w:space="8" w:color="1F365D"/>
        </w:pBdr>
      </w:pPr>
      <w:r>
        <w:rPr>
          <w:rFonts w:ascii="Arial" w:hAnsi="Arial"/>
          <w:b/>
          <w:color w:val="444444"/>
          <w:sz w:val="19"/>
        </w:rPr>
        <w:t>Documento en versión de trabajo para revisión institucional.</w:t>
      </w:r>
      <w:r>
        <w:rPr>
          <w:rFonts w:ascii="Arial" w:hAnsi="Arial"/>
          <w:color w:val="444444"/>
          <w:sz w:val="19"/>
        </w:rPr>
        <w:t xml:space="preserve"> Los campos señalados como «PENDIENTE DE CONFIRMACIÓN» requieren dato oficial de la Alcaldía Municipal de Jamundí y no fueron completados por suposición. Esta política no adquiere fuerza vinculante hasta su adopción mediante el acto administrativo que corresponda conforme a la competencia del Despacho del Alcalde.</w:t>
      </w:r>
    </w:p>
    <w:tbl>
      <w:tblPr>
        <w:tblStyle w:val="TableGrid"/>
        <w:tblW w:type="auto" w:w="0"/>
        <w:jc w:val="center"/>
        <w:tblLayout w:type="autofit"/>
        <w:tblLook w:firstColumn="1" w:firstRow="1" w:lastColumn="0" w:lastRow="0" w:noHBand="0" w:noVBand="1" w:val="04A0"/>
      </w:tblPr>
      <w:tblGrid>
        <w:gridCol w:w="4703"/>
        <w:gridCol w:w="4703"/>
      </w:tblGrid>
      <w:tr>
        <w:trPr>
          <w:tblHeader w:val="true"/>
        </w:trPr>
        <w:tc>
          <w:tcPr>
            <w:tcW w:type="dxa" w:w="4703"/>
            <w:shd w:val="clear" w:color="auto" w:fill="1F365D"/>
          </w:tcPr>
          <w:p>
            <w:r>
              <w:rPr>
                <w:color w:val="FFFFFF"/>
              </w:rPr>
            </w:r>
            <w:r>
              <w:rPr>
                <w:rFonts w:ascii="Arial" w:hAnsi="Arial"/>
                <w:b/>
                <w:color w:val="FFFFFF"/>
                <w:sz w:val="18"/>
              </w:rPr>
              <w:t>Campo</w:t>
            </w:r>
          </w:p>
        </w:tc>
        <w:tc>
          <w:tcPr>
            <w:tcW w:type="dxa" w:w="4703"/>
            <w:shd w:val="clear" w:color="auto" w:fill="1F365D"/>
          </w:tcPr>
          <w:p>
            <w:r>
              <w:rPr>
                <w:color w:val="FFFFFF"/>
              </w:rPr>
            </w:r>
            <w:r>
              <w:rPr>
                <w:rFonts w:ascii="Arial" w:hAnsi="Arial"/>
                <w:b/>
                <w:color w:val="FFFFFF"/>
                <w:sz w:val="18"/>
              </w:rPr>
              <w:t>Contenido</w:t>
            </w:r>
          </w:p>
        </w:tc>
      </w:tr>
      <w:tr>
        <w:tc>
          <w:tcPr>
            <w:tcW w:type="dxa" w:w="4703"/>
          </w:tcPr>
          <w:p>
            <w:pPr>
              <w:jc w:val="left"/>
            </w:pPr>
            <w:r/>
            <w:r>
              <w:rPr>
                <w:rFonts w:ascii="Arial" w:hAnsi="Arial"/>
                <w:sz w:val="18"/>
              </w:rPr>
              <w:t>Entidad</w:t>
            </w:r>
          </w:p>
        </w:tc>
        <w:tc>
          <w:tcPr>
            <w:tcW w:type="dxa" w:w="4703"/>
          </w:tcPr>
          <w:p>
            <w:pPr>
              <w:jc w:val="left"/>
            </w:pPr>
            <w:r/>
            <w:r>
              <w:rPr>
                <w:rFonts w:ascii="Arial" w:hAnsi="Arial"/>
                <w:sz w:val="18"/>
              </w:rPr>
              <w:t>Alcaldía Municipal de Jamundí (Valle del Cauca)</w:t>
            </w:r>
          </w:p>
        </w:tc>
      </w:tr>
      <w:tr>
        <w:tc>
          <w:tcPr>
            <w:tcW w:type="dxa" w:w="4703"/>
          </w:tcPr>
          <w:p>
            <w:pPr>
              <w:jc w:val="left"/>
            </w:pPr>
            <w:r/>
            <w:r>
              <w:rPr>
                <w:rFonts w:ascii="Arial" w:hAnsi="Arial"/>
                <w:sz w:val="18"/>
              </w:rPr>
              <w:t>Nombre del documento</w:t>
            </w:r>
          </w:p>
        </w:tc>
        <w:tc>
          <w:tcPr>
            <w:tcW w:type="dxa" w:w="4703"/>
          </w:tcPr>
          <w:p>
            <w:pPr>
              <w:jc w:val="left"/>
            </w:pPr>
            <w:r/>
            <w:r>
              <w:rPr>
                <w:rFonts w:ascii="Arial" w:hAnsi="Arial"/>
                <w:sz w:val="18"/>
              </w:rPr>
              <w:t>Política de Protección sobre la Propiedad Intelectual – Dimensión Derechos de Autor y Derechos Conexos</w:t>
            </w:r>
          </w:p>
        </w:tc>
      </w:tr>
      <w:tr>
        <w:tc>
          <w:tcPr>
            <w:tcW w:type="dxa" w:w="4703"/>
          </w:tcPr>
          <w:p>
            <w:pPr>
              <w:jc w:val="left"/>
            </w:pPr>
            <w:r/>
            <w:r>
              <w:rPr>
                <w:rFonts w:ascii="Arial" w:hAnsi="Arial"/>
                <w:sz w:val="18"/>
              </w:rPr>
              <w:t>Código del documento</w:t>
            </w:r>
          </w:p>
        </w:tc>
        <w:tc>
          <w:tcPr>
            <w:tcW w:type="dxa" w:w="4703"/>
          </w:tcPr>
          <w:p>
            <w:pPr>
              <w:jc w:val="left"/>
            </w:pPr>
            <w:r/>
            <w:r>
              <w:rPr>
                <w:rFonts w:ascii="Arial" w:hAnsi="Arial"/>
                <w:sz w:val="18"/>
              </w:rPr>
              <w:t>«PENDIENTE DE CONFIRMACIÓN – codificación del Sistema de Gestión de Calidad»</w:t>
            </w:r>
          </w:p>
        </w:tc>
      </w:tr>
      <w:tr>
        <w:tc>
          <w:tcPr>
            <w:tcW w:type="dxa" w:w="4703"/>
          </w:tcPr>
          <w:p>
            <w:pPr>
              <w:jc w:val="left"/>
            </w:pPr>
            <w:r/>
            <w:r>
              <w:rPr>
                <w:rFonts w:ascii="Arial" w:hAnsi="Arial"/>
                <w:sz w:val="18"/>
              </w:rPr>
              <w:t>Versión</w:t>
            </w:r>
          </w:p>
        </w:tc>
        <w:tc>
          <w:tcPr>
            <w:tcW w:type="dxa" w:w="4703"/>
          </w:tcPr>
          <w:p>
            <w:pPr>
              <w:jc w:val="left"/>
            </w:pPr>
            <w:r/>
            <w:r>
              <w:rPr>
                <w:rFonts w:ascii="Arial" w:hAnsi="Arial"/>
                <w:sz w:val="18"/>
              </w:rPr>
              <w:t>«PENDIENTE DE CONFIRMACIÓN»</w:t>
            </w:r>
          </w:p>
        </w:tc>
      </w:tr>
      <w:tr>
        <w:tc>
          <w:tcPr>
            <w:tcW w:type="dxa" w:w="4703"/>
          </w:tcPr>
          <w:p>
            <w:pPr>
              <w:jc w:val="left"/>
            </w:pPr>
            <w:r/>
            <w:r>
              <w:rPr>
                <w:rFonts w:ascii="Arial" w:hAnsi="Arial"/>
                <w:sz w:val="18"/>
              </w:rPr>
              <w:t>Dependencia que propone</w:t>
            </w:r>
          </w:p>
        </w:tc>
        <w:tc>
          <w:tcPr>
            <w:tcW w:type="dxa" w:w="4703"/>
          </w:tcPr>
          <w:p>
            <w:pPr>
              <w:jc w:val="left"/>
            </w:pPr>
            <w:r/>
            <w:r>
              <w:rPr>
                <w:rFonts w:ascii="Arial" w:hAnsi="Arial"/>
                <w:sz w:val="18"/>
              </w:rPr>
              <w:t>«PENDIENTE DE CONFIRMACIÓN – dependencia competente en materia de TIC»</w:t>
            </w:r>
          </w:p>
        </w:tc>
      </w:tr>
      <w:tr>
        <w:tc>
          <w:tcPr>
            <w:tcW w:type="dxa" w:w="4703"/>
          </w:tcPr>
          <w:p>
            <w:pPr>
              <w:jc w:val="left"/>
            </w:pPr>
            <w:r/>
            <w:r>
              <w:rPr>
                <w:rFonts w:ascii="Arial" w:hAnsi="Arial"/>
                <w:sz w:val="18"/>
              </w:rPr>
              <w:t>Instrumento de adopción</w:t>
            </w:r>
          </w:p>
        </w:tc>
        <w:tc>
          <w:tcPr>
            <w:tcW w:type="dxa" w:w="4703"/>
          </w:tcPr>
          <w:p>
            <w:pPr>
              <w:jc w:val="left"/>
            </w:pPr>
            <w:r/>
            <w:r>
              <w:rPr>
                <w:rFonts w:ascii="Arial" w:hAnsi="Arial"/>
                <w:sz w:val="18"/>
              </w:rPr>
              <w:t>«PENDIENTE DE CONFIRMACIÓN – decreto o resolución»</w:t>
            </w:r>
          </w:p>
        </w:tc>
      </w:tr>
      <w:tr>
        <w:tc>
          <w:tcPr>
            <w:tcW w:type="dxa" w:w="4703"/>
          </w:tcPr>
          <w:p>
            <w:pPr>
              <w:jc w:val="left"/>
            </w:pPr>
            <w:r/>
            <w:r>
              <w:rPr>
                <w:rFonts w:ascii="Arial" w:hAnsi="Arial"/>
                <w:sz w:val="18"/>
              </w:rPr>
              <w:t>Fecha de adopción</w:t>
            </w:r>
          </w:p>
        </w:tc>
        <w:tc>
          <w:tcPr>
            <w:tcW w:type="dxa" w:w="4703"/>
          </w:tcPr>
          <w:p>
            <w:pPr>
              <w:jc w:val="left"/>
            </w:pPr>
            <w:r/>
            <w:r>
              <w:rPr>
                <w:rFonts w:ascii="Arial" w:hAnsi="Arial"/>
                <w:sz w:val="18"/>
              </w:rPr>
              <w:t>«PENDIENTE DE CONFIRMACIÓN»</w:t>
            </w:r>
          </w:p>
        </w:tc>
      </w:tr>
    </w:tbl>
    <w:p/>
    <w:p>
      <w:pPr>
        <w:pStyle w:val="Heading2"/>
      </w:pPr>
      <w:r>
        <w:rPr>
          <w:rFonts w:ascii="Arial" w:hAnsi="Arial"/>
          <w:b/>
          <w:color w:val="1F365D"/>
        </w:rPr>
      </w:r>
      <w:r>
        <w:rPr>
          <w:rFonts w:ascii="Arial" w:hAnsi="Arial"/>
          <w:b/>
          <w:color w:val="1F365D"/>
        </w:rPr>
        <w:t>1. INTRODUCCIÓN</w:t>
      </w:r>
    </w:p>
    <w:p>
      <w:pPr>
        <w:jc w:val="both"/>
      </w:pPr>
      <w:r>
        <w:rPr>
          <w:rFonts w:ascii="Arial" w:hAnsi="Arial"/>
        </w:rPr>
        <w:t>La propiedad intelectual es un bien jurídico con protección constitucional. El artículo 61 de la Constitución Política de 1991 dispone que «el Estado protegerá la propiedad intelectual por el tiempo y mediante las formalidades que establezca la ley», mandato que se articula con el artículo 71, que impone al Estado el deber de fomentar la creación cultural, científica y artística, y con el artículo 209, conforme al cual la función administrativa está al servicio del interés general y se desarrolla con fundamento en los principios de igualdad, moralidad, eficacia, economía, celeridad, imparcialidad y publicidad.</w:t>
      </w:r>
    </w:p>
    <w:p>
      <w:pPr>
        <w:jc w:val="both"/>
      </w:pPr>
      <w:r>
        <w:rPr>
          <w:rFonts w:ascii="Arial" w:hAnsi="Arial"/>
        </w:rPr>
        <w:t>En el ordenamiento colombiano la propiedad intelectual comprende dos dimensiones diferenciadas, con regímenes normativos, requisitos de protección y autoridades competentes distintos:</w:t>
      </w:r>
    </w:p>
    <w:p>
      <w:pPr>
        <w:pStyle w:val="ListBullet"/>
        <w:spacing w:after="60"/>
        <w:jc w:val="both"/>
      </w:pPr>
      <w:r>
        <w:rPr>
          <w:rFonts w:ascii="Arial" w:hAnsi="Arial"/>
          <w:b/>
        </w:rPr>
        <w:t>El derecho de autor y los derechos conexos</w:t>
      </w:r>
      <w:r>
        <w:rPr>
          <w:rFonts w:ascii="Arial" w:hAnsi="Arial"/>
        </w:rPr>
        <w:t>, cuyo régimen se encuentra en la Ley 23 de 1982 y sus normas modificatorias y complementarias, en la Decisión 351 de 1993 de la Comisión de la Comunidad Andina y en los tratados internacionales vigentes para Colombia. Protegen las obras literarias y artísticas —incluidos el software y las bases de datos originales— por el solo hecho de su creación, sin sujeción a formalidad alguna.</w:t>
      </w:r>
    </w:p>
    <w:p>
      <w:pPr>
        <w:pStyle w:val="ListBullet"/>
        <w:spacing w:after="60"/>
        <w:jc w:val="both"/>
      </w:pPr>
      <w:r>
        <w:rPr>
          <w:rFonts w:ascii="Arial" w:hAnsi="Arial"/>
          <w:b/>
        </w:rPr>
        <w:t>La propiedad industrial</w:t>
      </w:r>
      <w:r>
        <w:rPr>
          <w:rFonts w:ascii="Arial" w:hAnsi="Arial"/>
        </w:rPr>
        <w:t>, cuyo régimen se encuentra principalmente en la Decisión 486 de 2000 de la Comisión de la Comunidad Andina y en las disposiciones concordantes del Código de Comercio. Protege las nuevas creaciones y los signos distintivos, y su protección sí depende, por regla general, de un registro o concesión ante la autoridad competente.</w:t>
      </w:r>
    </w:p>
    <w:p>
      <w:pPr>
        <w:jc w:val="both"/>
      </w:pPr>
      <w:r>
        <w:rPr>
          <w:rFonts w:ascii="Arial" w:hAnsi="Arial"/>
        </w:rPr>
        <w:t xml:space="preserve">La presente política se ocupa </w:t>
      </w:r>
      <w:r>
        <w:rPr>
          <w:rFonts w:ascii="Arial" w:hAnsi="Arial"/>
          <w:b/>
        </w:rPr>
        <w:t>exclusivamente de la dimensión de derechos de autor y derechos conexos</w:t>
      </w:r>
      <w:r>
        <w:rPr>
          <w:rFonts w:ascii="Arial" w:hAnsi="Arial"/>
        </w:rPr>
        <w:t>. Las referencias a la propiedad industrial se incluyen únicamente para delimitar el objeto de este instrumento y para orientar la remisión a la autoridad competente cuando un activo de la Alcaldía Municipal de Jamundí corresponda a esa categoría.</w:t>
      </w:r>
    </w:p>
    <w:p>
      <w:pPr>
        <w:jc w:val="both"/>
      </w:pPr>
      <w:r>
        <w:rPr>
          <w:rFonts w:ascii="Arial" w:hAnsi="Arial"/>
        </w:rPr>
        <w:t>La Alcaldía Municipal de Jamundí, en su condición de entidad territorial del orden municipal, produce, encarga, adquiere, administra y divulga creaciones intelectuales en el ejercicio de la función administrativa: documentos técnicos y jurídicos, estudios, piezas gráficas y audiovisuales, campañas institucionales, aplicativos informáticos, bases de datos y contenidos publicados en sus medios digitales. Esas creaciones constituyen activos de la entidad cuando existe fundamento legal o contractual que así lo determine, y su gestión inadecuada puede generar responsabilidad administrativa, disciplinaria, fiscal, civil o penal. Correlativamente, la Alcaldía utiliza obras y software de titularidad de terceros, uso que debe estar amparado en licencias, autorizaciones o limitaciones y excepciones legalmente previstas.</w:t>
      </w:r>
    </w:p>
    <w:p>
      <w:pPr>
        <w:jc w:val="both"/>
      </w:pPr>
      <w:r>
        <w:rPr>
          <w:rFonts w:ascii="Arial" w:hAnsi="Arial"/>
        </w:rPr>
        <w:t>Los contenidos dispuestos en la sede electrónica y en los demás medios digitales de la Alcaldía Municipal de Jamundí (textos, elementos gráficos, logotipos, animaciones, sonidos, bases de datos, entre otros) pueden corresponder, según el caso, a alguna de las siguientes situaciones jurídicas, que esta política diferencia de manera expresa:</w:t>
      </w:r>
    </w:p>
    <w:p>
      <w:pPr>
        <w:pStyle w:val="ListNumber"/>
        <w:spacing w:after="60"/>
        <w:jc w:val="both"/>
      </w:pPr>
      <w:r>
        <w:rPr>
          <w:rFonts w:ascii="Arial" w:hAnsi="Arial"/>
        </w:rPr>
        <w:t>Obras sobre las cuales la Alcaldía Municipal de Jamundí es titular de los derechos patrimoniales de autor, por ministerio de la ley o en virtud de cesión o transferencia contractual válidamente perfeccionada.</w:t>
      </w:r>
    </w:p>
    <w:p>
      <w:pPr>
        <w:pStyle w:val="ListNumber"/>
        <w:spacing w:after="60"/>
        <w:jc w:val="both"/>
      </w:pPr>
      <w:r>
        <w:rPr>
          <w:rFonts w:ascii="Arial" w:hAnsi="Arial"/>
        </w:rPr>
        <w:t>Obras cuya titularidad corresponde a terceros y respecto de las cuales la Alcaldía cuenta con licencia o autorización de uso, en los términos y con los límites pactados.</w:t>
      </w:r>
    </w:p>
    <w:p>
      <w:pPr>
        <w:pStyle w:val="ListNumber"/>
        <w:spacing w:after="60"/>
        <w:jc w:val="both"/>
      </w:pPr>
      <w:r>
        <w:rPr>
          <w:rFonts w:ascii="Arial" w:hAnsi="Arial"/>
        </w:rPr>
        <w:t>Información pública sujeta al régimen de acceso a la información pública y de datos abiertos, que se rige por la Ley 1712 de 2014, sus normas reglamentarias y las directrices del Ministerio de Tecnologías de la Información y las Comunicaciones, y cuyo acceso y reutilización no dependen de la titularidad de derechos de autor de la entidad.</w:t>
      </w:r>
    </w:p>
    <w:p>
      <w:pPr>
        <w:pStyle w:val="ListNumber"/>
        <w:spacing w:after="60"/>
        <w:jc w:val="both"/>
      </w:pPr>
      <w:r>
        <w:rPr>
          <w:rFonts w:ascii="Arial" w:hAnsi="Arial"/>
        </w:rPr>
        <w:t>Signos distintivos y demás elementos sujetos al régimen de propiedad industrial, cuya protección se rige por la Decisión 486 de 2000.</w:t>
      </w:r>
    </w:p>
    <w:p>
      <w:pPr>
        <w:jc w:val="both"/>
      </w:pPr>
      <w:r>
        <w:rPr>
          <w:rFonts w:ascii="Arial" w:hAnsi="Arial"/>
        </w:rPr>
        <w:t xml:space="preserve">Esta política adopta un enfoque </w:t>
      </w:r>
      <w:r>
        <w:rPr>
          <w:rFonts w:ascii="Arial" w:hAnsi="Arial"/>
          <w:b/>
        </w:rPr>
        <w:t>preventivo</w:t>
      </w:r>
      <w:r>
        <w:rPr>
          <w:rFonts w:ascii="Arial" w:hAnsi="Arial"/>
        </w:rPr>
        <w:t>: su finalidad no es constituir un régimen sancionatorio paralelo —que la entidad no puede crear—, sino ordenar la identificación, documentación, contratación, uso y protección de los activos de propiedad intelectual, y remitir, cuando corresponda, a los procedimientos y autoridades legalmente establecidos, con plena observancia del debido proceso previsto en el artículo 29 de la Constitución Política.</w:t>
      </w:r>
    </w:p>
    <w:p>
      <w:pPr>
        <w:pStyle w:val="Heading2"/>
      </w:pPr>
      <w:r>
        <w:rPr>
          <w:rFonts w:ascii="Arial" w:hAnsi="Arial"/>
          <w:b/>
          <w:color w:val="1F365D"/>
        </w:rPr>
      </w:r>
      <w:r>
        <w:rPr>
          <w:rFonts w:ascii="Arial" w:hAnsi="Arial"/>
          <w:b/>
          <w:color w:val="1F365D"/>
        </w:rPr>
        <w:t>2. OBJETIVOS</w:t>
      </w:r>
    </w:p>
    <w:p>
      <w:pPr>
        <w:pStyle w:val="Heading3"/>
      </w:pPr>
      <w:r>
        <w:rPr>
          <w:rFonts w:ascii="Arial" w:hAnsi="Arial"/>
          <w:b/>
          <w:color w:val="1F365D"/>
        </w:rPr>
      </w:r>
      <w:r>
        <w:rPr>
          <w:rFonts w:ascii="Arial" w:hAnsi="Arial"/>
          <w:b/>
          <w:color w:val="1F365D"/>
        </w:rPr>
        <w:t>2.1. Objetivo general</w:t>
      </w:r>
    </w:p>
    <w:p>
      <w:pPr>
        <w:jc w:val="both"/>
      </w:pPr>
      <w:r>
        <w:rPr>
          <w:rFonts w:ascii="Arial" w:hAnsi="Arial"/>
        </w:rPr>
        <w:t>Establecer los lineamientos institucionales que orientan la identificación, protección, gestión, uso y disposición de los activos de propiedad intelectual en su dimensión de derechos de autor y derechos conexos en la Alcaldía Municipal de Jamundí, así como las condiciones de uso de los contenidos publicados en su sede electrónica y demás medios digitales, con el fin de asegurar el cumplimiento del marco normativo vigente, el respeto de los derechos de autores y titulares, y la protección del patrimonio de la entidad.</w:t>
      </w:r>
    </w:p>
    <w:p>
      <w:pPr>
        <w:pStyle w:val="Heading3"/>
      </w:pPr>
      <w:r>
        <w:rPr>
          <w:rFonts w:ascii="Arial" w:hAnsi="Arial"/>
          <w:b/>
          <w:color w:val="1F365D"/>
        </w:rPr>
      </w:r>
      <w:r>
        <w:rPr>
          <w:rFonts w:ascii="Arial" w:hAnsi="Arial"/>
          <w:b/>
          <w:color w:val="1F365D"/>
        </w:rPr>
        <w:t>2.2. Objetivos específicos</w:t>
      </w:r>
    </w:p>
    <w:p>
      <w:pPr>
        <w:pStyle w:val="ListNumber"/>
        <w:spacing w:after="60"/>
        <w:jc w:val="both"/>
      </w:pPr>
      <w:r>
        <w:rPr>
          <w:rFonts w:ascii="Arial" w:hAnsi="Arial"/>
          <w:b/>
        </w:rPr>
        <w:t>Definir de manera clara, transparente y accesible las condiciones de autorización de uso</w:t>
      </w:r>
      <w:r>
        <w:rPr>
          <w:rFonts w:ascii="Arial" w:hAnsi="Arial"/>
        </w:rPr>
        <w:t xml:space="preserve"> de los contenidos publicados en la sede electrónica y en los demás medios digitales de la Alcaldía Municipal de Jamundí, así como el alcance de los derechos que la entidad ostenta sobre ellos, de modo que las personas usuarias puedan conocerlas de forma previa a su acceso o navegación, sin perjuicio del derecho fundamental de acceso a la información pública.</w:t>
      </w:r>
    </w:p>
    <w:p>
      <w:pPr>
        <w:pStyle w:val="ListNumber"/>
        <w:spacing w:after="60"/>
        <w:jc w:val="both"/>
      </w:pPr>
      <w:r>
        <w:rPr>
          <w:rFonts w:ascii="Arial" w:hAnsi="Arial"/>
          <w:b/>
        </w:rPr>
        <w:t>Proteger la titularidad de los derechos patrimoniales de autor</w:t>
      </w:r>
      <w:r>
        <w:rPr>
          <w:rFonts w:ascii="Arial" w:hAnsi="Arial"/>
        </w:rPr>
        <w:t xml:space="preserve"> que corresponden a la Alcaldía Municipal de Jamundí sobre las obras literarias y artísticas producidas, encargadas, adquiridas o administradas por la entidad, mediante la identificación de los activos y la verificación del título jurídico —legal o contractual— que sustenta esa titularidad.</w:t>
      </w:r>
    </w:p>
    <w:p>
      <w:pPr>
        <w:pStyle w:val="ListNumber"/>
        <w:spacing w:after="60"/>
        <w:jc w:val="both"/>
      </w:pPr>
      <w:r>
        <w:rPr>
          <w:rFonts w:ascii="Arial" w:hAnsi="Arial"/>
          <w:b/>
        </w:rPr>
        <w:t>Asegurar el respeto de los derechos morales de autor</w:t>
      </w:r>
      <w:r>
        <w:rPr>
          <w:rFonts w:ascii="Arial" w:hAnsi="Arial"/>
        </w:rPr>
        <w:t xml:space="preserve"> que la ley reconoce a las personas naturales creadoras, los cuales son inalienables, irrenunciables e imprescriptibles y no se extinguen por la vinculación laboral, legal, reglamentaria o contractual con la entidad.</w:t>
      </w:r>
    </w:p>
    <w:p>
      <w:pPr>
        <w:pStyle w:val="ListNumber"/>
        <w:spacing w:after="60"/>
        <w:jc w:val="both"/>
      </w:pPr>
      <w:r>
        <w:rPr>
          <w:rFonts w:ascii="Arial" w:hAnsi="Arial"/>
          <w:b/>
        </w:rPr>
        <w:t>Establecer controles sobre el software</w:t>
      </w:r>
      <w:r>
        <w:rPr>
          <w:rFonts w:ascii="Arial" w:hAnsi="Arial"/>
        </w:rPr>
        <w:t xml:space="preserve"> utilizado en la infraestructura tecnológica de la Alcaldía Municipal de Jamundí, orientados a garantizar que su uso se encuentre amparado en licencias válidas, en desarrollos propios documentados o en modelos de licenciamiento libre o de código abierto, conforme a las condiciones de cada licencia.</w:t>
      </w:r>
    </w:p>
    <w:p>
      <w:pPr>
        <w:pStyle w:val="ListNumber"/>
        <w:spacing w:after="60"/>
        <w:jc w:val="both"/>
      </w:pPr>
      <w:r>
        <w:rPr>
          <w:rFonts w:ascii="Arial" w:hAnsi="Arial"/>
          <w:b/>
        </w:rPr>
        <w:t>Otorgar seguridad jurídica a los procesos de contratación y de celebración de convenios</w:t>
      </w:r>
      <w:r>
        <w:rPr>
          <w:rFonts w:ascii="Arial" w:hAnsi="Arial"/>
        </w:rPr>
        <w:t>, exigiendo que se definan de manera expresa y previa la titularidad, las cesiones o licencias, el alcance de uso, los entregables, las declaraciones de originalidad y las responsabilidades frente a infracciones de derechos de terceros.</w:t>
      </w:r>
    </w:p>
    <w:p>
      <w:pPr>
        <w:pStyle w:val="ListNumber"/>
        <w:spacing w:after="60"/>
        <w:jc w:val="both"/>
      </w:pPr>
      <w:r>
        <w:rPr>
          <w:rFonts w:ascii="Arial" w:hAnsi="Arial"/>
          <w:b/>
        </w:rPr>
        <w:t>Ordenar la identificación y el inventario</w:t>
      </w:r>
      <w:r>
        <w:rPr>
          <w:rFonts w:ascii="Arial" w:hAnsi="Arial"/>
        </w:rPr>
        <w:t xml:space="preserve"> de las creaciones intelectuales de la entidad y de los contratos que versen sobre ellas, como insumo para su protección, registro y eventual disposición.</w:t>
      </w:r>
    </w:p>
    <w:p>
      <w:pPr>
        <w:pStyle w:val="ListNumber"/>
        <w:spacing w:after="60"/>
        <w:jc w:val="both"/>
      </w:pPr>
      <w:r>
        <w:rPr>
          <w:rFonts w:ascii="Arial" w:hAnsi="Arial"/>
          <w:b/>
        </w:rPr>
        <w:t>Promover la cultura del respeto de la propiedad intelectual</w:t>
      </w:r>
      <w:r>
        <w:rPr>
          <w:rFonts w:ascii="Arial" w:hAnsi="Arial"/>
        </w:rPr>
        <w:t xml:space="preserve"> entre servidores públicos, contratistas y terceros vinculados a la entidad, mediante acciones de divulgación y capacitación.</w:t>
      </w:r>
    </w:p>
    <w:p>
      <w:pPr>
        <w:pStyle w:val="ListNumber"/>
        <w:spacing w:after="60"/>
        <w:jc w:val="both"/>
      </w:pPr>
      <w:r>
        <w:rPr>
          <w:rFonts w:ascii="Arial" w:hAnsi="Arial"/>
          <w:b/>
        </w:rPr>
        <w:t>Definir los canales de atención</w:t>
      </w:r>
      <w:r>
        <w:rPr>
          <w:rFonts w:ascii="Arial" w:hAnsi="Arial"/>
        </w:rPr>
        <w:t xml:space="preserve"> de reclamaciones relacionadas con presuntas infracciones a derechos de autor y derechos conexos, sin restringir indebidamente el acceso a las vías administrativas y judiciales previstas en la ley.</w:t>
      </w:r>
    </w:p>
    <w:p>
      <w:pPr>
        <w:pStyle w:val="Heading2"/>
      </w:pPr>
      <w:r>
        <w:rPr>
          <w:rFonts w:ascii="Arial" w:hAnsi="Arial"/>
          <w:b/>
          <w:color w:val="1F365D"/>
        </w:rPr>
      </w:r>
      <w:r>
        <w:rPr>
          <w:rFonts w:ascii="Arial" w:hAnsi="Arial"/>
          <w:b/>
          <w:color w:val="1F365D"/>
        </w:rPr>
        <w:t>3. ALCANCE</w:t>
      </w:r>
    </w:p>
    <w:p>
      <w:pPr>
        <w:jc w:val="both"/>
      </w:pPr>
      <w:r>
        <w:rPr>
          <w:rFonts w:ascii="Arial" w:hAnsi="Arial"/>
        </w:rPr>
        <w:t>Los lineamientos definidos en la presente política se aplican a las obras literarias y artísticas, entendidas como toda creación intelectual original susceptible de ser divulgada o reproducida en cualquier forma, cualquiera que sea su modo o forma de expresión y su destinación, en los términos del artículo 2 de la Ley 23 de 1982 y del artículo 4 de la Decisión 351 de 1993.</w:t>
      </w:r>
    </w:p>
    <w:p>
      <w:pPr>
        <w:jc w:val="both"/>
      </w:pPr>
      <w:r>
        <w:rPr>
          <w:rFonts w:ascii="Arial" w:hAnsi="Arial"/>
        </w:rPr>
        <w:t>En particular, el alcance de esta política comprende:</w:t>
      </w:r>
    </w:p>
    <w:p>
      <w:pPr>
        <w:pStyle w:val="ListBullet"/>
        <w:spacing w:after="60"/>
        <w:jc w:val="both"/>
      </w:pPr>
      <w:r>
        <w:rPr>
          <w:rFonts w:ascii="Arial" w:hAnsi="Arial"/>
          <w:b/>
        </w:rPr>
        <w:t>Obras literarias</w:t>
      </w:r>
      <w:r>
        <w:rPr>
          <w:rFonts w:ascii="Arial" w:hAnsi="Arial"/>
        </w:rPr>
        <w:t>: documentos técnicos, jurídicos y administrativos; estudios; manuales; guías; informes; publicaciones; conferencias y demás escritos, en cualquier soporte.</w:t>
      </w:r>
    </w:p>
    <w:p>
      <w:pPr>
        <w:pStyle w:val="ListBullet"/>
        <w:spacing w:after="60"/>
        <w:jc w:val="both"/>
      </w:pPr>
      <w:r>
        <w:rPr>
          <w:rFonts w:ascii="Arial" w:hAnsi="Arial"/>
          <w:b/>
        </w:rPr>
        <w:t>Obras artísticas</w:t>
      </w:r>
      <w:r>
        <w:rPr>
          <w:rFonts w:ascii="Arial" w:hAnsi="Arial"/>
        </w:rPr>
        <w:t>: piezas gráficas, ilustraciones, dibujos, fotografías, diseños de comunicación y demás creaciones que apelen al sentido estético.</w:t>
      </w:r>
    </w:p>
    <w:p>
      <w:pPr>
        <w:pStyle w:val="ListBullet"/>
        <w:spacing w:after="60"/>
        <w:jc w:val="both"/>
      </w:pPr>
      <w:r>
        <w:rPr>
          <w:rFonts w:ascii="Arial" w:hAnsi="Arial"/>
          <w:b/>
        </w:rPr>
        <w:t>Obras audiovisuales y sonoras</w:t>
      </w:r>
      <w:r>
        <w:rPr>
          <w:rFonts w:ascii="Arial" w:hAnsi="Arial"/>
        </w:rPr>
        <w:t>: videos institucionales, animaciones, cuñas, podcasts y demás producciones, así como las prestaciones protegidas por derechos conexos que se incorporen a ellas.</w:t>
      </w:r>
    </w:p>
    <w:p>
      <w:pPr>
        <w:pStyle w:val="ListBullet"/>
        <w:spacing w:after="60"/>
        <w:jc w:val="both"/>
      </w:pPr>
      <w:r>
        <w:rPr>
          <w:rFonts w:ascii="Arial" w:hAnsi="Arial"/>
          <w:b/>
        </w:rPr>
        <w:t>Soporte lógico (software)</w:t>
      </w:r>
      <w:r>
        <w:rPr>
          <w:rFonts w:ascii="Arial" w:hAnsi="Arial"/>
        </w:rPr>
        <w:t>: aplicativos, sistemas de información, código fuente y objeto, documentación técnica y manuales de uso, tanto de desarrollo propio como adquirido, contratado o licenciado.</w:t>
      </w:r>
    </w:p>
    <w:p>
      <w:pPr>
        <w:pStyle w:val="ListBullet"/>
        <w:spacing w:after="60"/>
        <w:jc w:val="both"/>
      </w:pPr>
      <w:r>
        <w:rPr>
          <w:rFonts w:ascii="Arial" w:hAnsi="Arial"/>
          <w:b/>
        </w:rPr>
        <w:t>Bases de datos</w:t>
      </w:r>
      <w:r>
        <w:rPr>
          <w:rFonts w:ascii="Arial" w:hAnsi="Arial"/>
        </w:rPr>
        <w:t>, en cuanto compilaciones que por la selección o disposición de sus contenidos constituyan una creación intelectual original, sin perjuicio del régimen aplicable a los datos personales contenidos en ellas.</w:t>
      </w:r>
    </w:p>
    <w:p>
      <w:pPr>
        <w:pStyle w:val="ListBullet"/>
        <w:spacing w:after="60"/>
        <w:jc w:val="both"/>
      </w:pPr>
      <w:r>
        <w:rPr>
          <w:rFonts w:ascii="Arial" w:hAnsi="Arial"/>
          <w:b/>
        </w:rPr>
        <w:t>Contenidos de la sede electrónica y de los demás medios digitales</w:t>
      </w:r>
      <w:r>
        <w:rPr>
          <w:rFonts w:ascii="Arial" w:hAnsi="Arial"/>
        </w:rPr>
        <w:t xml:space="preserve"> de la entidad, incluidos los publicados en portales, aplicaciones y redes sociales institucionales.</w:t>
      </w:r>
    </w:p>
    <w:p>
      <w:pPr>
        <w:jc w:val="both"/>
      </w:pPr>
      <w:r>
        <w:rPr>
          <w:rFonts w:ascii="Arial" w:hAnsi="Arial"/>
        </w:rPr>
        <w:t xml:space="preserve">La política aplica respecto de obras y prestaciones </w:t>
      </w:r>
      <w:r>
        <w:rPr>
          <w:rFonts w:ascii="Arial" w:hAnsi="Arial"/>
          <w:b/>
        </w:rPr>
        <w:t>producidas, encargadas, contratadas, adquiridas, licenciadas, usadas, administradas o divulgadas</w:t>
      </w:r>
      <w:r>
        <w:rPr>
          <w:rFonts w:ascii="Arial" w:hAnsi="Arial"/>
        </w:rPr>
        <w:t xml:space="preserve"> por la Alcaldía Municipal de Jamundí, con independencia del soporte y del medio de divulgación.</w:t>
      </w:r>
    </w:p>
    <w:p>
      <w:pPr>
        <w:pStyle w:val="Heading3"/>
      </w:pPr>
      <w:r>
        <w:rPr>
          <w:rFonts w:ascii="Arial" w:hAnsi="Arial"/>
          <w:b/>
          <w:color w:val="1F365D"/>
        </w:rPr>
      </w:r>
      <w:r>
        <w:rPr>
          <w:rFonts w:ascii="Arial" w:hAnsi="Arial"/>
          <w:b/>
          <w:color w:val="1F365D"/>
        </w:rPr>
        <w:t>3.1. Destinatarios</w:t>
      </w:r>
    </w:p>
    <w:p>
      <w:pPr>
        <w:jc w:val="both"/>
      </w:pPr>
      <w:r>
        <w:rPr>
          <w:rFonts w:ascii="Arial" w:hAnsi="Arial"/>
        </w:rPr>
        <w:t>Los lineamientos de esta política son de observancia por:</w:t>
      </w:r>
    </w:p>
    <w:p>
      <w:pPr>
        <w:pStyle w:val="ListBullet"/>
        <w:spacing w:after="60"/>
        <w:jc w:val="both"/>
      </w:pPr>
      <w:r>
        <w:rPr>
          <w:rFonts w:ascii="Arial" w:hAnsi="Arial"/>
        </w:rPr>
        <w:t>los servidores públicos de la Alcaldía Municipal de Jamundí, cualquiera que sea la naturaleza de su vinculación;</w:t>
      </w:r>
    </w:p>
    <w:p>
      <w:pPr>
        <w:pStyle w:val="ListBullet"/>
        <w:spacing w:after="60"/>
        <w:jc w:val="both"/>
      </w:pPr>
      <w:r>
        <w:rPr>
          <w:rFonts w:ascii="Arial" w:hAnsi="Arial"/>
        </w:rPr>
        <w:t>los contratistas, consultores, asesores, interventores y supervisores, en los términos de sus respectivos contratos y de las obligaciones de supervisión que les correspondan;</w:t>
      </w:r>
    </w:p>
    <w:p>
      <w:pPr>
        <w:pStyle w:val="ListBullet"/>
        <w:spacing w:after="60"/>
        <w:jc w:val="both"/>
      </w:pPr>
      <w:r>
        <w:rPr>
          <w:rFonts w:ascii="Arial" w:hAnsi="Arial"/>
        </w:rPr>
        <w:t>los terceros que, en virtud de convenios, alianzas u otras figuras, participen en la generación, adquisición, administración o uso de activos de propiedad intelectual de la entidad o con destino a ella.</w:t>
      </w:r>
    </w:p>
    <w:p>
      <w:pPr>
        <w:jc w:val="both"/>
      </w:pPr>
      <w:r>
        <w:rPr>
          <w:rFonts w:ascii="Arial" w:hAnsi="Arial"/>
        </w:rPr>
        <w:t>Su aplicación a contratistas y terceros se materializa a través de las cláusulas que se incorporen en los respectivos contratos, convenios o acuerdos, dentro del marco de la Ley 80 de 1993, la Ley 1150 de 2007 y sus normas reglamentarias, sin que esta política pueda por sí sola modificar relaciones contractuales ya perfeccionadas.</w:t>
      </w:r>
    </w:p>
    <w:p>
      <w:pPr>
        <w:pStyle w:val="Heading3"/>
      </w:pPr>
      <w:r>
        <w:rPr>
          <w:rFonts w:ascii="Arial" w:hAnsi="Arial"/>
          <w:b/>
          <w:color w:val="1F365D"/>
        </w:rPr>
      </w:r>
      <w:r>
        <w:rPr>
          <w:rFonts w:ascii="Arial" w:hAnsi="Arial"/>
          <w:b/>
          <w:color w:val="1F365D"/>
        </w:rPr>
        <w:t>3.2. Exclusiones</w:t>
      </w:r>
    </w:p>
    <w:p>
      <w:pPr>
        <w:jc w:val="both"/>
      </w:pPr>
      <w:r>
        <w:rPr>
          <w:rFonts w:ascii="Arial" w:hAnsi="Arial"/>
        </w:rPr>
        <w:t>No son objeto de esta política:</w:t>
      </w:r>
    </w:p>
    <w:p>
      <w:pPr>
        <w:pStyle w:val="ListBullet"/>
        <w:spacing w:after="60"/>
        <w:jc w:val="both"/>
      </w:pPr>
      <w:r>
        <w:rPr>
          <w:rFonts w:ascii="Arial" w:hAnsi="Arial"/>
        </w:rPr>
        <w:t>las creaciones sujetas al régimen de propiedad industrial (patentes de invención y de modelo de utilidad, diseños industriales, esquemas de trazado, signos distintivos y secretos empresariales), que se rigen por la Decisión 486 de 2000 y se tramitan ante la Superintendencia de Industria y Comercio, sin perjuicio de las remisiones que esta política contiene;</w:t>
      </w:r>
    </w:p>
    <w:p>
      <w:pPr>
        <w:pStyle w:val="ListBullet"/>
        <w:spacing w:after="60"/>
        <w:jc w:val="both"/>
      </w:pPr>
      <w:r>
        <w:rPr>
          <w:rFonts w:ascii="Arial" w:hAnsi="Arial"/>
        </w:rPr>
        <w:t>el tratamiento de datos personales, que se rige por la Ley 1581 de 2012, sus normas reglamentarias y la política de tratamiento de datos personales de la entidad;</w:t>
      </w:r>
    </w:p>
    <w:p>
      <w:pPr>
        <w:pStyle w:val="ListBullet"/>
        <w:spacing w:after="60"/>
        <w:jc w:val="both"/>
      </w:pPr>
      <w:r>
        <w:rPr>
          <w:rFonts w:ascii="Arial" w:hAnsi="Arial"/>
        </w:rPr>
        <w:t>la clasificación y reserva de la información pública, que se rige por la Ley 1712 de 2014 y sus normas concordantes;</w:t>
      </w:r>
    </w:p>
    <w:p>
      <w:pPr>
        <w:pStyle w:val="ListBullet"/>
        <w:spacing w:after="60"/>
        <w:jc w:val="both"/>
      </w:pPr>
      <w:r>
        <w:rPr>
          <w:rFonts w:ascii="Arial" w:hAnsi="Arial"/>
        </w:rPr>
        <w:t>las ideas, procedimientos, métodos de operación, conceptos matemáticos, sistemas y contenidos informativos en sí mismos, que conforme al artículo 7 de la Decisión 351 de 1993 no son objeto de protección por el derecho de autor.</w:t>
      </w:r>
    </w:p>
    <w:p>
      <w:pPr>
        <w:pStyle w:val="Heading2"/>
      </w:pPr>
      <w:r>
        <w:rPr>
          <w:rFonts w:ascii="Arial" w:hAnsi="Arial"/>
          <w:b/>
          <w:color w:val="1F365D"/>
        </w:rPr>
      </w:r>
      <w:r>
        <w:rPr>
          <w:rFonts w:ascii="Arial" w:hAnsi="Arial"/>
          <w:b/>
          <w:color w:val="1F365D"/>
        </w:rPr>
        <w:t>4. TÉRMINOS Y DEFINICIONES</w:t>
      </w:r>
    </w:p>
    <w:p>
      <w:pPr>
        <w:jc w:val="both"/>
      </w:pPr>
      <w:r>
        <w:rPr>
          <w:rFonts w:ascii="Arial" w:hAnsi="Arial"/>
        </w:rPr>
        <w:t>Para efectos de la presente política se adoptan las siguientes definiciones, construidas a partir de la Ley 23 de 1982, la Decisión 351 de 1993 y los tratados internacionales vigentes para Colombia:</w:t>
      </w:r>
    </w:p>
    <w:p>
      <w:pPr>
        <w:jc w:val="both"/>
      </w:pPr>
      <w:r>
        <w:rPr>
          <w:rFonts w:ascii="Arial" w:hAnsi="Arial"/>
          <w:b/>
        </w:rPr>
        <w:t>Acuerdo de confidencialidad</w:t>
      </w:r>
      <w:r>
        <w:rPr>
          <w:rFonts w:ascii="Arial" w:hAnsi="Arial"/>
        </w:rPr>
        <w:t>: manifestación de voluntad mediante la cual quien accede a información sujeta a reserva, a información clasificada o a secretos empresariales se obliga a no divulgarla a terceros ni utilizarla para fines distintos de los autorizados, en los términos y por el plazo pactados y conforme a la ley.</w:t>
      </w:r>
    </w:p>
    <w:p>
      <w:pPr>
        <w:jc w:val="both"/>
      </w:pPr>
      <w:r>
        <w:rPr>
          <w:rFonts w:ascii="Arial" w:hAnsi="Arial"/>
          <w:b/>
        </w:rPr>
        <w:t>Autor</w:t>
      </w:r>
      <w:r>
        <w:rPr>
          <w:rFonts w:ascii="Arial" w:hAnsi="Arial"/>
        </w:rPr>
        <w:t xml:space="preserve">: persona natural que realiza la creación intelectual susceptible de protección por el derecho de autor. Cuando la obra es creada por dos o más personas naturales, estas reciben la denominación de </w:t>
      </w:r>
      <w:r>
        <w:rPr>
          <w:rFonts w:ascii="Arial" w:hAnsi="Arial"/>
          <w:b/>
        </w:rPr>
        <w:t>coautores</w:t>
      </w:r>
      <w:r>
        <w:rPr>
          <w:rFonts w:ascii="Arial" w:hAnsi="Arial"/>
        </w:rPr>
        <w:t>. La condición de autor solo puede predicarse de personas naturales; las personas jurídicas pueden ser titulares de derechos patrimoniales, pero no autoras.</w:t>
      </w:r>
    </w:p>
    <w:p>
      <w:pPr>
        <w:jc w:val="both"/>
      </w:pPr>
      <w:r>
        <w:rPr>
          <w:rFonts w:ascii="Arial" w:hAnsi="Arial"/>
          <w:b/>
        </w:rPr>
        <w:t>Base de datos</w:t>
      </w:r>
      <w:r>
        <w:rPr>
          <w:rFonts w:ascii="Arial" w:hAnsi="Arial"/>
        </w:rPr>
        <w:t>: compilación de obras, hechos o datos que, por la selección o disposición de sus contenidos, constituye una creación intelectual y como tal es objeto de protección. La protección no se extiende a los datos o información compilados, ni afecta los derechos que pudieran subsistir sobre las obras que la integran, ni el régimen de protección de los datos personales.</w:t>
      </w:r>
    </w:p>
    <w:p>
      <w:pPr>
        <w:jc w:val="both"/>
      </w:pPr>
      <w:r>
        <w:rPr>
          <w:rFonts w:ascii="Arial" w:hAnsi="Arial"/>
          <w:b/>
        </w:rPr>
        <w:t>Creación intelectual protegida por el derecho de autor</w:t>
      </w:r>
      <w:r>
        <w:rPr>
          <w:rFonts w:ascii="Arial" w:hAnsi="Arial"/>
        </w:rPr>
        <w:t>: resultado del esfuerzo intelectual de una persona natural, expresado en una forma original, con independencia de su mérito, destinación o forma de expresión.</w:t>
      </w:r>
    </w:p>
    <w:p>
      <w:pPr>
        <w:jc w:val="both"/>
      </w:pPr>
      <w:r>
        <w:rPr>
          <w:rFonts w:ascii="Arial" w:hAnsi="Arial"/>
          <w:b/>
        </w:rPr>
        <w:t>Derechos de autor</w:t>
      </w:r>
      <w:r>
        <w:rPr>
          <w:rFonts w:ascii="Arial" w:hAnsi="Arial"/>
        </w:rPr>
        <w:t>: conjunto de prerrogativas de orden moral y patrimonial que la ley reconoce al autor por la creación de obras literarias, científicas o artísticas —originarias o derivadas—, tales como escritos, programas de ordenador, bases de datos originales, obras plásticas, fotografías, mapas, obras arquitectónicas, obras audiovisuales y musicales, entre otras.</w:t>
      </w:r>
    </w:p>
    <w:p>
      <w:pPr>
        <w:jc w:val="both"/>
      </w:pPr>
      <w:r>
        <w:rPr>
          <w:rFonts w:ascii="Arial" w:hAnsi="Arial"/>
          <w:b/>
        </w:rPr>
        <w:t>Derechos conexos</w:t>
      </w:r>
      <w:r>
        <w:rPr>
          <w:rFonts w:ascii="Arial" w:hAnsi="Arial"/>
        </w:rPr>
        <w:t>: derechos que la ley reconoce a los artistas intérpretes o ejecutantes, a los productores de fonogramas y a los organismos de radiodifusión sobre sus interpretaciones o ejecuciones, fonogramas y emisiones, respectivamente. Su protección no afecta ni menoscaba la protección del derecho de autor sobre las obras.</w:t>
      </w:r>
    </w:p>
    <w:p>
      <w:pPr>
        <w:jc w:val="both"/>
      </w:pPr>
      <w:r>
        <w:rPr>
          <w:rFonts w:ascii="Arial" w:hAnsi="Arial"/>
          <w:b/>
        </w:rPr>
        <w:t>Declaración de originalidad</w:t>
      </w:r>
      <w:r>
        <w:rPr>
          <w:rFonts w:ascii="Arial" w:hAnsi="Arial"/>
        </w:rPr>
        <w:t>: documento mediante el cual el autor o el contratista declara, bajo su responsabilidad, que la creación intelectual entregada es original, que no constituye copia total o parcial de obras de terceros y que su utilización por la entidad no infringe derechos de propiedad intelectual ajenos.</w:t>
      </w:r>
    </w:p>
    <w:p>
      <w:pPr>
        <w:jc w:val="both"/>
      </w:pPr>
      <w:r>
        <w:rPr>
          <w:rFonts w:ascii="Arial" w:hAnsi="Arial"/>
          <w:b/>
        </w:rPr>
        <w:t>Divulgación</w:t>
      </w:r>
      <w:r>
        <w:rPr>
          <w:rFonts w:ascii="Arial" w:hAnsi="Arial"/>
        </w:rPr>
        <w:t>: hacer accesible la obra al público por primera vez, con el consentimiento del autor o del titular, por cualquier medio o procedimiento.</w:t>
      </w:r>
    </w:p>
    <w:p>
      <w:pPr>
        <w:jc w:val="both"/>
      </w:pPr>
      <w:r>
        <w:rPr>
          <w:rFonts w:ascii="Arial" w:hAnsi="Arial"/>
          <w:b/>
        </w:rPr>
        <w:t>Licencia de uso</w:t>
      </w:r>
      <w:r>
        <w:rPr>
          <w:rFonts w:ascii="Arial" w:hAnsi="Arial"/>
        </w:rPr>
        <w:t>: autorización otorgada por el titular de los derechos patrimoniales para que un tercero utilice la obra en las modalidades, por el término, para el territorio y con el alcance expresamente pactados. La licencia no transfiere la titularidad y se interpreta de manera restrictiva: los usos no autorizados expresamente se entienden reservados al titular.</w:t>
      </w:r>
    </w:p>
    <w:p>
      <w:pPr>
        <w:jc w:val="both"/>
      </w:pPr>
      <w:r>
        <w:rPr>
          <w:rFonts w:ascii="Arial" w:hAnsi="Arial"/>
          <w:b/>
        </w:rPr>
        <w:t>Cesión o transferencia de derechos patrimoniales</w:t>
      </w:r>
      <w:r>
        <w:rPr>
          <w:rFonts w:ascii="Arial" w:hAnsi="Arial"/>
        </w:rPr>
        <w:t>: acto por el cual el titular transfiere a otra persona, total o parcialmente, uno o varios de sus derechos patrimoniales, con las solemnidades y limitaciones que la ley establece. La cesión no comprende ni afecta los derechos morales.</w:t>
      </w:r>
    </w:p>
    <w:p>
      <w:pPr>
        <w:jc w:val="both"/>
      </w:pPr>
      <w:r>
        <w:rPr>
          <w:rFonts w:ascii="Arial" w:hAnsi="Arial"/>
          <w:b/>
        </w:rPr>
        <w:t>Obra individual</w:t>
      </w:r>
      <w:r>
        <w:rPr>
          <w:rFonts w:ascii="Arial" w:hAnsi="Arial"/>
        </w:rPr>
        <w:t>: la producida por una sola persona natural.</w:t>
      </w:r>
    </w:p>
    <w:p>
      <w:pPr>
        <w:jc w:val="both"/>
      </w:pPr>
      <w:r>
        <w:rPr>
          <w:rFonts w:ascii="Arial" w:hAnsi="Arial"/>
          <w:b/>
        </w:rPr>
        <w:t>Obra en colaboración</w:t>
      </w:r>
      <w:r>
        <w:rPr>
          <w:rFonts w:ascii="Arial" w:hAnsi="Arial"/>
        </w:rPr>
        <w:t>: la producida conjuntamente por dos o más personas naturales cuyos aportes no pueden separarse sin alterar la naturaleza de la obra.</w:t>
      </w:r>
    </w:p>
    <w:p>
      <w:pPr>
        <w:jc w:val="both"/>
      </w:pPr>
      <w:r>
        <w:rPr>
          <w:rFonts w:ascii="Arial" w:hAnsi="Arial"/>
          <w:b/>
        </w:rPr>
        <w:t>Obra colectiva</w:t>
      </w:r>
      <w:r>
        <w:rPr>
          <w:rFonts w:ascii="Arial" w:hAnsi="Arial"/>
        </w:rPr>
        <w:t>: la producida por un grupo de autores, por iniciativa y bajo la orientación de una persona natural o jurídica que la coordina, divulga y publica bajo su nombre, y en la cual los aportes se funden en el conjunto sin que sea posible identificar los derechos individuales sobre él.</w:t>
      </w:r>
    </w:p>
    <w:p>
      <w:pPr>
        <w:jc w:val="both"/>
      </w:pPr>
      <w:r>
        <w:rPr>
          <w:rFonts w:ascii="Arial" w:hAnsi="Arial"/>
          <w:b/>
        </w:rPr>
        <w:t>Obra por encargo</w:t>
      </w:r>
      <w:r>
        <w:rPr>
          <w:rFonts w:ascii="Arial" w:hAnsi="Arial"/>
        </w:rPr>
        <w:t>: la creada en cumplimiento de un contrato de prestación de servicios o de un contrato de trabajo, respecto de la cual la ley establece una presunción de transferencia de los derechos patrimoniales a favor del encargante o del empleador, salvo pacto en contrario y en los términos del artículo 20 de la Ley 23 de 1982, modificado por el artículo 28 de la Ley 1450 de 2011.</w:t>
      </w:r>
    </w:p>
    <w:p>
      <w:pPr>
        <w:jc w:val="both"/>
      </w:pPr>
      <w:r>
        <w:rPr>
          <w:rFonts w:ascii="Arial" w:hAnsi="Arial"/>
          <w:b/>
        </w:rPr>
        <w:t>Obra literaria</w:t>
      </w:r>
      <w:r>
        <w:rPr>
          <w:rFonts w:ascii="Arial" w:hAnsi="Arial"/>
        </w:rPr>
        <w:t>: la expresada mediante lenguaje escrito o susceptible de serlo, en cualquier soporte, incluidos libros, folletos, escritos, conferencias, alocuciones y obras de carácter científico.</w:t>
      </w:r>
    </w:p>
    <w:p>
      <w:pPr>
        <w:jc w:val="both"/>
      </w:pPr>
      <w:r>
        <w:rPr>
          <w:rFonts w:ascii="Arial" w:hAnsi="Arial"/>
          <w:b/>
        </w:rPr>
        <w:t>Obra artística</w:t>
      </w:r>
      <w:r>
        <w:rPr>
          <w:rFonts w:ascii="Arial" w:hAnsi="Arial"/>
        </w:rPr>
        <w:t>: la que apela al sentido estético de quien la contempla, expresada mediante la disposición de elementos plásticos o visuales, tales como pinturas, dibujos, grabados, litografías, esculturas y fotografías.</w:t>
      </w:r>
    </w:p>
    <w:p>
      <w:pPr>
        <w:jc w:val="both"/>
      </w:pPr>
      <w:r>
        <w:rPr>
          <w:rFonts w:ascii="Arial" w:hAnsi="Arial"/>
          <w:b/>
        </w:rPr>
        <w:t>Obra audiovisual</w:t>
      </w:r>
      <w:r>
        <w:rPr>
          <w:rFonts w:ascii="Arial" w:hAnsi="Arial"/>
        </w:rPr>
        <w:t>: la expresada mediante una serie de imágenes asociadas, con o sin sonorización incorporada, destinada esencialmente a ser mostrada a través de aparatos de proyección o de cualquier otro medio de comunicación de imagen y sonido, con independencia de las características del soporte.</w:t>
      </w:r>
    </w:p>
    <w:p>
      <w:pPr>
        <w:jc w:val="both"/>
      </w:pPr>
      <w:r>
        <w:rPr>
          <w:rFonts w:ascii="Arial" w:hAnsi="Arial"/>
          <w:b/>
        </w:rPr>
        <w:t>Obra musical</w:t>
      </w:r>
      <w:r>
        <w:rPr>
          <w:rFonts w:ascii="Arial" w:hAnsi="Arial"/>
        </w:rPr>
        <w:t>: la compuesta por una sucesión de sonidos, con o sin letra, susceptible de ser fijada en partitura o en cualquier otro soporte.</w:t>
      </w:r>
    </w:p>
    <w:p>
      <w:pPr>
        <w:jc w:val="both"/>
      </w:pPr>
      <w:r>
        <w:rPr>
          <w:rFonts w:ascii="Arial" w:hAnsi="Arial"/>
          <w:b/>
        </w:rPr>
        <w:t>Obra derivada</w:t>
      </w:r>
      <w:r>
        <w:rPr>
          <w:rFonts w:ascii="Arial" w:hAnsi="Arial"/>
        </w:rPr>
        <w:t>: la que resulta de la adaptación, traducción, arreglo o cualquier otra transformación de una obra preexistente, y que se protege como obra independiente sin perjuicio de los derechos sobre la obra originaria.</w:t>
      </w:r>
    </w:p>
    <w:p>
      <w:pPr>
        <w:jc w:val="both"/>
      </w:pPr>
      <w:r>
        <w:rPr>
          <w:rFonts w:ascii="Arial" w:hAnsi="Arial"/>
          <w:b/>
        </w:rPr>
        <w:t>Soporte lógico (software) o programa de ordenador</w:t>
      </w:r>
      <w:r>
        <w:rPr>
          <w:rFonts w:ascii="Arial" w:hAnsi="Arial"/>
        </w:rPr>
        <w:t>: conforme al artículo 3 de la Decisión 351 de 1993, «expresión de un conjunto de instrucciones mediante palabras, códigos, planes o en cualquier otra forma que, al ser incorporadas en un dispositivo de lectura automatizada, es capaz de hacer que un computador —un aparato electrónico o similar capaz de elaborar informaciones— ejecute determinada tarea u obtenga determinado resultado. El programa de ordenador comprende también la documentación técnica y los manuales de uso». En el derecho interno colombiano el soporte lógico se protege como creación propia del dominio literario, conforme al artículo 1 de la Ley 23 de 1982 y al artículo 23 de la Decisión 351 de 1993.</w:t>
      </w:r>
    </w:p>
    <w:p>
      <w:pPr>
        <w:jc w:val="both"/>
      </w:pPr>
      <w:r>
        <w:rPr>
          <w:rFonts w:ascii="Arial" w:hAnsi="Arial"/>
          <w:b/>
        </w:rPr>
        <w:t>Código fuente</w:t>
      </w:r>
      <w:r>
        <w:rPr>
          <w:rFonts w:ascii="Arial" w:hAnsi="Arial"/>
        </w:rPr>
        <w:t>: conjunto de instrucciones escritas en un lenguaje de programación legible por una persona, a partir del cual se genera el código objeto ejecutable.</w:t>
      </w:r>
    </w:p>
    <w:p>
      <w:pPr>
        <w:jc w:val="both"/>
      </w:pPr>
      <w:r>
        <w:rPr>
          <w:rFonts w:ascii="Arial" w:hAnsi="Arial"/>
          <w:b/>
        </w:rPr>
        <w:t>Propiedad intelectual</w:t>
      </w:r>
      <w:r>
        <w:rPr>
          <w:rFonts w:ascii="Arial" w:hAnsi="Arial"/>
        </w:rPr>
        <w:t xml:space="preserve">: categoría que agrupa los derechos reconocidos sobre las creaciones del intelecto humano. Comprende (i) la </w:t>
      </w:r>
      <w:r>
        <w:rPr>
          <w:rFonts w:ascii="Arial" w:hAnsi="Arial"/>
          <w:b/>
        </w:rPr>
        <w:t>propiedad industrial</w:t>
      </w:r>
      <w:r>
        <w:rPr>
          <w:rFonts w:ascii="Arial" w:hAnsi="Arial"/>
        </w:rPr>
        <w:t xml:space="preserve">, referida a invenciones, diseños industriales, signos distintivos y demás figuras del régimen común andino, y (ii) el </w:t>
      </w:r>
      <w:r>
        <w:rPr>
          <w:rFonts w:ascii="Arial" w:hAnsi="Arial"/>
          <w:b/>
        </w:rPr>
        <w:t>derecho de autor y los derechos conexos</w:t>
      </w:r>
      <w:r>
        <w:rPr>
          <w:rFonts w:ascii="Arial" w:hAnsi="Arial"/>
        </w:rPr>
        <w:t>, referidos a las obras literarias y artísticas —incluidos el software y las bases de datos originales— y a las prestaciones conexas.</w:t>
      </w:r>
    </w:p>
    <w:p>
      <w:pPr>
        <w:jc w:val="both"/>
      </w:pPr>
      <w:r>
        <w:rPr>
          <w:rFonts w:ascii="Arial" w:hAnsi="Arial"/>
          <w:b/>
        </w:rPr>
        <w:t>Titular</w:t>
      </w:r>
      <w:r>
        <w:rPr>
          <w:rFonts w:ascii="Arial" w:hAnsi="Arial"/>
        </w:rPr>
        <w:t>: persona natural o jurídica que ostenta los derechos patrimoniales sobre la obra, sea de manera originaria —como autor— o derivada —por ministerio de la ley, cesión, transferencia, sucesión o legado—.</w:t>
      </w:r>
    </w:p>
    <w:p>
      <w:pPr>
        <w:jc w:val="both"/>
      </w:pPr>
      <w:r>
        <w:rPr>
          <w:rFonts w:ascii="Arial" w:hAnsi="Arial"/>
          <w:b/>
        </w:rPr>
        <w:t>Terceros</w:t>
      </w:r>
      <w:r>
        <w:rPr>
          <w:rFonts w:ascii="Arial" w:hAnsi="Arial"/>
        </w:rPr>
        <w:t>: personas naturales o jurídicas que, en virtud de algún tipo de vinculación con la Alcaldía Municipal de Jamundí distinta de la de servidor público, contratista o consultor, participan en la generación, adquisición, administración o uso de activos de propiedad intelectual de la entidad o con destino a ella.</w:t>
      </w:r>
    </w:p>
    <w:p>
      <w:pPr>
        <w:jc w:val="both"/>
      </w:pPr>
      <w:r>
        <w:rPr>
          <w:rFonts w:ascii="Arial" w:hAnsi="Arial"/>
          <w:b/>
        </w:rPr>
        <w:t>Transferencia de conocimiento</w:t>
      </w:r>
      <w:r>
        <w:rPr>
          <w:rFonts w:ascii="Arial" w:hAnsi="Arial"/>
        </w:rPr>
        <w:t>: conjunto de acciones orientadas a poner las capacidades y los resultados institucionales a disposición de la comunidad o de otras entidades. Su aplicación en la Alcaldía Municipal de Jamundí queda supeditada a que la entidad desarrolle efectivamente actividades de ese tipo y a los instrumentos jurídicos que las soporten.</w:t>
      </w:r>
    </w:p>
    <w:p>
      <w:pPr>
        <w:spacing w:before="120" w:after="200"/>
        <w:ind w:left="340" w:right="227"/>
        <w:jc w:val="both"/>
        <w:pBdr>
          <w:left w:val="single" w:sz="18" w:space="8" w:color="1F365D"/>
        </w:pBdr>
      </w:pPr>
      <w:r>
        <w:rPr>
          <w:rFonts w:ascii="Arial" w:hAnsi="Arial"/>
          <w:b/>
          <w:color w:val="444444"/>
          <w:sz w:val="19"/>
        </w:rPr>
        <w:t>Nota metodológica.</w:t>
      </w:r>
      <w:r>
        <w:rPr>
          <w:rFonts w:ascii="Arial" w:hAnsi="Arial"/>
          <w:color w:val="444444"/>
          <w:sz w:val="19"/>
        </w:rPr>
        <w:t xml:space="preserve"> Las definiciones de «inventor», «spin-off», «mecanismos de transferencia de tecnología», «producción y comercialización directa» y «venta de tecnología» contenidas en el documento base </w:t>
      </w:r>
      <w:r>
        <w:rPr>
          <w:rFonts w:ascii="Arial" w:hAnsi="Arial"/>
          <w:b/>
          <w:color w:val="444444"/>
          <w:sz w:val="19"/>
        </w:rPr>
        <w:t>no se incorporan</w:t>
      </w:r>
      <w:r>
        <w:rPr>
          <w:rFonts w:ascii="Arial" w:hAnsi="Arial"/>
          <w:color w:val="444444"/>
          <w:sz w:val="19"/>
        </w:rPr>
        <w:t xml:space="preserve"> a esta política: corresponden a instrumentos propios de instituciones de educación superior y de actores del Sistema Nacional de Ciencia, Tecnología e Innovación, se sitúan en la dimensión de propiedad industrial y no en la de derechos de autor, y no cuentan con soporte fáctico ni normativo confirmado para una entidad territorial municipal. Su eventual inclusión requiere confirmación institucional previa (ver «Preguntas de validación institucional»).</w:t>
      </w:r>
    </w:p>
    <w:p>
      <w:pPr>
        <w:pStyle w:val="Heading2"/>
      </w:pPr>
      <w:r>
        <w:rPr>
          <w:rFonts w:ascii="Arial" w:hAnsi="Arial"/>
          <w:b/>
          <w:color w:val="1F365D"/>
        </w:rPr>
      </w:r>
      <w:r>
        <w:rPr>
          <w:rFonts w:ascii="Arial" w:hAnsi="Arial"/>
          <w:b/>
          <w:color w:val="1F365D"/>
        </w:rPr>
        <w:t>5. PRINCIPIOS</w:t>
      </w:r>
    </w:p>
    <w:p>
      <w:pPr>
        <w:jc w:val="both"/>
      </w:pPr>
      <w:r>
        <w:rPr>
          <w:rFonts w:ascii="Arial" w:hAnsi="Arial"/>
        </w:rPr>
        <w:t>La gestión de la propiedad intelectual en la Alcaldía Municipal de Jamundí se orienta por los siguientes principios:</w:t>
      </w:r>
    </w:p>
    <w:p>
      <w:pPr>
        <w:jc w:val="both"/>
      </w:pPr>
      <w:r>
        <w:rPr>
          <w:rFonts w:ascii="Arial" w:hAnsi="Arial"/>
          <w:b/>
        </w:rPr>
        <w:t>Legalidad.</w:t>
      </w:r>
      <w:r>
        <w:rPr>
          <w:rFonts w:ascii="Arial" w:hAnsi="Arial"/>
        </w:rPr>
        <w:t xml:space="preserve"> Toda actuación en materia de propiedad intelectual se sujeta a la Constitución Política, a la ley y a las normas comunitarias e internacionales vigentes para Colombia. La entidad no se atribuye competencias, facultades ni prerrogativas distintas de las expresamente conferidas por el ordenamiento jurídico.</w:t>
      </w:r>
    </w:p>
    <w:p>
      <w:pPr>
        <w:jc w:val="both"/>
      </w:pPr>
      <w:r>
        <w:rPr>
          <w:rFonts w:ascii="Arial" w:hAnsi="Arial"/>
          <w:b/>
        </w:rPr>
        <w:t>Buena fe.</w:t>
      </w:r>
      <w:r>
        <w:rPr>
          <w:rFonts w:ascii="Arial" w:hAnsi="Arial"/>
        </w:rPr>
        <w:t xml:space="preserve"> La Alcaldía Municipal de Jamundí presume que la producción intelectual de sus servidores públicos, contratistas y terceros es original y no infringe derechos de propiedad intelectual ajenos, sin perjuicio de la verificación que corresponda y de las declaraciones de originalidad que se exijan contractualmente.</w:t>
      </w:r>
    </w:p>
    <w:p>
      <w:pPr>
        <w:jc w:val="both"/>
      </w:pPr>
      <w:r>
        <w:rPr>
          <w:rFonts w:ascii="Arial" w:hAnsi="Arial"/>
          <w:b/>
        </w:rPr>
        <w:t>Respeto de los derechos morales de autor.</w:t>
      </w:r>
      <w:r>
        <w:rPr>
          <w:rFonts w:ascii="Arial" w:hAnsi="Arial"/>
        </w:rPr>
        <w:t xml:space="preserve"> La entidad reconoce que los derechos morales son inalienables, irrenunciables e imprescriptibles, y que su titularidad permanece siempre en cabeza de la persona natural creadora, con independencia de la titularidad patrimonial que corresponda a la Alcaldía.</w:t>
      </w:r>
    </w:p>
    <w:p>
      <w:pPr>
        <w:jc w:val="both"/>
      </w:pPr>
      <w:r>
        <w:rPr>
          <w:rFonts w:ascii="Arial" w:hAnsi="Arial"/>
          <w:b/>
        </w:rPr>
        <w:t>Debido proceso.</w:t>
      </w:r>
      <w:r>
        <w:rPr>
          <w:rFonts w:ascii="Arial" w:hAnsi="Arial"/>
        </w:rPr>
        <w:t xml:space="preserve"> Ninguna consecuencia adversa de carácter disciplinario, fiscal, contractual o sancionatorio derivada del incumplimiento de esta política puede imponerse de manera automática. Su declaratoria corresponde a la autoridad competente, mediante el procedimiento legalmente establecido y con garantía plena de los derechos de defensa y contradicción.</w:t>
      </w:r>
    </w:p>
    <w:p>
      <w:pPr>
        <w:jc w:val="both"/>
      </w:pPr>
      <w:r>
        <w:rPr>
          <w:rFonts w:ascii="Arial" w:hAnsi="Arial"/>
          <w:b/>
        </w:rPr>
        <w:t>Conservación del patrimonio público.</w:t>
      </w:r>
      <w:r>
        <w:rPr>
          <w:rFonts w:ascii="Arial" w:hAnsi="Arial"/>
        </w:rPr>
        <w:t xml:space="preserve"> Los derechos de propiedad intelectual de los que la entidad sea titular integran su patrimonio; en consecuencia, se adelantarán las acciones administrativas y legales que resulten procedentes para su identificación, conservación y defensa.</w:t>
      </w:r>
    </w:p>
    <w:p>
      <w:pPr>
        <w:jc w:val="both"/>
      </w:pPr>
      <w:r>
        <w:rPr>
          <w:rFonts w:ascii="Arial" w:hAnsi="Arial"/>
          <w:b/>
        </w:rPr>
        <w:t>Prevalencia del interés general y del acceso a la información pública.</w:t>
      </w:r>
      <w:r>
        <w:rPr>
          <w:rFonts w:ascii="Arial" w:hAnsi="Arial"/>
        </w:rPr>
        <w:t xml:space="preserve"> La gestión de la propiedad intelectual se armoniza con el principio de publicidad de la función administrativa y con el derecho fundamental de acceso a la información pública. La titularidad de derechos de autor de la entidad no puede invocarse para obstaculizar el acceso a información pública ni para eludir los deberes de transparencia activa.</w:t>
      </w:r>
    </w:p>
    <w:p>
      <w:pPr>
        <w:jc w:val="both"/>
      </w:pPr>
      <w:r>
        <w:rPr>
          <w:rFonts w:ascii="Arial" w:hAnsi="Arial"/>
          <w:b/>
        </w:rPr>
        <w:t>Prevención.</w:t>
      </w:r>
      <w:r>
        <w:rPr>
          <w:rFonts w:ascii="Arial" w:hAnsi="Arial"/>
        </w:rPr>
        <w:t xml:space="preserve"> La política privilegia la definición previa de reglas en la contratación, la documentación de los activos y la verificación de licencias, sobre la reacción posterior frente a la infracción.</w:t>
      </w:r>
    </w:p>
    <w:p>
      <w:pPr>
        <w:jc w:val="both"/>
      </w:pPr>
      <w:r>
        <w:rPr>
          <w:rFonts w:ascii="Arial" w:hAnsi="Arial"/>
          <w:b/>
        </w:rPr>
        <w:t>Divulgación y capacitación.</w:t>
      </w:r>
      <w:r>
        <w:rPr>
          <w:rFonts w:ascii="Arial" w:hAnsi="Arial"/>
        </w:rPr>
        <w:t xml:space="preserve"> La entidad promueve el conocimiento de los derechos y deberes en materia de propiedad intelectual entre sus servidores públicos, contratistas y terceros.</w:t>
      </w:r>
    </w:p>
    <w:p>
      <w:pPr>
        <w:pStyle w:val="Heading2"/>
      </w:pPr>
      <w:r>
        <w:rPr>
          <w:rFonts w:ascii="Arial" w:hAnsi="Arial"/>
          <w:b/>
          <w:color w:val="1F365D"/>
        </w:rPr>
      </w:r>
      <w:r>
        <w:rPr>
          <w:rFonts w:ascii="Arial" w:hAnsi="Arial"/>
          <w:b/>
          <w:color w:val="1F365D"/>
        </w:rPr>
        <w:t>6. MARCO NORMATIVO</w:t>
      </w:r>
    </w:p>
    <w:p>
      <w:pPr>
        <w:jc w:val="both"/>
      </w:pPr>
      <w:r>
        <w:rPr>
          <w:rFonts w:ascii="Arial" w:hAnsi="Arial"/>
        </w:rPr>
        <w:t>El marco que se relaciona a continuación corresponde a normas vigentes y pertinentes al objeto de esta política. Su cita no sustituye la verificación de vigencia que debe efectuarse en cada caso concreto por la dependencia competente.</w:t>
      </w:r>
    </w:p>
    <w:p>
      <w:pPr>
        <w:pStyle w:val="Heading3"/>
      </w:pPr>
      <w:r>
        <w:rPr>
          <w:rFonts w:ascii="Arial" w:hAnsi="Arial"/>
          <w:b/>
          <w:color w:val="1F365D"/>
        </w:rPr>
      </w:r>
      <w:r>
        <w:rPr>
          <w:rFonts w:ascii="Arial" w:hAnsi="Arial"/>
          <w:b/>
          <w:color w:val="1F365D"/>
        </w:rPr>
        <w:t>6.1. Derecho de autor y derechos conexos</w:t>
      </w:r>
    </w:p>
    <w:tbl>
      <w:tblPr>
        <w:tblStyle w:val="TableGrid"/>
        <w:tblW w:type="auto" w:w="0"/>
        <w:jc w:val="center"/>
        <w:tblLayout w:type="autofit"/>
        <w:tblLook w:firstColumn="1" w:firstRow="1" w:lastColumn="0" w:lastRow="0" w:noHBand="0" w:noVBand="1" w:val="04A0"/>
      </w:tblPr>
      <w:tblGrid>
        <w:gridCol w:w="4703"/>
        <w:gridCol w:w="4703"/>
      </w:tblGrid>
      <w:tr>
        <w:trPr>
          <w:tblHeader w:val="true"/>
        </w:trPr>
        <w:tc>
          <w:tcPr>
            <w:tcW w:type="dxa" w:w="4703"/>
            <w:shd w:val="clear" w:color="auto" w:fill="1F365D"/>
          </w:tcPr>
          <w:p>
            <w:r>
              <w:rPr>
                <w:color w:val="FFFFFF"/>
              </w:rPr>
            </w:r>
            <w:r>
              <w:rPr>
                <w:rFonts w:ascii="Arial" w:hAnsi="Arial"/>
                <w:b/>
                <w:color w:val="FFFFFF"/>
                <w:sz w:val="18"/>
              </w:rPr>
              <w:t>Norma</w:t>
            </w:r>
          </w:p>
        </w:tc>
        <w:tc>
          <w:tcPr>
            <w:tcW w:type="dxa" w:w="4703"/>
            <w:shd w:val="clear" w:color="auto" w:fill="1F365D"/>
          </w:tcPr>
          <w:p>
            <w:r>
              <w:rPr>
                <w:color w:val="FFFFFF"/>
              </w:rPr>
            </w:r>
            <w:r>
              <w:rPr>
                <w:rFonts w:ascii="Arial" w:hAnsi="Arial"/>
                <w:b/>
                <w:color w:val="FFFFFF"/>
                <w:sz w:val="18"/>
              </w:rPr>
              <w:t>Objeto</w:t>
            </w:r>
          </w:p>
        </w:tc>
      </w:tr>
      <w:tr>
        <w:tc>
          <w:tcPr>
            <w:tcW w:type="dxa" w:w="4703"/>
          </w:tcPr>
          <w:p>
            <w:pPr>
              <w:jc w:val="left"/>
            </w:pPr>
            <w:r/>
            <w:r>
              <w:rPr>
                <w:rFonts w:ascii="Arial" w:hAnsi="Arial"/>
                <w:sz w:val="18"/>
              </w:rPr>
              <w:t>Constitución Política de Colombia, artículos 61, 71 y 209</w:t>
            </w:r>
          </w:p>
        </w:tc>
        <w:tc>
          <w:tcPr>
            <w:tcW w:type="dxa" w:w="4703"/>
          </w:tcPr>
          <w:p>
            <w:pPr>
              <w:jc w:val="left"/>
            </w:pPr>
            <w:r/>
            <w:r>
              <w:rPr>
                <w:rFonts w:ascii="Arial" w:hAnsi="Arial"/>
                <w:sz w:val="18"/>
              </w:rPr>
              <w:t>Protección de la propiedad intelectual, fomento de la cultura y principios de la función administrativa.</w:t>
            </w:r>
          </w:p>
        </w:tc>
      </w:tr>
      <w:tr>
        <w:tc>
          <w:tcPr>
            <w:tcW w:type="dxa" w:w="4703"/>
          </w:tcPr>
          <w:p>
            <w:pPr>
              <w:jc w:val="left"/>
            </w:pPr>
            <w:r/>
            <w:r>
              <w:rPr>
                <w:rFonts w:ascii="Arial" w:hAnsi="Arial"/>
                <w:sz w:val="18"/>
              </w:rPr>
              <w:t>Ley 23 de 1982</w:t>
            </w:r>
          </w:p>
        </w:tc>
        <w:tc>
          <w:tcPr>
            <w:tcW w:type="dxa" w:w="4703"/>
          </w:tcPr>
          <w:p>
            <w:pPr>
              <w:jc w:val="left"/>
            </w:pPr>
            <w:r/>
            <w:r>
              <w:rPr>
                <w:rFonts w:ascii="Arial" w:hAnsi="Arial"/>
                <w:sz w:val="18"/>
              </w:rPr>
              <w:t>Ley marco sobre derechos de autor. Vigente con las modificaciones introducidas, entre otras, por las leyes 44 de 1993, 1450 de 2011 (artículo 28), 1520 de 2012 —declarada inexequible por la Corte Constitucional mediante Sentencia C-011 de 2013—, 1835 de 2017 y 1915 de 2018.</w:t>
            </w:r>
          </w:p>
        </w:tc>
      </w:tr>
      <w:tr>
        <w:tc>
          <w:tcPr>
            <w:tcW w:type="dxa" w:w="4703"/>
          </w:tcPr>
          <w:p>
            <w:pPr>
              <w:jc w:val="left"/>
            </w:pPr>
            <w:r/>
            <w:r>
              <w:rPr>
                <w:rFonts w:ascii="Arial" w:hAnsi="Arial"/>
                <w:sz w:val="18"/>
              </w:rPr>
              <w:t>Ley 44 de 1993</w:t>
            </w:r>
          </w:p>
        </w:tc>
        <w:tc>
          <w:tcPr>
            <w:tcW w:type="dxa" w:w="4703"/>
          </w:tcPr>
          <w:p>
            <w:pPr>
              <w:jc w:val="left"/>
            </w:pPr>
            <w:r/>
            <w:r>
              <w:rPr>
                <w:rFonts w:ascii="Arial" w:hAnsi="Arial"/>
                <w:sz w:val="18"/>
              </w:rPr>
              <w:t>Modifica y adiciona la Ley 23 de 1982 y regula el Registro Nacional del Derecho de Autor.</w:t>
            </w:r>
          </w:p>
        </w:tc>
      </w:tr>
      <w:tr>
        <w:tc>
          <w:tcPr>
            <w:tcW w:type="dxa" w:w="4703"/>
          </w:tcPr>
          <w:p>
            <w:pPr>
              <w:jc w:val="left"/>
            </w:pPr>
            <w:r/>
            <w:r>
              <w:rPr>
                <w:rFonts w:ascii="Arial" w:hAnsi="Arial"/>
                <w:sz w:val="18"/>
              </w:rPr>
              <w:t>Ley 1403 de 2010</w:t>
            </w:r>
          </w:p>
        </w:tc>
        <w:tc>
          <w:tcPr>
            <w:tcW w:type="dxa" w:w="4703"/>
          </w:tcPr>
          <w:p>
            <w:pPr>
              <w:jc w:val="left"/>
            </w:pPr>
            <w:r/>
            <w:r>
              <w:rPr>
                <w:rFonts w:ascii="Arial" w:hAnsi="Arial"/>
                <w:sz w:val="18"/>
              </w:rPr>
              <w:t>Adiciona la Ley 23 de 1982; establece una remuneración por comunicación pública a artistas intérpretes o ejecutantes de obras y grabaciones audiovisuales.</w:t>
            </w:r>
          </w:p>
        </w:tc>
      </w:tr>
      <w:tr>
        <w:tc>
          <w:tcPr>
            <w:tcW w:type="dxa" w:w="4703"/>
          </w:tcPr>
          <w:p>
            <w:pPr>
              <w:jc w:val="left"/>
            </w:pPr>
            <w:r/>
            <w:r>
              <w:rPr>
                <w:rFonts w:ascii="Arial" w:hAnsi="Arial"/>
                <w:sz w:val="18"/>
              </w:rPr>
              <w:t>Ley 1450 de 2011, artículo 28</w:t>
            </w:r>
          </w:p>
        </w:tc>
        <w:tc>
          <w:tcPr>
            <w:tcW w:type="dxa" w:w="4703"/>
          </w:tcPr>
          <w:p>
            <w:pPr>
              <w:jc w:val="left"/>
            </w:pPr>
            <w:r/>
            <w:r>
              <w:rPr>
                <w:rFonts w:ascii="Arial" w:hAnsi="Arial"/>
                <w:sz w:val="18"/>
              </w:rPr>
              <w:t>Modifica el artículo 20 de la Ley 23 de 1982: régimen de la obra creada en cumplimiento de contrato de prestación de servicios o de trabajo y presunción de transferencia de derechos patrimoniales. Norma de carácter permanente pese a estar contenida en un plan nacional de desarrollo.</w:t>
            </w:r>
          </w:p>
        </w:tc>
      </w:tr>
      <w:tr>
        <w:tc>
          <w:tcPr>
            <w:tcW w:type="dxa" w:w="4703"/>
          </w:tcPr>
          <w:p>
            <w:pPr>
              <w:jc w:val="left"/>
            </w:pPr>
            <w:r/>
            <w:r>
              <w:rPr>
                <w:rFonts w:ascii="Arial" w:hAnsi="Arial"/>
                <w:sz w:val="18"/>
              </w:rPr>
              <w:t>Ley 1834 de 2017</w:t>
            </w:r>
          </w:p>
        </w:tc>
        <w:tc>
          <w:tcPr>
            <w:tcW w:type="dxa" w:w="4703"/>
          </w:tcPr>
          <w:p>
            <w:pPr>
              <w:jc w:val="left"/>
            </w:pPr>
            <w:r/>
            <w:r>
              <w:rPr>
                <w:rFonts w:ascii="Arial" w:hAnsi="Arial"/>
                <w:sz w:val="18"/>
              </w:rPr>
              <w:t>Fomento de la economía creativa (Ley Naranja).</w:t>
            </w:r>
          </w:p>
        </w:tc>
      </w:tr>
      <w:tr>
        <w:tc>
          <w:tcPr>
            <w:tcW w:type="dxa" w:w="4703"/>
          </w:tcPr>
          <w:p>
            <w:pPr>
              <w:jc w:val="left"/>
            </w:pPr>
            <w:r/>
            <w:r>
              <w:rPr>
                <w:rFonts w:ascii="Arial" w:hAnsi="Arial"/>
                <w:sz w:val="18"/>
              </w:rPr>
              <w:t>Ley 1835 de 2017</w:t>
            </w:r>
          </w:p>
        </w:tc>
        <w:tc>
          <w:tcPr>
            <w:tcW w:type="dxa" w:w="4703"/>
          </w:tcPr>
          <w:p>
            <w:pPr>
              <w:jc w:val="left"/>
            </w:pPr>
            <w:r/>
            <w:r>
              <w:rPr>
                <w:rFonts w:ascii="Arial" w:hAnsi="Arial"/>
                <w:sz w:val="18"/>
              </w:rPr>
              <w:t>Modifica el artículo 98 de la Ley 23 de 1982; remuneración por comunicación pública a autores de obras cinematográficas.</w:t>
            </w:r>
          </w:p>
        </w:tc>
      </w:tr>
      <w:tr>
        <w:tc>
          <w:tcPr>
            <w:tcW w:type="dxa" w:w="4703"/>
          </w:tcPr>
          <w:p>
            <w:pPr>
              <w:jc w:val="left"/>
            </w:pPr>
            <w:r/>
            <w:r>
              <w:rPr>
                <w:rFonts w:ascii="Arial" w:hAnsi="Arial"/>
                <w:sz w:val="18"/>
              </w:rPr>
              <w:t>Ley 1915 de 2018</w:t>
            </w:r>
          </w:p>
        </w:tc>
        <w:tc>
          <w:tcPr>
            <w:tcW w:type="dxa" w:w="4703"/>
          </w:tcPr>
          <w:p>
            <w:pPr>
              <w:jc w:val="left"/>
            </w:pPr>
            <w:r/>
            <w:r>
              <w:rPr>
                <w:rFonts w:ascii="Arial" w:hAnsi="Arial"/>
                <w:sz w:val="18"/>
              </w:rPr>
              <w:t>Modifica la Ley 23 de 1982 y establece disposiciones en materia de derecho de autor y derechos conexos, incluidas limitaciones y excepciones, medidas tecnológicas de protección e información sobre gestión de derechos.</w:t>
            </w:r>
          </w:p>
        </w:tc>
      </w:tr>
      <w:tr>
        <w:tc>
          <w:tcPr>
            <w:tcW w:type="dxa" w:w="4703"/>
          </w:tcPr>
          <w:p>
            <w:pPr>
              <w:jc w:val="left"/>
            </w:pPr>
            <w:r/>
            <w:r>
              <w:rPr>
                <w:rFonts w:ascii="Arial" w:hAnsi="Arial"/>
                <w:sz w:val="18"/>
              </w:rPr>
              <w:t>Decisión 351 de 1993 de la Comisión de la Comunidad Andina</w:t>
            </w:r>
          </w:p>
        </w:tc>
        <w:tc>
          <w:tcPr>
            <w:tcW w:type="dxa" w:w="4703"/>
          </w:tcPr>
          <w:p>
            <w:pPr>
              <w:jc w:val="left"/>
            </w:pPr>
            <w:r/>
            <w:r>
              <w:rPr>
                <w:rFonts w:ascii="Arial" w:hAnsi="Arial"/>
                <w:sz w:val="18"/>
              </w:rPr>
              <w:t>Régimen común sobre derecho de autor y derechos conexos. Norma comunitaria de aplicación directa y preferente. Relevantes, en particular, los artículos 3 y 23 (software), 4 (obras protegidas), 7 (exclusiones), 11 y 30 (derechos morales), 13 (derechos patrimoniales), 21 a 22 (limitaciones y excepciones) y 52 a 53 (carácter no constitutivo del registro).</w:t>
            </w:r>
          </w:p>
        </w:tc>
      </w:tr>
      <w:tr>
        <w:tc>
          <w:tcPr>
            <w:tcW w:type="dxa" w:w="4703"/>
          </w:tcPr>
          <w:p>
            <w:pPr>
              <w:jc w:val="left"/>
            </w:pPr>
            <w:r/>
            <w:r>
              <w:rPr>
                <w:rFonts w:ascii="Arial" w:hAnsi="Arial"/>
                <w:sz w:val="18"/>
              </w:rPr>
              <w:t>Decreto 1360 de 1989</w:t>
            </w:r>
          </w:p>
        </w:tc>
        <w:tc>
          <w:tcPr>
            <w:tcW w:type="dxa" w:w="4703"/>
          </w:tcPr>
          <w:p>
            <w:pPr>
              <w:jc w:val="left"/>
            </w:pPr>
            <w:r/>
            <w:r>
              <w:rPr>
                <w:rFonts w:ascii="Arial" w:hAnsi="Arial"/>
                <w:sz w:val="18"/>
              </w:rPr>
              <w:t xml:space="preserve">Reglamenta la inscripción del soporte lógico (software) en el Registro Nacional del Derecho de Autor. </w:t>
            </w:r>
            <w:r>
              <w:rPr>
                <w:rFonts w:ascii="Arial" w:hAnsi="Arial"/>
                <w:b/>
                <w:sz w:val="18"/>
              </w:rPr>
              <w:t>Compilado en el Decreto Único Reglamentario 1066 de 2015 del Sector Administrativo del Interior</w:t>
            </w:r>
            <w:r>
              <w:rPr>
                <w:rFonts w:ascii="Arial" w:hAnsi="Arial"/>
                <w:sz w:val="18"/>
              </w:rPr>
              <w:t>, cuyas disposiciones son las que deben citarse como fuente vigente.</w:t>
            </w:r>
          </w:p>
        </w:tc>
      </w:tr>
      <w:tr>
        <w:tc>
          <w:tcPr>
            <w:tcW w:type="dxa" w:w="4703"/>
          </w:tcPr>
          <w:p>
            <w:pPr>
              <w:jc w:val="left"/>
            </w:pPr>
            <w:r/>
            <w:r>
              <w:rPr>
                <w:rFonts w:ascii="Arial" w:hAnsi="Arial"/>
                <w:sz w:val="18"/>
              </w:rPr>
              <w:t>Decreto 1066 de 2015</w:t>
            </w:r>
          </w:p>
        </w:tc>
        <w:tc>
          <w:tcPr>
            <w:tcW w:type="dxa" w:w="4703"/>
          </w:tcPr>
          <w:p>
            <w:pPr>
              <w:jc w:val="left"/>
            </w:pPr>
            <w:r/>
            <w:r>
              <w:rPr>
                <w:rFonts w:ascii="Arial" w:hAnsi="Arial"/>
                <w:sz w:val="18"/>
              </w:rPr>
              <w:t>Decreto Único Reglamentario del Sector Administrativo del Interior; compila la reglamentación en materia de derecho de autor, incluidos el registro de obras y de soporte lógico.</w:t>
            </w:r>
          </w:p>
        </w:tc>
      </w:tr>
      <w:tr>
        <w:tc>
          <w:tcPr>
            <w:tcW w:type="dxa" w:w="4703"/>
          </w:tcPr>
          <w:p>
            <w:pPr>
              <w:jc w:val="left"/>
            </w:pPr>
            <w:r/>
            <w:r>
              <w:rPr>
                <w:rFonts w:ascii="Arial" w:hAnsi="Arial"/>
                <w:sz w:val="18"/>
              </w:rPr>
              <w:t>Convenio de Berna para la Protección de las Obras Literarias y Artísticas</w:t>
            </w:r>
          </w:p>
        </w:tc>
        <w:tc>
          <w:tcPr>
            <w:tcW w:type="dxa" w:w="4703"/>
          </w:tcPr>
          <w:p>
            <w:pPr>
              <w:jc w:val="left"/>
            </w:pPr>
            <w:r/>
            <w:r>
              <w:rPr>
                <w:rFonts w:ascii="Arial" w:hAnsi="Arial"/>
                <w:sz w:val="18"/>
              </w:rPr>
              <w:t>Aprobado por la Ley 33 de 1987. Consagra, entre otros, el principio de protección sin formalidades y los derechos morales (artículo 6 bis).</w:t>
            </w:r>
          </w:p>
        </w:tc>
      </w:tr>
      <w:tr>
        <w:tc>
          <w:tcPr>
            <w:tcW w:type="dxa" w:w="4703"/>
          </w:tcPr>
          <w:p>
            <w:pPr>
              <w:jc w:val="left"/>
            </w:pPr>
            <w:r/>
            <w:r>
              <w:rPr>
                <w:rFonts w:ascii="Arial" w:hAnsi="Arial"/>
                <w:sz w:val="18"/>
              </w:rPr>
              <w:t>Convención de Roma sobre la protección de los artistas intérpretes o ejecutantes, los productores de fonogramas y los organismos de radiodifusión</w:t>
            </w:r>
          </w:p>
        </w:tc>
        <w:tc>
          <w:tcPr>
            <w:tcW w:type="dxa" w:w="4703"/>
          </w:tcPr>
          <w:p>
            <w:pPr>
              <w:jc w:val="left"/>
            </w:pPr>
            <w:r/>
            <w:r>
              <w:rPr>
                <w:rFonts w:ascii="Arial" w:hAnsi="Arial"/>
                <w:sz w:val="18"/>
              </w:rPr>
              <w:t>Aprobada por la Ley 48 de 1975.</w:t>
            </w:r>
          </w:p>
        </w:tc>
      </w:tr>
      <w:tr>
        <w:tc>
          <w:tcPr>
            <w:tcW w:type="dxa" w:w="4703"/>
          </w:tcPr>
          <w:p>
            <w:pPr>
              <w:jc w:val="left"/>
            </w:pPr>
            <w:r/>
            <w:r>
              <w:rPr>
                <w:rFonts w:ascii="Arial" w:hAnsi="Arial"/>
                <w:sz w:val="18"/>
              </w:rPr>
              <w:t>Tratado de la OMPI sobre Derecho de Autor (WCT, 1996)</w:t>
            </w:r>
          </w:p>
        </w:tc>
        <w:tc>
          <w:tcPr>
            <w:tcW w:type="dxa" w:w="4703"/>
          </w:tcPr>
          <w:p>
            <w:pPr>
              <w:jc w:val="left"/>
            </w:pPr>
            <w:r/>
            <w:r>
              <w:rPr>
                <w:rFonts w:ascii="Arial" w:hAnsi="Arial"/>
                <w:sz w:val="18"/>
              </w:rPr>
              <w:t>Aprobado por la Ley 565 de 2000. Protección de las obras y de los derechos de sus autores en el entorno digital.</w:t>
            </w:r>
          </w:p>
        </w:tc>
      </w:tr>
      <w:tr>
        <w:tc>
          <w:tcPr>
            <w:tcW w:type="dxa" w:w="4703"/>
          </w:tcPr>
          <w:p>
            <w:pPr>
              <w:jc w:val="left"/>
            </w:pPr>
            <w:r/>
            <w:r>
              <w:rPr>
                <w:rFonts w:ascii="Arial" w:hAnsi="Arial"/>
                <w:sz w:val="18"/>
              </w:rPr>
              <w:t>Tratado de la OMPI sobre Interpretación o Ejecución y Fonogramas (WPPT, 1996)</w:t>
            </w:r>
          </w:p>
        </w:tc>
        <w:tc>
          <w:tcPr>
            <w:tcW w:type="dxa" w:w="4703"/>
          </w:tcPr>
          <w:p>
            <w:pPr>
              <w:jc w:val="left"/>
            </w:pPr>
            <w:r/>
            <w:r>
              <w:rPr>
                <w:rFonts w:ascii="Arial" w:hAnsi="Arial"/>
                <w:sz w:val="18"/>
              </w:rPr>
              <w:t>Aprobado por la Ley 545 de 1999. Protección de artistas intérpretes o ejecutantes y de productores de fonogramas en el entorno digital.</w:t>
            </w:r>
          </w:p>
        </w:tc>
      </w:tr>
    </w:tbl>
    <w:p/>
    <w:p>
      <w:pPr>
        <w:pStyle w:val="Heading3"/>
      </w:pPr>
      <w:r>
        <w:rPr>
          <w:rFonts w:ascii="Arial" w:hAnsi="Arial"/>
          <w:b/>
          <w:color w:val="1F365D"/>
        </w:rPr>
      </w:r>
      <w:r>
        <w:rPr>
          <w:rFonts w:ascii="Arial" w:hAnsi="Arial"/>
          <w:b/>
          <w:color w:val="1F365D"/>
        </w:rPr>
        <w:t>6.2. Propiedad industrial (referencia de delimitación)</w:t>
      </w:r>
    </w:p>
    <w:tbl>
      <w:tblPr>
        <w:tblStyle w:val="TableGrid"/>
        <w:tblW w:type="auto" w:w="0"/>
        <w:jc w:val="center"/>
        <w:tblLayout w:type="autofit"/>
        <w:tblLook w:firstColumn="1" w:firstRow="1" w:lastColumn="0" w:lastRow="0" w:noHBand="0" w:noVBand="1" w:val="04A0"/>
      </w:tblPr>
      <w:tblGrid>
        <w:gridCol w:w="4703"/>
        <w:gridCol w:w="4703"/>
      </w:tblGrid>
      <w:tr>
        <w:trPr>
          <w:tblHeader w:val="true"/>
        </w:trPr>
        <w:tc>
          <w:tcPr>
            <w:tcW w:type="dxa" w:w="4703"/>
            <w:shd w:val="clear" w:color="auto" w:fill="1F365D"/>
          </w:tcPr>
          <w:p>
            <w:r>
              <w:rPr>
                <w:color w:val="FFFFFF"/>
              </w:rPr>
            </w:r>
            <w:r>
              <w:rPr>
                <w:rFonts w:ascii="Arial" w:hAnsi="Arial"/>
                <w:b/>
                <w:color w:val="FFFFFF"/>
                <w:sz w:val="18"/>
              </w:rPr>
              <w:t>Norma</w:t>
            </w:r>
          </w:p>
        </w:tc>
        <w:tc>
          <w:tcPr>
            <w:tcW w:type="dxa" w:w="4703"/>
            <w:shd w:val="clear" w:color="auto" w:fill="1F365D"/>
          </w:tcPr>
          <w:p>
            <w:r>
              <w:rPr>
                <w:color w:val="FFFFFF"/>
              </w:rPr>
            </w:r>
            <w:r>
              <w:rPr>
                <w:rFonts w:ascii="Arial" w:hAnsi="Arial"/>
                <w:b/>
                <w:color w:val="FFFFFF"/>
                <w:sz w:val="18"/>
              </w:rPr>
              <w:t>Objeto</w:t>
            </w:r>
          </w:p>
        </w:tc>
      </w:tr>
      <w:tr>
        <w:tc>
          <w:tcPr>
            <w:tcW w:type="dxa" w:w="4703"/>
          </w:tcPr>
          <w:p>
            <w:pPr>
              <w:jc w:val="left"/>
            </w:pPr>
            <w:r/>
            <w:r>
              <w:rPr>
                <w:rFonts w:ascii="Arial" w:hAnsi="Arial"/>
                <w:sz w:val="18"/>
              </w:rPr>
              <w:t>Decisión 486 de 2000 de la Comisión de la Comunidad Andina</w:t>
            </w:r>
          </w:p>
        </w:tc>
        <w:tc>
          <w:tcPr>
            <w:tcW w:type="dxa" w:w="4703"/>
          </w:tcPr>
          <w:p>
            <w:pPr>
              <w:jc w:val="left"/>
            </w:pPr>
            <w:r/>
            <w:r>
              <w:rPr>
                <w:rFonts w:ascii="Arial" w:hAnsi="Arial"/>
                <w:sz w:val="18"/>
              </w:rPr>
              <w:t>Régimen común sobre propiedad industrial. Autoridad nacional competente: Superintendencia de Industria y Comercio.</w:t>
            </w:r>
          </w:p>
        </w:tc>
      </w:tr>
      <w:tr>
        <w:tc>
          <w:tcPr>
            <w:tcW w:type="dxa" w:w="4703"/>
          </w:tcPr>
          <w:p>
            <w:pPr>
              <w:jc w:val="left"/>
            </w:pPr>
            <w:r/>
            <w:r>
              <w:rPr>
                <w:rFonts w:ascii="Arial" w:hAnsi="Arial"/>
                <w:sz w:val="18"/>
              </w:rPr>
              <w:t>Código de Comercio, disposiciones concordantes</w:t>
            </w:r>
          </w:p>
        </w:tc>
        <w:tc>
          <w:tcPr>
            <w:tcW w:type="dxa" w:w="4703"/>
          </w:tcPr>
          <w:p>
            <w:pPr>
              <w:jc w:val="left"/>
            </w:pPr>
            <w:r/>
            <w:r>
              <w:rPr>
                <w:rFonts w:ascii="Arial" w:hAnsi="Arial"/>
                <w:sz w:val="18"/>
              </w:rPr>
              <w:t>Normas sobre propiedad industrial no derogadas por el régimen comunitario andino.</w:t>
            </w:r>
          </w:p>
        </w:tc>
      </w:tr>
    </w:tbl>
    <w:p/>
    <w:p>
      <w:pPr>
        <w:pStyle w:val="Heading3"/>
      </w:pPr>
      <w:r>
        <w:rPr>
          <w:rFonts w:ascii="Arial" w:hAnsi="Arial"/>
          <w:b/>
          <w:color w:val="1F365D"/>
        </w:rPr>
      </w:r>
      <w:r>
        <w:rPr>
          <w:rFonts w:ascii="Arial" w:hAnsi="Arial"/>
          <w:b/>
          <w:color w:val="1F365D"/>
        </w:rPr>
        <w:t>6.3. Función administrativa, contratación estatal, gobierno digital y acceso a la información</w:t>
      </w:r>
    </w:p>
    <w:tbl>
      <w:tblPr>
        <w:tblStyle w:val="TableGrid"/>
        <w:tblW w:type="auto" w:w="0"/>
        <w:jc w:val="center"/>
        <w:tblLayout w:type="autofit"/>
        <w:tblLook w:firstColumn="1" w:firstRow="1" w:lastColumn="0" w:lastRow="0" w:noHBand="0" w:noVBand="1" w:val="04A0"/>
      </w:tblPr>
      <w:tblGrid>
        <w:gridCol w:w="4703"/>
        <w:gridCol w:w="4703"/>
      </w:tblGrid>
      <w:tr>
        <w:trPr>
          <w:tblHeader w:val="true"/>
        </w:trPr>
        <w:tc>
          <w:tcPr>
            <w:tcW w:type="dxa" w:w="4703"/>
            <w:shd w:val="clear" w:color="auto" w:fill="1F365D"/>
          </w:tcPr>
          <w:p>
            <w:r>
              <w:rPr>
                <w:color w:val="FFFFFF"/>
              </w:rPr>
            </w:r>
            <w:r>
              <w:rPr>
                <w:rFonts w:ascii="Arial" w:hAnsi="Arial"/>
                <w:b/>
                <w:color w:val="FFFFFF"/>
                <w:sz w:val="18"/>
              </w:rPr>
              <w:t>Norma</w:t>
            </w:r>
          </w:p>
        </w:tc>
        <w:tc>
          <w:tcPr>
            <w:tcW w:type="dxa" w:w="4703"/>
            <w:shd w:val="clear" w:color="auto" w:fill="1F365D"/>
          </w:tcPr>
          <w:p>
            <w:r>
              <w:rPr>
                <w:color w:val="FFFFFF"/>
              </w:rPr>
            </w:r>
            <w:r>
              <w:rPr>
                <w:rFonts w:ascii="Arial" w:hAnsi="Arial"/>
                <w:b/>
                <w:color w:val="FFFFFF"/>
                <w:sz w:val="18"/>
              </w:rPr>
              <w:t>Objeto</w:t>
            </w:r>
          </w:p>
        </w:tc>
      </w:tr>
      <w:tr>
        <w:tc>
          <w:tcPr>
            <w:tcW w:type="dxa" w:w="4703"/>
          </w:tcPr>
          <w:p>
            <w:pPr>
              <w:jc w:val="left"/>
            </w:pPr>
            <w:r/>
            <w:r>
              <w:rPr>
                <w:rFonts w:ascii="Arial" w:hAnsi="Arial"/>
                <w:sz w:val="18"/>
              </w:rPr>
              <w:t>Ley 23 de 1982, artículo 91</w:t>
            </w:r>
          </w:p>
        </w:tc>
        <w:tc>
          <w:tcPr>
            <w:tcW w:type="dxa" w:w="4703"/>
          </w:tcPr>
          <w:p>
            <w:pPr>
              <w:jc w:val="left"/>
            </w:pPr>
            <w:r/>
            <w:r>
              <w:rPr>
                <w:rFonts w:ascii="Arial" w:hAnsi="Arial"/>
                <w:sz w:val="18"/>
              </w:rPr>
              <w:t>«Los derechos de autor sobre las obras creadas por empleados o servidores públicos, en cumplimiento de las obligaciones constitucionales y legales de su cargo, serán de propiedad de la entidad pública correspondiente. Se exceptúan de esta disposición las lecciones o conferencias de los profesores».</w:t>
            </w:r>
          </w:p>
        </w:tc>
      </w:tr>
      <w:tr>
        <w:tc>
          <w:tcPr>
            <w:tcW w:type="dxa" w:w="4703"/>
          </w:tcPr>
          <w:p>
            <w:pPr>
              <w:jc w:val="left"/>
            </w:pPr>
            <w:r/>
            <w:r>
              <w:rPr>
                <w:rFonts w:ascii="Arial" w:hAnsi="Arial"/>
                <w:sz w:val="18"/>
              </w:rPr>
              <w:t>Ley 80 de 1993 y Ley 1150 de 2007</w:t>
            </w:r>
          </w:p>
        </w:tc>
        <w:tc>
          <w:tcPr>
            <w:tcW w:type="dxa" w:w="4703"/>
          </w:tcPr>
          <w:p>
            <w:pPr>
              <w:jc w:val="left"/>
            </w:pPr>
            <w:r/>
            <w:r>
              <w:rPr>
                <w:rFonts w:ascii="Arial" w:hAnsi="Arial"/>
                <w:sz w:val="18"/>
              </w:rPr>
              <w:t>Estatuto General de Contratación de la Administración Pública; principios de planeación, responsabilidad y supervisión aplicables a la definición contractual de la propiedad intelectual.</w:t>
            </w:r>
          </w:p>
        </w:tc>
      </w:tr>
      <w:tr>
        <w:tc>
          <w:tcPr>
            <w:tcW w:type="dxa" w:w="4703"/>
          </w:tcPr>
          <w:p>
            <w:pPr>
              <w:jc w:val="left"/>
            </w:pPr>
            <w:r/>
            <w:r>
              <w:rPr>
                <w:rFonts w:ascii="Arial" w:hAnsi="Arial"/>
                <w:sz w:val="18"/>
              </w:rPr>
              <w:t>Ley 1437 de 2011 (CPACA), modificada por la Ley 2080 de 2021</w:t>
            </w:r>
          </w:p>
        </w:tc>
        <w:tc>
          <w:tcPr>
            <w:tcW w:type="dxa" w:w="4703"/>
          </w:tcPr>
          <w:p>
            <w:pPr>
              <w:jc w:val="left"/>
            </w:pPr>
            <w:r/>
            <w:r>
              <w:rPr>
                <w:rFonts w:ascii="Arial" w:hAnsi="Arial"/>
                <w:sz w:val="18"/>
              </w:rPr>
              <w:t>Procedimiento administrativo y contencioso administrativo; garantías del debido proceso administrativo.</w:t>
            </w:r>
          </w:p>
        </w:tc>
      </w:tr>
      <w:tr>
        <w:tc>
          <w:tcPr>
            <w:tcW w:type="dxa" w:w="4703"/>
          </w:tcPr>
          <w:p>
            <w:pPr>
              <w:jc w:val="left"/>
            </w:pPr>
            <w:r/>
            <w:r>
              <w:rPr>
                <w:rFonts w:ascii="Arial" w:hAnsi="Arial"/>
                <w:sz w:val="18"/>
              </w:rPr>
              <w:t>Ley 1755 de 2015</w:t>
            </w:r>
          </w:p>
        </w:tc>
        <w:tc>
          <w:tcPr>
            <w:tcW w:type="dxa" w:w="4703"/>
          </w:tcPr>
          <w:p>
            <w:pPr>
              <w:jc w:val="left"/>
            </w:pPr>
            <w:r/>
            <w:r>
              <w:rPr>
                <w:rFonts w:ascii="Arial" w:hAnsi="Arial"/>
                <w:sz w:val="18"/>
              </w:rPr>
              <w:t>Regula el derecho fundamental de petición; canal aplicable a las reclamaciones que se formulen ante la entidad.</w:t>
            </w:r>
          </w:p>
        </w:tc>
      </w:tr>
      <w:tr>
        <w:tc>
          <w:tcPr>
            <w:tcW w:type="dxa" w:w="4703"/>
          </w:tcPr>
          <w:p>
            <w:pPr>
              <w:jc w:val="left"/>
            </w:pPr>
            <w:r/>
            <w:r>
              <w:rPr>
                <w:rFonts w:ascii="Arial" w:hAnsi="Arial"/>
                <w:sz w:val="18"/>
              </w:rPr>
              <w:t>Ley 1712 de 2014 y Decreto 1081 de 2015</w:t>
            </w:r>
          </w:p>
        </w:tc>
        <w:tc>
          <w:tcPr>
            <w:tcW w:type="dxa" w:w="4703"/>
          </w:tcPr>
          <w:p>
            <w:pPr>
              <w:jc w:val="left"/>
            </w:pPr>
            <w:r/>
            <w:r>
              <w:rPr>
                <w:rFonts w:ascii="Arial" w:hAnsi="Arial"/>
                <w:sz w:val="18"/>
              </w:rPr>
              <w:t>Transparencia y derecho de acceso a la información pública nacional; obligaciones de transparencia activa y régimen de excepciones.</w:t>
            </w:r>
          </w:p>
        </w:tc>
      </w:tr>
      <w:tr>
        <w:tc>
          <w:tcPr>
            <w:tcW w:type="dxa" w:w="4703"/>
          </w:tcPr>
          <w:p>
            <w:pPr>
              <w:jc w:val="left"/>
            </w:pPr>
            <w:r/>
            <w:r>
              <w:rPr>
                <w:rFonts w:ascii="Arial" w:hAnsi="Arial"/>
                <w:sz w:val="18"/>
              </w:rPr>
              <w:t>Ley 1978 de 2019 y Decreto 1078 de 2015, Título 9 de la Parte 2 del Libro 2, modificado por el Decreto 767 de 2022</w:t>
            </w:r>
          </w:p>
        </w:tc>
        <w:tc>
          <w:tcPr>
            <w:tcW w:type="dxa" w:w="4703"/>
          </w:tcPr>
          <w:p>
            <w:pPr>
              <w:jc w:val="left"/>
            </w:pPr>
            <w:r/>
            <w:r>
              <w:rPr>
                <w:rFonts w:ascii="Arial" w:hAnsi="Arial"/>
                <w:sz w:val="18"/>
              </w:rPr>
              <w:t>Política de Gobierno Digital; lineamientos aplicables a los medios digitales de las entidades públicas.</w:t>
            </w:r>
          </w:p>
        </w:tc>
      </w:tr>
      <w:tr>
        <w:tc>
          <w:tcPr>
            <w:tcW w:type="dxa" w:w="4703"/>
          </w:tcPr>
          <w:p>
            <w:pPr>
              <w:jc w:val="left"/>
            </w:pPr>
            <w:r/>
            <w:r>
              <w:rPr>
                <w:rFonts w:ascii="Arial" w:hAnsi="Arial"/>
                <w:sz w:val="18"/>
              </w:rPr>
              <w:t>Resolución 1519 de 2020 del Ministerio de Tecnologías de la Información y las Comunicaciones</w:t>
            </w:r>
          </w:p>
        </w:tc>
        <w:tc>
          <w:tcPr>
            <w:tcW w:type="dxa" w:w="4703"/>
          </w:tcPr>
          <w:p>
            <w:pPr>
              <w:jc w:val="left"/>
            </w:pPr>
            <w:r/>
            <w:r>
              <w:rPr>
                <w:rFonts w:ascii="Arial" w:hAnsi="Arial"/>
                <w:sz w:val="18"/>
              </w:rPr>
              <w:t>Estándares y directrices para la publicación y divulgación de información, accesibilidad web, seguridad digital y datos abiertos en las sedes electrónicas; incluye la obligación de publicar las condiciones de uso del sitio.</w:t>
            </w:r>
          </w:p>
        </w:tc>
      </w:tr>
      <w:tr>
        <w:tc>
          <w:tcPr>
            <w:tcW w:type="dxa" w:w="4703"/>
          </w:tcPr>
          <w:p>
            <w:pPr>
              <w:jc w:val="left"/>
            </w:pPr>
            <w:r/>
            <w:r>
              <w:rPr>
                <w:rFonts w:ascii="Arial" w:hAnsi="Arial"/>
                <w:sz w:val="18"/>
              </w:rPr>
              <w:t>Ley 1581 de 2012 y Decreto 1074 de 2015</w:t>
            </w:r>
          </w:p>
        </w:tc>
        <w:tc>
          <w:tcPr>
            <w:tcW w:type="dxa" w:w="4703"/>
          </w:tcPr>
          <w:p>
            <w:pPr>
              <w:jc w:val="left"/>
            </w:pPr>
            <w:r/>
            <w:r>
              <w:rPr>
                <w:rFonts w:ascii="Arial" w:hAnsi="Arial"/>
                <w:sz w:val="18"/>
              </w:rPr>
              <w:t>Protección de datos personales; régimen aplicable a los datos contenidos en bases de datos, con independencia de la protección autoral de la compilación.</w:t>
            </w:r>
          </w:p>
        </w:tc>
      </w:tr>
      <w:tr>
        <w:tc>
          <w:tcPr>
            <w:tcW w:type="dxa" w:w="4703"/>
          </w:tcPr>
          <w:p>
            <w:pPr>
              <w:jc w:val="left"/>
            </w:pPr>
            <w:r/>
            <w:r>
              <w:rPr>
                <w:rFonts w:ascii="Arial" w:hAnsi="Arial"/>
                <w:sz w:val="18"/>
              </w:rPr>
              <w:t>Directiva Presidencial 02 de 2002</w:t>
            </w:r>
          </w:p>
        </w:tc>
        <w:tc>
          <w:tcPr>
            <w:tcW w:type="dxa" w:w="4703"/>
          </w:tcPr>
          <w:p>
            <w:pPr>
              <w:jc w:val="left"/>
            </w:pPr>
            <w:r/>
            <w:r>
              <w:rPr>
                <w:rFonts w:ascii="Arial" w:hAnsi="Arial"/>
                <w:sz w:val="18"/>
              </w:rPr>
              <w:t>Respeto al derecho de autor y a los derechos conexos en materia de utilización de programas de ordenador (software) en las entidades públicas; incluye el deber de reporte anual ante la Dirección Nacional de Derecho de Autor. Su alcance y las circulares que la desarrollan deben verificarse por la dependencia competente al momento del reporte.</w:t>
            </w:r>
          </w:p>
        </w:tc>
      </w:tr>
      <w:tr>
        <w:tc>
          <w:tcPr>
            <w:tcW w:type="dxa" w:w="4703"/>
          </w:tcPr>
          <w:p>
            <w:pPr>
              <w:jc w:val="left"/>
            </w:pPr>
            <w:r/>
            <w:r>
              <w:rPr>
                <w:rFonts w:ascii="Arial" w:hAnsi="Arial"/>
                <w:sz w:val="18"/>
              </w:rPr>
              <w:t>Ley 1952 de 2019 (Código General Disciplinario), modificada por la Ley 2094 de 2021</w:t>
            </w:r>
          </w:p>
        </w:tc>
        <w:tc>
          <w:tcPr>
            <w:tcW w:type="dxa" w:w="4703"/>
          </w:tcPr>
          <w:p>
            <w:pPr>
              <w:jc w:val="left"/>
            </w:pPr>
            <w:r/>
            <w:r>
              <w:rPr>
                <w:rFonts w:ascii="Arial" w:hAnsi="Arial"/>
                <w:sz w:val="18"/>
              </w:rPr>
              <w:t>Régimen disciplinario aplicable a servidores públicos y, en lo pertinente, a particulares que ejercen funciones públicas.</w:t>
            </w:r>
          </w:p>
        </w:tc>
      </w:tr>
      <w:tr>
        <w:tc>
          <w:tcPr>
            <w:tcW w:type="dxa" w:w="4703"/>
          </w:tcPr>
          <w:p>
            <w:pPr>
              <w:jc w:val="left"/>
            </w:pPr>
            <w:r/>
            <w:r>
              <w:rPr>
                <w:rFonts w:ascii="Arial" w:hAnsi="Arial"/>
                <w:sz w:val="18"/>
              </w:rPr>
              <w:t>Ley 599 de 2000 (Código Penal), Título VIII, artículos 270, 271 y 272, modificados por la Ley 1032 de 2006</w:t>
            </w:r>
          </w:p>
        </w:tc>
        <w:tc>
          <w:tcPr>
            <w:tcW w:type="dxa" w:w="4703"/>
          </w:tcPr>
          <w:p>
            <w:pPr>
              <w:jc w:val="left"/>
            </w:pPr>
            <w:r/>
            <w:r>
              <w:rPr>
                <w:rFonts w:ascii="Arial" w:hAnsi="Arial"/>
                <w:sz w:val="18"/>
              </w:rPr>
              <w:t>Delitos contra los derechos de autor. Norma de remisión; su aplicación corresponde exclusivamente a las autoridades judiciales.</w:t>
            </w:r>
          </w:p>
        </w:tc>
      </w:tr>
      <w:tr>
        <w:tc>
          <w:tcPr>
            <w:tcW w:type="dxa" w:w="4703"/>
          </w:tcPr>
          <w:p>
            <w:pPr>
              <w:jc w:val="left"/>
            </w:pPr>
            <w:r/>
            <w:r>
              <w:rPr>
                <w:rFonts w:ascii="Arial" w:hAnsi="Arial"/>
                <w:sz w:val="18"/>
              </w:rPr>
              <w:t>Ley 1273 de 2009</w:t>
            </w:r>
          </w:p>
        </w:tc>
        <w:tc>
          <w:tcPr>
            <w:tcW w:type="dxa" w:w="4703"/>
          </w:tcPr>
          <w:p>
            <w:pPr>
              <w:jc w:val="left"/>
            </w:pPr>
            <w:r/>
            <w:r>
              <w:rPr>
                <w:rFonts w:ascii="Arial" w:hAnsi="Arial"/>
                <w:sz w:val="18"/>
              </w:rPr>
              <w:t>Protección de la información y de los datos; delitos informáticos. Norma de remisión.</w:t>
            </w:r>
          </w:p>
        </w:tc>
      </w:tr>
      <w:tr>
        <w:tc>
          <w:tcPr>
            <w:tcW w:type="dxa" w:w="4703"/>
          </w:tcPr>
          <w:p>
            <w:pPr>
              <w:jc w:val="left"/>
            </w:pPr>
            <w:r/>
            <w:r>
              <w:rPr>
                <w:rFonts w:ascii="Arial" w:hAnsi="Arial"/>
                <w:sz w:val="18"/>
              </w:rPr>
              <w:t>Ley 1564 de 2012 (Código General del Proceso), artículo 24</w:t>
            </w:r>
          </w:p>
        </w:tc>
        <w:tc>
          <w:tcPr>
            <w:tcW w:type="dxa" w:w="4703"/>
          </w:tcPr>
          <w:p>
            <w:pPr>
              <w:jc w:val="left"/>
            </w:pPr>
            <w:r/>
            <w:r>
              <w:rPr>
                <w:rFonts w:ascii="Arial" w:hAnsi="Arial"/>
                <w:sz w:val="18"/>
              </w:rPr>
              <w:t>Funciones jurisdiccionales de la Dirección Nacional de Derecho de Autor en procesos relacionados con derecho de autor y derechos conexos.</w:t>
            </w:r>
          </w:p>
        </w:tc>
      </w:tr>
    </w:tbl>
    <w:p/>
    <w:p>
      <w:pPr>
        <w:pStyle w:val="Heading3"/>
      </w:pPr>
      <w:r>
        <w:rPr>
          <w:rFonts w:ascii="Arial" w:hAnsi="Arial"/>
          <w:b/>
          <w:color w:val="1F365D"/>
        </w:rPr>
      </w:r>
      <w:r>
        <w:rPr>
          <w:rFonts w:ascii="Arial" w:hAnsi="Arial"/>
          <w:b/>
          <w:color w:val="1F365D"/>
        </w:rPr>
        <w:t>6.4. Normas excluidas del marco anterior y razón de la exclusión</w:t>
      </w:r>
    </w:p>
    <w:p>
      <w:pPr>
        <w:jc w:val="both"/>
      </w:pPr>
      <w:r>
        <w:rPr>
          <w:rFonts w:ascii="Arial" w:hAnsi="Arial"/>
        </w:rPr>
        <w:t xml:space="preserve">Las siguientes referencias del documento base </w:t>
      </w:r>
      <w:r>
        <w:rPr>
          <w:rFonts w:ascii="Arial" w:hAnsi="Arial"/>
          <w:b/>
        </w:rPr>
        <w:t>no se incorporan</w:t>
      </w:r>
      <w:r>
        <w:rPr>
          <w:rFonts w:ascii="Arial" w:hAnsi="Arial"/>
        </w:rPr>
        <w:t xml:space="preserve"> por las razones que se indican:</w:t>
      </w:r>
    </w:p>
    <w:p>
      <w:pPr>
        <w:pStyle w:val="ListBullet"/>
        <w:spacing w:after="60"/>
        <w:jc w:val="both"/>
      </w:pPr>
      <w:r>
        <w:rPr>
          <w:rFonts w:ascii="Arial" w:hAnsi="Arial"/>
          <w:b/>
        </w:rPr>
        <w:t>«Ley 605 de 2000»</w:t>
      </w:r>
      <w:r>
        <w:rPr>
          <w:rFonts w:ascii="Arial" w:hAnsi="Arial"/>
        </w:rPr>
        <w:t xml:space="preserve">: la norma que adicionó el artículo 47 de la Ley 222 de 1995 en materia de cumplimiento de normas sobre propiedad intelectual y derecho de autor en el informe de gestión es la </w:t>
      </w:r>
      <w:r>
        <w:rPr>
          <w:rFonts w:ascii="Arial" w:hAnsi="Arial"/>
          <w:b/>
        </w:rPr>
        <w:t>Ley 603 de 2000</w:t>
      </w:r>
      <w:r>
        <w:rPr>
          <w:rFonts w:ascii="Arial" w:hAnsi="Arial"/>
        </w:rPr>
        <w:t>. Además, se dirige a sociedades comerciales y no resulta aplicable a una entidad territorial municipal.</w:t>
      </w:r>
    </w:p>
    <w:p>
      <w:pPr>
        <w:pStyle w:val="ListBullet"/>
        <w:spacing w:after="60"/>
        <w:jc w:val="both"/>
      </w:pPr>
      <w:r>
        <w:rPr>
          <w:rFonts w:ascii="Arial" w:hAnsi="Arial"/>
          <w:b/>
        </w:rPr>
        <w:t>«Decisión 391 de 1993 de la Comunidad Andina»</w:t>
      </w:r>
      <w:r>
        <w:rPr>
          <w:rFonts w:ascii="Arial" w:hAnsi="Arial"/>
        </w:rPr>
        <w:t xml:space="preserve">: la Decisión 391 es de </w:t>
      </w:r>
      <w:r>
        <w:rPr>
          <w:rFonts w:ascii="Arial" w:hAnsi="Arial"/>
          <w:b/>
        </w:rPr>
        <w:t>1996</w:t>
      </w:r>
      <w:r>
        <w:rPr>
          <w:rFonts w:ascii="Arial" w:hAnsi="Arial"/>
        </w:rPr>
        <w:t xml:space="preserve"> y regula el régimen común sobre acceso a los recursos genéticos; no constituye fundamento del régimen de derecho de autor.</w:t>
      </w:r>
    </w:p>
    <w:p>
      <w:pPr>
        <w:pStyle w:val="ListBullet"/>
        <w:spacing w:after="60"/>
        <w:jc w:val="both"/>
      </w:pPr>
      <w:r>
        <w:rPr>
          <w:rFonts w:ascii="Arial" w:hAnsi="Arial"/>
          <w:b/>
        </w:rPr>
        <w:t>Decisión 291 de 1991</w:t>
      </w:r>
      <w:r>
        <w:rPr>
          <w:rFonts w:ascii="Arial" w:hAnsi="Arial"/>
        </w:rPr>
        <w:t>: régimen de tratamiento a los capitales extranjeros y sobre marcas, patentes, licencias y regalías. Sin pertinencia directa para el objeto de esta política.</w:t>
      </w:r>
    </w:p>
    <w:p>
      <w:pPr>
        <w:pStyle w:val="ListBullet"/>
        <w:spacing w:after="60"/>
        <w:jc w:val="both"/>
      </w:pPr>
      <w:r>
        <w:rPr>
          <w:rFonts w:ascii="Arial" w:hAnsi="Arial"/>
          <w:b/>
        </w:rPr>
        <w:t>«Tratado sobre el Registro Internacional de Obras Audiovisuales»</w:t>
      </w:r>
      <w:r>
        <w:rPr>
          <w:rFonts w:ascii="Arial" w:hAnsi="Arial"/>
        </w:rPr>
        <w:t>: el Registro Internacional de Obras Audiovisuales administrado por la OMPI cesó operaciones y el instrumento carece de utilidad práctica actual. Se retira del marco normativo.</w:t>
      </w:r>
    </w:p>
    <w:p>
      <w:pPr>
        <w:pStyle w:val="ListBullet"/>
        <w:spacing w:after="60"/>
        <w:jc w:val="both"/>
      </w:pPr>
      <w:r>
        <w:rPr>
          <w:rFonts w:ascii="Arial" w:hAnsi="Arial"/>
          <w:b/>
        </w:rPr>
        <w:t>«Tratado de la OMPI sobre Derechos Conexos de 1996»</w:t>
      </w:r>
      <w:r>
        <w:rPr>
          <w:rFonts w:ascii="Arial" w:hAnsi="Arial"/>
        </w:rPr>
        <w:t xml:space="preserve"> descrito como relativo a «la protección de las obras y los derechos de sus autores en el entorno digital»: la descripción corresponde al Tratado de la OMPI sobre Derecho de Autor (WCT). Se corrige y se citan separadamente el WCT y el WPPT con sus leyes aprobatorias.</w:t>
      </w:r>
    </w:p>
    <w:p>
      <w:pPr>
        <w:pStyle w:val="ListBullet"/>
        <w:spacing w:after="60"/>
        <w:jc w:val="both"/>
      </w:pPr>
      <w:r>
        <w:rPr>
          <w:rFonts w:ascii="Arial" w:hAnsi="Arial"/>
          <w:b/>
        </w:rPr>
        <w:t>Referencia a las decisiones andinas como «del Acuerdo de Cartagena»</w:t>
      </w:r>
      <w:r>
        <w:rPr>
          <w:rFonts w:ascii="Arial" w:hAnsi="Arial"/>
        </w:rPr>
        <w:t>: las decisiones son adoptadas por la Comisión de la Comunidad Andina; se corrige la atribución.</w:t>
      </w:r>
    </w:p>
    <w:p>
      <w:pPr>
        <w:pStyle w:val="Heading3"/>
      </w:pPr>
      <w:r>
        <w:rPr>
          <w:rFonts w:ascii="Arial" w:hAnsi="Arial"/>
          <w:b/>
          <w:color w:val="1F365D"/>
        </w:rPr>
      </w:r>
      <w:r>
        <w:rPr>
          <w:rFonts w:ascii="Arial" w:hAnsi="Arial"/>
          <w:b/>
          <w:color w:val="1F365D"/>
        </w:rPr>
        <w:t>6.5. Referentes institucionales internos</w:t>
      </w:r>
    </w:p>
    <w:p>
      <w:pPr>
        <w:pStyle w:val="ListBullet"/>
        <w:spacing w:after="60"/>
        <w:jc w:val="both"/>
      </w:pPr>
      <w:r>
        <w:rPr>
          <w:rFonts w:ascii="Arial" w:hAnsi="Arial"/>
        </w:rPr>
        <w:t>Política de seguridad y privacidad de la información de la Alcaldía Municipal de Jamundí. «PENDIENTE DE CONFIRMACIÓN – existencia, denominación exacta y acto de adopción».</w:t>
      </w:r>
    </w:p>
    <w:p>
      <w:pPr>
        <w:pStyle w:val="ListBullet"/>
        <w:spacing w:after="60"/>
        <w:jc w:val="both"/>
      </w:pPr>
      <w:r>
        <w:rPr>
          <w:rFonts w:ascii="Arial" w:hAnsi="Arial"/>
        </w:rPr>
        <w:t>Política de tratamiento de datos personales de la Alcaldía Municipal de Jamundí. «PENDIENTE DE CONFIRMACIÓN – existencia, denominación exacta y acto de adopción».</w:t>
      </w:r>
    </w:p>
    <w:p>
      <w:pPr>
        <w:pStyle w:val="Heading2"/>
      </w:pPr>
      <w:r>
        <w:rPr>
          <w:rFonts w:ascii="Arial" w:hAnsi="Arial"/>
          <w:b/>
          <w:color w:val="1F365D"/>
        </w:rPr>
      </w:r>
      <w:r>
        <w:rPr>
          <w:rFonts w:ascii="Arial" w:hAnsi="Arial"/>
          <w:b/>
          <w:color w:val="1F365D"/>
        </w:rPr>
        <w:t>7. DERECHOS MORALES DE AUTOR</w:t>
      </w:r>
    </w:p>
    <w:p>
      <w:pPr>
        <w:pStyle w:val="Heading3"/>
      </w:pPr>
      <w:r>
        <w:rPr>
          <w:rFonts w:ascii="Arial" w:hAnsi="Arial"/>
          <w:b/>
          <w:color w:val="1F365D"/>
        </w:rPr>
      </w:r>
      <w:r>
        <w:rPr>
          <w:rFonts w:ascii="Arial" w:hAnsi="Arial"/>
          <w:b/>
          <w:color w:val="1F365D"/>
        </w:rPr>
        <w:t>7.1. Control</w:t>
      </w:r>
    </w:p>
    <w:p>
      <w:pPr>
        <w:jc w:val="both"/>
      </w:pPr>
      <w:r>
        <w:rPr>
          <w:rFonts w:ascii="Arial" w:hAnsi="Arial"/>
        </w:rPr>
        <w:t>Protección de la integridad del vínculo entre la persona natural creadora y su obra, y aseguramiento de que las actuaciones de la Alcaldía Municipal de Jamundí sobre obras protegidas no desconozcan las prerrogativas morales que la ley reconoce a los autores.</w:t>
      </w:r>
    </w:p>
    <w:p>
      <w:pPr>
        <w:pStyle w:val="Heading3"/>
      </w:pPr>
      <w:r>
        <w:rPr>
          <w:rFonts w:ascii="Arial" w:hAnsi="Arial"/>
          <w:b/>
          <w:color w:val="1F365D"/>
        </w:rPr>
      </w:r>
      <w:r>
        <w:rPr>
          <w:rFonts w:ascii="Arial" w:hAnsi="Arial"/>
          <w:b/>
          <w:color w:val="1F365D"/>
        </w:rPr>
        <w:t>7.2. Directrices</w:t>
      </w:r>
    </w:p>
    <w:p>
      <w:pPr>
        <w:jc w:val="both"/>
      </w:pPr>
      <w:r>
        <w:rPr>
          <w:rFonts w:ascii="Arial" w:hAnsi="Arial"/>
        </w:rPr>
        <w:t xml:space="preserve">Los derechos morales de autor constituyen el vínculo personal entre el autor y su obra. Conforme al artículo 30 de la Ley 23 de 1982 y al artículo 11 de la Decisión 351 de 1993, son </w:t>
      </w:r>
      <w:r>
        <w:rPr>
          <w:rFonts w:ascii="Arial" w:hAnsi="Arial"/>
          <w:b/>
        </w:rPr>
        <w:t>inalienables, irrenunciables e imprescriptibles</w:t>
      </w:r>
      <w:r>
        <w:rPr>
          <w:rFonts w:ascii="Arial" w:hAnsi="Arial"/>
        </w:rPr>
        <w:t xml:space="preserve">, permanecen en cabeza de la persona natural creadora y </w:t>
      </w:r>
      <w:r>
        <w:rPr>
          <w:rFonts w:ascii="Arial" w:hAnsi="Arial"/>
          <w:b/>
        </w:rPr>
        <w:t>no se transfieren</w:t>
      </w:r>
      <w:r>
        <w:rPr>
          <w:rFonts w:ascii="Arial" w:hAnsi="Arial"/>
        </w:rPr>
        <w:t xml:space="preserve"> por efecto de la vinculación laboral, legal o reglamentaria, ni por virtud de contrato, cesión o licencia. Su titularidad no se ve afectada por la circunstancia de que la Alcaldía Municipal de Jamundí ostente los derechos patrimoniales.</w:t>
      </w:r>
    </w:p>
    <w:p>
      <w:pPr>
        <w:jc w:val="both"/>
      </w:pPr>
      <w:r>
        <w:rPr>
          <w:rFonts w:ascii="Arial" w:hAnsi="Arial"/>
        </w:rPr>
        <w:t>En el ámbito de las entidades públicas, el ejercicio de los derechos morales se armoniza con las obligaciones institucionales del autor y con las finalidades de la función administrativa, sin que ello implique su renuncia ni su extinción. Cualquier restricción a su ejercicio debe tener fundamento legal expreso y ser interpretada de manera restrictiva.</w:t>
      </w:r>
    </w:p>
    <w:p>
      <w:pPr>
        <w:jc w:val="both"/>
      </w:pPr>
      <w:r>
        <w:rPr>
          <w:rFonts w:ascii="Arial" w:hAnsi="Arial"/>
        </w:rPr>
        <w:t>Comprenden, en particular:</w:t>
      </w:r>
    </w:p>
    <w:p>
      <w:pPr>
        <w:pStyle w:val="ListBullet"/>
        <w:spacing w:after="60"/>
        <w:jc w:val="both"/>
      </w:pPr>
      <w:r>
        <w:rPr>
          <w:rFonts w:ascii="Arial" w:hAnsi="Arial"/>
          <w:b/>
        </w:rPr>
        <w:t>Paternidad</w:t>
      </w:r>
      <w:r>
        <w:rPr>
          <w:rFonts w:ascii="Arial" w:hAnsi="Arial"/>
        </w:rPr>
        <w:t>: derecho a reivindicar en todo tiempo la autoría de la obra y a que su nombre o seudónimo se indique en ella y en sus reproducciones, copias, traducciones, modificaciones o adaptaciones.</w:t>
      </w:r>
    </w:p>
    <w:p>
      <w:pPr>
        <w:pStyle w:val="ListBullet"/>
        <w:spacing w:after="60"/>
        <w:jc w:val="both"/>
      </w:pPr>
      <w:r>
        <w:rPr>
          <w:rFonts w:ascii="Arial" w:hAnsi="Arial"/>
          <w:b/>
        </w:rPr>
        <w:t>Integridad (no deformación)</w:t>
      </w:r>
      <w:r>
        <w:rPr>
          <w:rFonts w:ascii="Arial" w:hAnsi="Arial"/>
        </w:rPr>
        <w:t>: derecho a oponerse a toda deformación, mutilación u otra modificación de la obra cuando ello pueda causar perjuicio al honor o a la reputación del autor, o demeritar la obra.</w:t>
      </w:r>
    </w:p>
    <w:p>
      <w:pPr>
        <w:pStyle w:val="ListBullet"/>
        <w:spacing w:after="60"/>
        <w:jc w:val="both"/>
      </w:pPr>
      <w:r>
        <w:rPr>
          <w:rFonts w:ascii="Arial" w:hAnsi="Arial"/>
          <w:b/>
        </w:rPr>
        <w:t>Obra inédita o anónima</w:t>
      </w:r>
      <w:r>
        <w:rPr>
          <w:rFonts w:ascii="Arial" w:hAnsi="Arial"/>
        </w:rPr>
        <w:t>: derecho a conservar la obra inédita o anónima, incluso después de su muerte, en los términos legales.</w:t>
      </w:r>
    </w:p>
    <w:p>
      <w:pPr>
        <w:pStyle w:val="ListBullet"/>
        <w:spacing w:after="60"/>
        <w:jc w:val="both"/>
      </w:pPr>
      <w:r>
        <w:rPr>
          <w:rFonts w:ascii="Arial" w:hAnsi="Arial"/>
          <w:b/>
        </w:rPr>
        <w:t>Modificación</w:t>
      </w:r>
      <w:r>
        <w:rPr>
          <w:rFonts w:ascii="Arial" w:hAnsi="Arial"/>
        </w:rPr>
        <w:t>: derecho a modificar la obra antes o después de su publicación. Conforme al parágrafo del artículo 30 de la Ley 23 de 1982, su ejercicio obliga al autor a indemnizar previamente los perjuicios que con él cause a terceros.</w:t>
      </w:r>
    </w:p>
    <w:p>
      <w:pPr>
        <w:pStyle w:val="ListBullet"/>
        <w:spacing w:after="60"/>
        <w:jc w:val="both"/>
      </w:pPr>
      <w:r>
        <w:rPr>
          <w:rFonts w:ascii="Arial" w:hAnsi="Arial"/>
          <w:b/>
        </w:rPr>
        <w:t>Retiro</w:t>
      </w:r>
      <w:r>
        <w:rPr>
          <w:rFonts w:ascii="Arial" w:hAnsi="Arial"/>
        </w:rPr>
        <w:t>: derecho a retirar la obra de la circulación o a suspender cualquier forma de utilización, aunque hubiere sido previamente autorizada, sujeto igualmente a la indemnización previa de los perjuicios que se causen.</w:t>
      </w:r>
    </w:p>
    <w:p>
      <w:pPr>
        <w:pStyle w:val="Heading3"/>
      </w:pPr>
      <w:r>
        <w:rPr>
          <w:rFonts w:ascii="Arial" w:hAnsi="Arial"/>
          <w:b/>
          <w:color w:val="1F365D"/>
        </w:rPr>
      </w:r>
      <w:r>
        <w:rPr>
          <w:rFonts w:ascii="Arial" w:hAnsi="Arial"/>
          <w:b/>
          <w:color w:val="1F365D"/>
        </w:rPr>
        <w:t>7.3. Reglas de actuación institucional</w:t>
      </w:r>
    </w:p>
    <w:p>
      <w:pPr>
        <w:jc w:val="both"/>
      </w:pPr>
      <w:r>
        <w:rPr>
          <w:rFonts w:ascii="Arial" w:hAnsi="Arial"/>
        </w:rPr>
        <w:t>En relación con los derechos morales de los autores personas naturales, la Alcaldía Municipal de Jamundí observará las siguientes reglas:</w:t>
      </w:r>
    </w:p>
    <w:p>
      <w:pPr>
        <w:pStyle w:val="ListNumber"/>
        <w:spacing w:after="60"/>
        <w:jc w:val="both"/>
      </w:pPr>
      <w:r>
        <w:rPr>
          <w:rFonts w:ascii="Arial" w:hAnsi="Arial"/>
          <w:b/>
        </w:rPr>
        <w:t>Mención de autoría.</w:t>
      </w:r>
      <w:r>
        <w:rPr>
          <w:rFonts w:ascii="Arial" w:hAnsi="Arial"/>
        </w:rPr>
        <w:t xml:space="preserve"> Se enunciará el nombre del autor o de los coautores en la obra y en sus reproducciones, copias, traducciones, modificaciones o adaptaciones, especialmente cuando se divulguen al público, salvo que el autor haya solicitado o autorizado expresamente y por escrito no ser identificado, o que la naturaleza de la obra —por ejemplo, actos administrativos, documentos de carácter oficial u obras colectivas divulgadas bajo el nombre de la entidad— haga jurídicamente improcedente o materialmente imposible la mención individual. En este último caso, la entidad conservará el registro interno de los autores en el inventario de creaciones.</w:t>
      </w:r>
    </w:p>
    <w:p>
      <w:pPr>
        <w:pStyle w:val="ListNumber"/>
        <w:spacing w:after="60"/>
        <w:jc w:val="both"/>
      </w:pPr>
      <w:r>
        <w:rPr>
          <w:rFonts w:ascii="Arial" w:hAnsi="Arial"/>
          <w:b/>
        </w:rPr>
        <w:t>Modificaciones.</w:t>
      </w:r>
      <w:r>
        <w:rPr>
          <w:rFonts w:ascii="Arial" w:hAnsi="Arial"/>
        </w:rPr>
        <w:t xml:space="preserve"> La entidad se abstendrá de realizar modificaciones de la obra que puedan causar perjuicio al honor o a la reputación del autor o demeritar la obra. Las modificaciones necesarias para la actualización, corrección, adaptación al formato institucional o cumplimiento de estándares de accesibilidad y de publicación se entenderán comprendidas dentro del uso institucional ordinario y no configuran, por sí solas, afectación del derecho de integridad.</w:t>
      </w:r>
    </w:p>
    <w:p>
      <w:pPr>
        <w:pStyle w:val="ListNumber"/>
        <w:spacing w:after="60"/>
        <w:jc w:val="both"/>
      </w:pPr>
      <w:r>
        <w:rPr>
          <w:rFonts w:ascii="Arial" w:hAnsi="Arial"/>
          <w:b/>
        </w:rPr>
        <w:t>Cláusulas para contratistas personas naturales.</w:t>
      </w:r>
      <w:r>
        <w:rPr>
          <w:rFonts w:ascii="Arial" w:hAnsi="Arial"/>
        </w:rPr>
        <w:t xml:space="preserve"> En los contratos se incluirán cláusulas mediante las cuales el contratista </w:t>
      </w:r>
      <w:r>
        <w:rPr>
          <w:rFonts w:ascii="Arial" w:hAnsi="Arial"/>
          <w:b/>
        </w:rPr>
        <w:t>autorice</w:t>
      </w:r>
      <w:r>
        <w:rPr>
          <w:rFonts w:ascii="Arial" w:hAnsi="Arial"/>
        </w:rPr>
        <w:t xml:space="preserve"> a la Alcaldía Municipal de Jamundí a divulgar, publicar, actualizar y adaptar las obras que produzca en desarrollo del objeto contractual, en la medida necesaria para el cumplimiento de los fines institucionales. Dicha autorización </w:t>
      </w:r>
      <w:r>
        <w:rPr>
          <w:rFonts w:ascii="Arial" w:hAnsi="Arial"/>
          <w:b/>
        </w:rPr>
        <w:t>no constituye renuncia a los derechos morales</w:t>
      </w:r>
      <w:r>
        <w:rPr>
          <w:rFonts w:ascii="Arial" w:hAnsi="Arial"/>
        </w:rPr>
        <w:t xml:space="preserve"> ni habilita modificaciones que puedan causar perjuicio al honor o a la reputación del autor. En consecuencia, se proscribe el uso de fórmulas que confieran a la entidad la facultad de modificar la obra «discrecionalmente» o «sin límite alguno».</w:t>
      </w:r>
    </w:p>
    <w:p>
      <w:pPr>
        <w:pStyle w:val="ListNumber"/>
        <w:spacing w:after="60"/>
        <w:jc w:val="both"/>
      </w:pPr>
      <w:r>
        <w:rPr>
          <w:rFonts w:ascii="Arial" w:hAnsi="Arial"/>
          <w:b/>
        </w:rPr>
        <w:t>Cláusulas para contratistas personas jurídicas.</w:t>
      </w:r>
      <w:r>
        <w:rPr>
          <w:rFonts w:ascii="Arial" w:hAnsi="Arial"/>
        </w:rPr>
        <w:t xml:space="preserve"> El contratista persona jurídica se obligará a obtener de sus empleados, subcontratistas y demás personas naturales que participen en la creación de las obras las autorizaciones necesarias para que la entidad pueda divulgar, publicar, actualizar y adaptar las obras en los términos del numeral anterior, y a acreditar dichas autorizaciones cuando la supervisión lo requiera. La entidad no asume responsabilidad por la omisión del contratista en la obtención de tales autorizaciones, sin perjuicio de las acciones de repetición y de las demás que resulten procedentes.</w:t>
      </w:r>
    </w:p>
    <w:p>
      <w:pPr>
        <w:pStyle w:val="ListNumber"/>
        <w:spacing w:after="60"/>
        <w:jc w:val="both"/>
      </w:pPr>
      <w:r>
        <w:rPr>
          <w:rFonts w:ascii="Arial" w:hAnsi="Arial"/>
          <w:b/>
        </w:rPr>
        <w:t>Prohibición de cláusulas abusivas.</w:t>
      </w:r>
      <w:r>
        <w:rPr>
          <w:rFonts w:ascii="Arial" w:hAnsi="Arial"/>
        </w:rPr>
        <w:t xml:space="preserve"> No se incorporarán en contratos, convenios ni acuerdos cláusulas que impliquen renuncia, cesión, transferencia o limitación general de los derechos morales de autor, ni que autoricen a la entidad a suprimir la mención de autoría cuando esta sea jurídicamente exigible. Tales cláusulas serían ineficaces por contrariar normas imperativas.</w:t>
      </w:r>
    </w:p>
    <w:p>
      <w:pPr>
        <w:pStyle w:val="ListNumber"/>
        <w:spacing w:after="60"/>
        <w:jc w:val="both"/>
      </w:pPr>
      <w:r>
        <w:rPr>
          <w:rFonts w:ascii="Arial" w:hAnsi="Arial"/>
          <w:b/>
        </w:rPr>
        <w:t>Obras de servidores públicos.</w:t>
      </w:r>
      <w:r>
        <w:rPr>
          <w:rFonts w:ascii="Arial" w:hAnsi="Arial"/>
        </w:rPr>
        <w:t xml:space="preserve"> El hecho de que los derechos patrimoniales sobre las obras creadas por servidores públicos en cumplimiento de las obligaciones constitucionales y legales de su cargo pertenezcan a la entidad, conforme al artículo 91 de la Ley 23 de 1982, no afecta los derechos morales del servidor autor.</w:t>
      </w:r>
    </w:p>
    <w:p>
      <w:pPr>
        <w:pStyle w:val="ListNumber"/>
        <w:spacing w:after="60"/>
        <w:jc w:val="both"/>
      </w:pPr>
      <w:r>
        <w:rPr>
          <w:rFonts w:ascii="Arial" w:hAnsi="Arial"/>
          <w:b/>
        </w:rPr>
        <w:t>Excepción legal expresa.</w:t>
      </w:r>
      <w:r>
        <w:rPr>
          <w:rFonts w:ascii="Arial" w:hAnsi="Arial"/>
        </w:rPr>
        <w:t xml:space="preserve"> Conforme al artículo 91 de la Ley 23 de 1982, se exceptúan del régimen de titularidad institucional las lecciones o conferencias de los profesores.</w:t>
      </w:r>
    </w:p>
    <w:p>
      <w:pPr>
        <w:pStyle w:val="Heading2"/>
      </w:pPr>
      <w:r>
        <w:rPr>
          <w:rFonts w:ascii="Arial" w:hAnsi="Arial"/>
          <w:b/>
          <w:color w:val="1F365D"/>
        </w:rPr>
      </w:r>
      <w:r>
        <w:rPr>
          <w:rFonts w:ascii="Arial" w:hAnsi="Arial"/>
          <w:b/>
          <w:color w:val="1F365D"/>
        </w:rPr>
        <w:t>8. DERECHOS PATRIMONIALES DE AUTOR</w:t>
      </w:r>
    </w:p>
    <w:p>
      <w:pPr>
        <w:pStyle w:val="Heading3"/>
      </w:pPr>
      <w:r>
        <w:rPr>
          <w:rFonts w:ascii="Arial" w:hAnsi="Arial"/>
          <w:b/>
          <w:color w:val="1F365D"/>
        </w:rPr>
      </w:r>
      <w:r>
        <w:rPr>
          <w:rFonts w:ascii="Arial" w:hAnsi="Arial"/>
          <w:b/>
          <w:color w:val="1F365D"/>
        </w:rPr>
        <w:t>8.1. Control</w:t>
      </w:r>
    </w:p>
    <w:p>
      <w:pPr>
        <w:jc w:val="both"/>
      </w:pPr>
      <w:r>
        <w:rPr>
          <w:rFonts w:ascii="Arial" w:hAnsi="Arial"/>
        </w:rPr>
        <w:t>Protección de los derechos patrimoniales de los que la Alcaldía Municipal de Jamundí sea titular sobre obras protegidas por el derecho de autor, y verificación del título jurídico que sustenta el uso de obras de terceros por parte de la entidad.</w:t>
      </w:r>
    </w:p>
    <w:p>
      <w:pPr>
        <w:pStyle w:val="Heading3"/>
      </w:pPr>
      <w:r>
        <w:rPr>
          <w:rFonts w:ascii="Arial" w:hAnsi="Arial"/>
          <w:b/>
          <w:color w:val="1F365D"/>
        </w:rPr>
      </w:r>
      <w:r>
        <w:rPr>
          <w:rFonts w:ascii="Arial" w:hAnsi="Arial"/>
          <w:b/>
          <w:color w:val="1F365D"/>
        </w:rPr>
        <w:t>8.2. Directrices</w:t>
      </w:r>
    </w:p>
    <w:p>
      <w:pPr>
        <w:jc w:val="both"/>
      </w:pPr>
      <w:r>
        <w:rPr>
          <w:rFonts w:ascii="Arial" w:hAnsi="Arial"/>
        </w:rPr>
        <w:t>Los derechos patrimoniales de autor permiten al titular obtener provecho económico de la obra y disponer de ella. Son transferibles, renunciables, susceptibles de gravamen y de sucesión por causa de muerte, y tienen la duración que la ley establece. Se distinguen:</w:t>
      </w:r>
    </w:p>
    <w:p>
      <w:pPr>
        <w:pStyle w:val="ListBullet"/>
        <w:spacing w:after="60"/>
        <w:jc w:val="both"/>
      </w:pPr>
      <w:r>
        <w:rPr>
          <w:rFonts w:ascii="Arial" w:hAnsi="Arial"/>
          <w:b/>
        </w:rPr>
        <w:t>Derechos patrimoniales exclusivos</w:t>
      </w:r>
      <w:r>
        <w:rPr>
          <w:rFonts w:ascii="Arial" w:hAnsi="Arial"/>
        </w:rPr>
        <w:t>, cuyo ejercicio requiere autorización previa y expresa del titular; y</w:t>
      </w:r>
    </w:p>
    <w:p>
      <w:pPr>
        <w:pStyle w:val="ListBullet"/>
        <w:spacing w:after="60"/>
        <w:jc w:val="both"/>
      </w:pPr>
      <w:r>
        <w:rPr>
          <w:rFonts w:ascii="Arial" w:hAnsi="Arial"/>
          <w:b/>
        </w:rPr>
        <w:t>Derechos de simple o mera remuneración</w:t>
      </w:r>
      <w:r>
        <w:rPr>
          <w:rFonts w:ascii="Arial" w:hAnsi="Arial"/>
        </w:rPr>
        <w:t>, que no otorgan facultad de prohibir el uso, sino el derecho a percibir una contraprestación en los casos previstos en la ley.</w:t>
      </w:r>
    </w:p>
    <w:p>
      <w:pPr>
        <w:jc w:val="both"/>
      </w:pPr>
      <w:r>
        <w:rPr>
          <w:rFonts w:ascii="Arial" w:hAnsi="Arial"/>
        </w:rPr>
        <w:t>Cuando el titular es la Alcaldía Municipal de Jamundí, el ejercicio de estos derechos se sujeta al régimen de los bienes y del patrimonio público, a los principios de la función administrativa y al deber de conservación del patrimonio.</w:t>
      </w:r>
    </w:p>
    <w:p>
      <w:pPr>
        <w:pStyle w:val="Heading3"/>
      </w:pPr>
      <w:r>
        <w:rPr>
          <w:rFonts w:ascii="Arial" w:hAnsi="Arial"/>
          <w:b/>
          <w:color w:val="1F365D"/>
        </w:rPr>
      </w:r>
      <w:r>
        <w:rPr>
          <w:rFonts w:ascii="Arial" w:hAnsi="Arial"/>
          <w:b/>
          <w:color w:val="1F365D"/>
        </w:rPr>
        <w:t>8.3. Derechos patrimoniales exclusivos</w:t>
      </w:r>
    </w:p>
    <w:p>
      <w:pPr>
        <w:jc w:val="both"/>
      </w:pPr>
      <w:r>
        <w:rPr>
          <w:rFonts w:ascii="Arial" w:hAnsi="Arial"/>
        </w:rPr>
        <w:t>Son derechos patrimoniales exclusivos, entre otros, los siguientes:</w:t>
      </w:r>
    </w:p>
    <w:tbl>
      <w:tblPr>
        <w:tblStyle w:val="TableGrid"/>
        <w:tblW w:type="auto" w:w="0"/>
        <w:jc w:val="center"/>
        <w:tblLayout w:type="autofit"/>
        <w:tblLook w:firstColumn="1" w:firstRow="1" w:lastColumn="0" w:lastRow="0" w:noHBand="0" w:noVBand="1" w:val="04A0"/>
      </w:tblPr>
      <w:tblGrid>
        <w:gridCol w:w="4703"/>
        <w:gridCol w:w="4703"/>
      </w:tblGrid>
      <w:tr>
        <w:trPr>
          <w:tblHeader w:val="true"/>
        </w:trPr>
        <w:tc>
          <w:tcPr>
            <w:tcW w:type="dxa" w:w="4703"/>
            <w:shd w:val="clear" w:color="auto" w:fill="1F365D"/>
          </w:tcPr>
          <w:p>
            <w:r>
              <w:rPr>
                <w:color w:val="FFFFFF"/>
              </w:rPr>
            </w:r>
            <w:r>
              <w:rPr>
                <w:rFonts w:ascii="Arial" w:hAnsi="Arial"/>
                <w:b/>
                <w:color w:val="FFFFFF"/>
                <w:sz w:val="18"/>
              </w:rPr>
              <w:t>Derecho</w:t>
            </w:r>
          </w:p>
        </w:tc>
        <w:tc>
          <w:tcPr>
            <w:tcW w:type="dxa" w:w="4703"/>
            <w:shd w:val="clear" w:color="auto" w:fill="1F365D"/>
          </w:tcPr>
          <w:p>
            <w:r>
              <w:rPr>
                <w:color w:val="FFFFFF"/>
              </w:rPr>
            </w:r>
            <w:r>
              <w:rPr>
                <w:rFonts w:ascii="Arial" w:hAnsi="Arial"/>
                <w:b/>
                <w:color w:val="FFFFFF"/>
                <w:sz w:val="18"/>
              </w:rPr>
              <w:t>Contenido</w:t>
            </w:r>
          </w:p>
        </w:tc>
      </w:tr>
      <w:tr>
        <w:tc>
          <w:tcPr>
            <w:tcW w:type="dxa" w:w="4703"/>
          </w:tcPr>
          <w:p>
            <w:pPr>
              <w:jc w:val="left"/>
            </w:pPr>
            <w:r/>
            <w:r>
              <w:rPr>
                <w:rFonts w:ascii="Arial" w:hAnsi="Arial"/>
                <w:b/>
                <w:sz w:val="18"/>
              </w:rPr>
              <w:t>Reproducción</w:t>
            </w:r>
          </w:p>
        </w:tc>
        <w:tc>
          <w:tcPr>
            <w:tcW w:type="dxa" w:w="4703"/>
          </w:tcPr>
          <w:p>
            <w:pPr>
              <w:jc w:val="left"/>
            </w:pPr>
            <w:r/>
            <w:r>
              <w:rPr>
                <w:rFonts w:ascii="Arial" w:hAnsi="Arial"/>
                <w:sz w:val="18"/>
              </w:rPr>
              <w:t>Fijación de la obra en un medio que permita su comunicación u obtención de copias, total o parcialmente, por cualquier medio o forma, incluidos el almacenamiento digital y las copias físicas.</w:t>
            </w:r>
          </w:p>
        </w:tc>
      </w:tr>
      <w:tr>
        <w:tc>
          <w:tcPr>
            <w:tcW w:type="dxa" w:w="4703"/>
          </w:tcPr>
          <w:p>
            <w:pPr>
              <w:jc w:val="left"/>
            </w:pPr>
            <w:r/>
            <w:r>
              <w:rPr>
                <w:rFonts w:ascii="Arial" w:hAnsi="Arial"/>
                <w:b/>
                <w:sz w:val="18"/>
              </w:rPr>
              <w:t>Comunicación pública</w:t>
            </w:r>
          </w:p>
        </w:tc>
        <w:tc>
          <w:tcPr>
            <w:tcW w:type="dxa" w:w="4703"/>
          </w:tcPr>
          <w:p>
            <w:pPr>
              <w:jc w:val="left"/>
            </w:pPr>
            <w:r/>
            <w:r>
              <w:rPr>
                <w:rFonts w:ascii="Arial" w:hAnsi="Arial"/>
                <w:sz w:val="18"/>
              </w:rPr>
              <w:t>Todo acto por el cual una pluralidad de personas puede tener acceso a la obra sin previa distribución de ejemplares, incluida la puesta a disposición en línea de manera que cada persona pueda acceder a ella desde el lugar y en el momento que elija.</w:t>
            </w:r>
          </w:p>
        </w:tc>
      </w:tr>
      <w:tr>
        <w:tc>
          <w:tcPr>
            <w:tcW w:type="dxa" w:w="4703"/>
          </w:tcPr>
          <w:p>
            <w:pPr>
              <w:jc w:val="left"/>
            </w:pPr>
            <w:r/>
            <w:r>
              <w:rPr>
                <w:rFonts w:ascii="Arial" w:hAnsi="Arial"/>
                <w:b/>
                <w:sz w:val="18"/>
              </w:rPr>
              <w:t>Transformación</w:t>
            </w:r>
          </w:p>
        </w:tc>
        <w:tc>
          <w:tcPr>
            <w:tcW w:type="dxa" w:w="4703"/>
          </w:tcPr>
          <w:p>
            <w:pPr>
              <w:jc w:val="left"/>
            </w:pPr>
            <w:r/>
            <w:r>
              <w:rPr>
                <w:rFonts w:ascii="Arial" w:hAnsi="Arial"/>
                <w:sz w:val="18"/>
              </w:rPr>
              <w:t>Adaptación, traducción, arreglo o cualquier otra modificación de la obra de la que resulte una obra derivada.</w:t>
            </w:r>
          </w:p>
        </w:tc>
      </w:tr>
      <w:tr>
        <w:tc>
          <w:tcPr>
            <w:tcW w:type="dxa" w:w="4703"/>
          </w:tcPr>
          <w:p>
            <w:pPr>
              <w:jc w:val="left"/>
            </w:pPr>
            <w:r/>
            <w:r>
              <w:rPr>
                <w:rFonts w:ascii="Arial" w:hAnsi="Arial"/>
                <w:b/>
                <w:sz w:val="18"/>
              </w:rPr>
              <w:t>Distribución</w:t>
            </w:r>
          </w:p>
        </w:tc>
        <w:tc>
          <w:tcPr>
            <w:tcW w:type="dxa" w:w="4703"/>
          </w:tcPr>
          <w:p>
            <w:pPr>
              <w:jc w:val="left"/>
            </w:pPr>
            <w:r/>
            <w:r>
              <w:rPr>
                <w:rFonts w:ascii="Arial" w:hAnsi="Arial"/>
                <w:sz w:val="18"/>
              </w:rPr>
              <w:t>Puesta a disposición del público del original o de copias de la obra mediante venta, alquiler, préstamo público o cualquier otra forma de transferencia de la propiedad o posesión.</w:t>
            </w:r>
          </w:p>
        </w:tc>
      </w:tr>
      <w:tr>
        <w:tc>
          <w:tcPr>
            <w:tcW w:type="dxa" w:w="4703"/>
          </w:tcPr>
          <w:p>
            <w:pPr>
              <w:jc w:val="left"/>
            </w:pPr>
            <w:r/>
            <w:r>
              <w:rPr>
                <w:rFonts w:ascii="Arial" w:hAnsi="Arial"/>
                <w:b/>
                <w:sz w:val="18"/>
              </w:rPr>
              <w:t>Importación</w:t>
            </w:r>
          </w:p>
        </w:tc>
        <w:tc>
          <w:tcPr>
            <w:tcW w:type="dxa" w:w="4703"/>
          </w:tcPr>
          <w:p>
            <w:pPr>
              <w:jc w:val="left"/>
            </w:pPr>
            <w:r/>
            <w:r>
              <w:rPr>
                <w:rFonts w:ascii="Arial" w:hAnsi="Arial"/>
                <w:sz w:val="18"/>
              </w:rPr>
              <w:t>Importación al territorio nacional de copias de la obra, en los términos del artículo 13 de la Decisión 351 de 1993.</w:t>
            </w:r>
          </w:p>
        </w:tc>
      </w:tr>
    </w:tbl>
    <w:p/>
    <w:p>
      <w:pPr>
        <w:pStyle w:val="Heading3"/>
      </w:pPr>
      <w:r>
        <w:rPr>
          <w:rFonts w:ascii="Arial" w:hAnsi="Arial"/>
          <w:b/>
          <w:color w:val="1F365D"/>
        </w:rPr>
      </w:r>
      <w:r>
        <w:rPr>
          <w:rFonts w:ascii="Arial" w:hAnsi="Arial"/>
          <w:b/>
          <w:color w:val="1F365D"/>
        </w:rPr>
        <w:t>8.4. Limitaciones y excepciones</w:t>
      </w:r>
    </w:p>
    <w:p>
      <w:pPr>
        <w:jc w:val="both"/>
      </w:pPr>
      <w:r>
        <w:rPr>
          <w:rFonts w:ascii="Arial" w:hAnsi="Arial"/>
        </w:rPr>
        <w:t>El ejercicio de los derechos patrimoniales está sujeto a las limitaciones y excepciones previstas en los artículos 31 a 44 de la Ley 23 de 1982 —modificados y adicionados, entre otras, por la Ley 1915 de 2018— y en el Capítulo VIII de la Decisión 351 de 1993, las cuales se interpretan de manera restrictiva y bajo la regla de los tres pasos: solo proceden en casos especiales, que no atenten contra la explotación normal de la obra ni causen perjuicio injustificado a los intereses legítimos del titular.</w:t>
      </w:r>
    </w:p>
    <w:p>
      <w:pPr>
        <w:jc w:val="both"/>
      </w:pPr>
      <w:r>
        <w:rPr>
          <w:rFonts w:ascii="Arial" w:hAnsi="Arial"/>
        </w:rPr>
        <w:t>La Alcaldía Municipal de Jamundí podrá invocar dichas limitaciones y excepciones cuando concurran sus supuestos, previa verificación por la dependencia competente. La invocación de una excepción no exime del deber de mencionar la fuente y el nombre del autor cuando la norma así lo exija.</w:t>
      </w:r>
    </w:p>
    <w:p>
      <w:pPr>
        <w:pStyle w:val="Heading3"/>
      </w:pPr>
      <w:r>
        <w:rPr>
          <w:rFonts w:ascii="Arial" w:hAnsi="Arial"/>
          <w:b/>
          <w:color w:val="1F365D"/>
        </w:rPr>
      </w:r>
      <w:r>
        <w:rPr>
          <w:rFonts w:ascii="Arial" w:hAnsi="Arial"/>
          <w:b/>
          <w:color w:val="1F365D"/>
        </w:rPr>
        <w:t>8.5. Titularidad de la Alcaldía Municipal de Jamundí sobre derechos patrimoniales</w:t>
      </w:r>
    </w:p>
    <w:p>
      <w:pPr>
        <w:jc w:val="both"/>
      </w:pPr>
      <w:r>
        <w:rPr>
          <w:rFonts w:ascii="Arial" w:hAnsi="Arial"/>
        </w:rPr>
        <w:t xml:space="preserve">La Alcaldía Municipal de Jamundí será titular de los derechos patrimoniales sobre obras literarias y artísticas —incluidos el software y las bases de datos originales— </w:t>
      </w:r>
      <w:r>
        <w:rPr>
          <w:rFonts w:ascii="Arial" w:hAnsi="Arial"/>
          <w:b/>
        </w:rPr>
        <w:t>únicamente cuando exista un fundamento legal o contractual que así lo determine</w:t>
      </w:r>
      <w:r>
        <w:rPr>
          <w:rFonts w:ascii="Arial" w:hAnsi="Arial"/>
        </w:rPr>
        <w:t>. En particular, en los siguientes supuestos:</w:t>
      </w:r>
    </w:p>
    <w:p>
      <w:pPr>
        <w:pStyle w:val="ListNumber"/>
        <w:spacing w:after="60"/>
        <w:jc w:val="both"/>
      </w:pPr>
      <w:r>
        <w:rPr>
          <w:rFonts w:ascii="Arial" w:hAnsi="Arial"/>
          <w:b/>
        </w:rPr>
        <w:t>Obras creadas por servidores públicos</w:t>
      </w:r>
      <w:r>
        <w:rPr>
          <w:rFonts w:ascii="Arial" w:hAnsi="Arial"/>
        </w:rPr>
        <w:t xml:space="preserve"> en cumplimiento de las obligaciones constitucionales y legales de su cargo, conforme al artículo 91 de la Ley 23 de 1982. La titularidad opera por ministerio de la ley y no requiere pacto adicional, pero exige que la obra se haya creado efectivamente en cumplimiento de las funciones del cargo. Se exceptúan las lecciones o conferencias de los profesores.</w:t>
      </w:r>
    </w:p>
    <w:p>
      <w:pPr>
        <w:pStyle w:val="ListNumber"/>
        <w:spacing w:after="60"/>
        <w:jc w:val="both"/>
      </w:pPr>
      <w:r>
        <w:rPr>
          <w:rFonts w:ascii="Arial" w:hAnsi="Arial"/>
          <w:b/>
        </w:rPr>
        <w:t>Obras creadas por contratistas o por terceros en desarrollo del objeto contractual</w:t>
      </w:r>
      <w:r>
        <w:rPr>
          <w:rFonts w:ascii="Arial" w:hAnsi="Arial"/>
        </w:rPr>
        <w:t xml:space="preserve">, respecto de las cuales opera la presunción de transferencia de derechos patrimoniales del artículo 20 de la Ley 23 de 1982, modificado por el artículo 28 de la Ley 1450 de 2011, </w:t>
      </w:r>
      <w:r>
        <w:rPr>
          <w:rFonts w:ascii="Arial" w:hAnsi="Arial"/>
          <w:b/>
        </w:rPr>
        <w:t>salvo pacto en contrario y en la medida necesaria para el ejercicio de las actividades habituales de la entidad en la época de creación de la obra</w:t>
      </w:r>
      <w:r>
        <w:rPr>
          <w:rFonts w:ascii="Arial" w:hAnsi="Arial"/>
        </w:rPr>
        <w:t xml:space="preserve">. Dado que la presunción legal es limitada en su alcance y admite prueba en contrario, la entidad </w:t>
      </w:r>
      <w:r>
        <w:rPr>
          <w:rFonts w:ascii="Arial" w:hAnsi="Arial"/>
          <w:b/>
        </w:rPr>
        <w:t>deberá pactar expresamente</w:t>
      </w:r>
      <w:r>
        <w:rPr>
          <w:rFonts w:ascii="Arial" w:hAnsi="Arial"/>
        </w:rPr>
        <w:t xml:space="preserve"> en el contrato la cesión o la licencia, con determinación de modalidades, término, territorio y alcance, de conformidad con el capítulo 9 de esta política.</w:t>
      </w:r>
    </w:p>
    <w:p>
      <w:pPr>
        <w:pStyle w:val="ListNumber"/>
        <w:spacing w:after="60"/>
        <w:jc w:val="both"/>
      </w:pPr>
      <w:r>
        <w:rPr>
          <w:rFonts w:ascii="Arial" w:hAnsi="Arial"/>
          <w:b/>
        </w:rPr>
        <w:t>Obras producto de la ejecución de contratos o convenios específicamente celebrados para la elaboración de obras científicas, literarias, artísticas o de software</w:t>
      </w:r>
      <w:r>
        <w:rPr>
          <w:rFonts w:ascii="Arial" w:hAnsi="Arial"/>
        </w:rPr>
        <w:t>, cuando así se haya pactado. La titularidad debe quedar expresamente definida en el respectivo instrumento.</w:t>
      </w:r>
    </w:p>
    <w:p>
      <w:pPr>
        <w:pStyle w:val="ListNumber"/>
        <w:spacing w:after="60"/>
        <w:jc w:val="both"/>
      </w:pPr>
      <w:r>
        <w:rPr>
          <w:rFonts w:ascii="Arial" w:hAnsi="Arial"/>
          <w:b/>
        </w:rPr>
        <w:t>Obras colectivas</w:t>
      </w:r>
      <w:r>
        <w:rPr>
          <w:rFonts w:ascii="Arial" w:hAnsi="Arial"/>
        </w:rPr>
        <w:t xml:space="preserve"> coordinadas, divulgadas, publicadas o editadas por la Alcaldía Municipal de Jamundí bajo su nombre, por iniciativa y bajo su orientación, cuando concurran los elementos de la obra colectiva y se hayan pactado las condiciones con los aportantes.</w:t>
      </w:r>
    </w:p>
    <w:p>
      <w:pPr>
        <w:pStyle w:val="ListNumber"/>
        <w:spacing w:after="60"/>
        <w:jc w:val="both"/>
      </w:pPr>
      <w:r>
        <w:rPr>
          <w:rFonts w:ascii="Arial" w:hAnsi="Arial"/>
          <w:b/>
        </w:rPr>
        <w:t>Obras cuyos derechos patrimoniales hayan sido cedidos o transferidos</w:t>
      </w:r>
      <w:r>
        <w:rPr>
          <w:rFonts w:ascii="Arial" w:hAnsi="Arial"/>
        </w:rPr>
        <w:t xml:space="preserve"> a la entidad, total o parcialmente, mediante instrumento jurídico válido y con las solemnidades legales.</w:t>
      </w:r>
    </w:p>
    <w:p>
      <w:pPr>
        <w:pStyle w:val="ListNumber"/>
        <w:spacing w:after="60"/>
        <w:jc w:val="both"/>
      </w:pPr>
      <w:r>
        <w:rPr>
          <w:rFonts w:ascii="Arial" w:hAnsi="Arial"/>
          <w:b/>
        </w:rPr>
        <w:t>Obras cuyos derechos hayan sido adquiridos por sucesión o legado por causa de muerte</w:t>
      </w:r>
      <w:r>
        <w:rPr>
          <w:rFonts w:ascii="Arial" w:hAnsi="Arial"/>
        </w:rPr>
        <w:t>, cuando ello proceda.</w:t>
      </w:r>
    </w:p>
    <w:p>
      <w:pPr>
        <w:jc w:val="both"/>
      </w:pPr>
      <w:r>
        <w:rPr>
          <w:rFonts w:ascii="Arial" w:hAnsi="Arial"/>
        </w:rPr>
        <w:t>En los supuestos de los numerales 2, 3, 4 y 5, la titularidad institucional deberá quedar consignada en contrato o convenio debidamente perfeccionado, con determinación previa de las condiciones de producción, las contraprestaciones y el plan de elaboración de la obra, así como de la asignación de riesgos.</w:t>
      </w:r>
    </w:p>
    <w:p>
      <w:pPr>
        <w:spacing w:before="120" w:after="200"/>
        <w:ind w:left="340" w:right="227"/>
        <w:jc w:val="both"/>
        <w:pBdr>
          <w:left w:val="single" w:sz="18" w:space="8" w:color="1F365D"/>
        </w:pBdr>
      </w:pPr>
      <w:r>
        <w:rPr>
          <w:rFonts w:ascii="Arial" w:hAnsi="Arial"/>
          <w:b/>
          <w:color w:val="444444"/>
          <w:sz w:val="19"/>
        </w:rPr>
        <w:t>Advertencia de riesgo.</w:t>
      </w:r>
      <w:r>
        <w:rPr>
          <w:rFonts w:ascii="Arial" w:hAnsi="Arial"/>
          <w:color w:val="444444"/>
          <w:sz w:val="19"/>
        </w:rPr>
        <w:t xml:space="preserve"> No procede afirmar que las obras creadas por «servidores públicos y colaboradores» se presumen cedidas «desde el momento del nacimiento de la obra». El artículo 91 de la Ley 23 de 1982 se refiere exclusivamente a empleados y servidores públicos y opera respecto de obras creadas en cumplimiento de las obligaciones constitucionales y legales del cargo; no cubre a contratistas ni a terceros, cuya situación se rige por el artículo 20 de la Ley 23 de 1982, modificado por el artículo 28 de la Ley 1450 de 2011, y por lo pactado. Extender la titularidad institucional más allá de esos supuestos expondría a la entidad a controversias por indebida atribución de titularidad.</w:t>
      </w:r>
    </w:p>
    <w:p>
      <w:pPr>
        <w:pStyle w:val="Heading3"/>
      </w:pPr>
      <w:r>
        <w:rPr>
          <w:rFonts w:ascii="Arial" w:hAnsi="Arial"/>
          <w:b/>
          <w:color w:val="1F365D"/>
        </w:rPr>
      </w:r>
      <w:r>
        <w:rPr>
          <w:rFonts w:ascii="Arial" w:hAnsi="Arial"/>
          <w:b/>
          <w:color w:val="1F365D"/>
        </w:rPr>
        <w:t>8.6. Uso por la Alcaldía de obras de titularidad de terceros</w:t>
      </w:r>
    </w:p>
    <w:p>
      <w:pPr>
        <w:jc w:val="both"/>
      </w:pPr>
      <w:r>
        <w:rPr>
          <w:rFonts w:ascii="Arial" w:hAnsi="Arial"/>
        </w:rPr>
        <w:t>Cuando la Alcaldía Municipal de Jamundí utilice obras cuya titularidad corresponde a terceros, deberá contar previamente con:</w:t>
      </w:r>
    </w:p>
    <w:p>
      <w:pPr>
        <w:pStyle w:val="ListBullet"/>
        <w:spacing w:after="60"/>
        <w:jc w:val="both"/>
      </w:pPr>
      <w:r>
        <w:rPr>
          <w:rFonts w:ascii="Arial" w:hAnsi="Arial"/>
        </w:rPr>
        <w:t>licencia o autorización escrita del titular, con determinación expresa de modalidades, término, territorio y alcance; o</w:t>
      </w:r>
    </w:p>
    <w:p>
      <w:pPr>
        <w:pStyle w:val="ListBullet"/>
        <w:spacing w:after="60"/>
        <w:jc w:val="both"/>
      </w:pPr>
      <w:r>
        <w:rPr>
          <w:rFonts w:ascii="Arial" w:hAnsi="Arial"/>
        </w:rPr>
        <w:t>una licencia de contenido abierto o libre, verificando y cumpliendo sus condiciones —en especial las de atribución, uso comercial y obras derivadas—; o</w:t>
      </w:r>
    </w:p>
    <w:p>
      <w:pPr>
        <w:pStyle w:val="ListBullet"/>
        <w:spacing w:after="60"/>
        <w:jc w:val="both"/>
      </w:pPr>
      <w:r>
        <w:rPr>
          <w:rFonts w:ascii="Arial" w:hAnsi="Arial"/>
        </w:rPr>
        <w:t>el amparo de una limitación o excepción legalmente aplicable al caso concreto.</w:t>
      </w:r>
    </w:p>
    <w:p>
      <w:pPr>
        <w:jc w:val="both"/>
      </w:pPr>
      <w:r>
        <w:rPr>
          <w:rFonts w:ascii="Arial" w:hAnsi="Arial"/>
        </w:rPr>
        <w:t>Cuando el uso de la obra requiera el pago de derechos a una sociedad de gestión colectiva legalmente constituida y habilitada para operar en el país, la entidad tramitará la respectiva licencia y efectuará el pago que corresponda, previa verificación de la legitimación de la sociedad y del catálogo administrado.</w:t>
      </w:r>
    </w:p>
    <w:p>
      <w:pPr>
        <w:pStyle w:val="Heading2"/>
      </w:pPr>
      <w:r>
        <w:rPr>
          <w:rFonts w:ascii="Arial" w:hAnsi="Arial"/>
          <w:b/>
          <w:color w:val="1F365D"/>
        </w:rPr>
      </w:r>
      <w:r>
        <w:rPr>
          <w:rFonts w:ascii="Arial" w:hAnsi="Arial"/>
          <w:b/>
          <w:color w:val="1F365D"/>
        </w:rPr>
        <w:t>9. CONTRATACIÓN Y CONVENIOS</w:t>
      </w:r>
    </w:p>
    <w:p>
      <w:pPr>
        <w:jc w:val="both"/>
      </w:pPr>
      <w:r>
        <w:rPr>
          <w:rFonts w:ascii="Arial" w:hAnsi="Arial"/>
        </w:rPr>
        <w:t>La definición de la propiedad intelectual en los procesos de contratación es una obligación de planeación, en los términos de la Ley 80 de 1993 y de la Ley 1150 de 2007. En consecuencia, en los procesos de contratación o adquisición y en el desarrollo de proyectos, convenios de cooperación u otros acuerdos con contratistas, consultores, proveedores, investigadores, instituciones de educación superior, organismos internacionales o personas de naturaleza pública o privada, se observarán las siguientes reglas.</w:t>
      </w:r>
    </w:p>
    <w:p>
      <w:pPr>
        <w:pStyle w:val="Heading3"/>
      </w:pPr>
      <w:r>
        <w:rPr>
          <w:rFonts w:ascii="Arial" w:hAnsi="Arial"/>
          <w:b/>
          <w:color w:val="1F365D"/>
        </w:rPr>
      </w:r>
      <w:r>
        <w:rPr>
          <w:rFonts w:ascii="Arial" w:hAnsi="Arial"/>
          <w:b/>
          <w:color w:val="1F365D"/>
        </w:rPr>
        <w:t>9.1. Definición previa</w:t>
      </w:r>
    </w:p>
    <w:p>
      <w:pPr>
        <w:pStyle w:val="ListNumber"/>
        <w:spacing w:after="60"/>
        <w:jc w:val="both"/>
      </w:pPr>
      <w:r>
        <w:rPr>
          <w:rFonts w:ascii="Arial" w:hAnsi="Arial"/>
        </w:rPr>
        <w:t>Definir desde los estudios previos y los documentos del proceso los aspectos de titularidad de la propiedad intelectual asociados al objeto contractual.</w:t>
      </w:r>
    </w:p>
    <w:p>
      <w:pPr>
        <w:pStyle w:val="ListNumber"/>
        <w:spacing w:after="60"/>
        <w:jc w:val="both"/>
      </w:pPr>
      <w:r>
        <w:rPr>
          <w:rFonts w:ascii="Arial" w:hAnsi="Arial"/>
        </w:rPr>
        <w:t>Identificar los activos de propiedad intelectual que se generarán o se utilizarán, su categoría (derecho de autor, derechos conexos o propiedad industrial) y los modos previstos en la ley para que surjan derechos sobre ellos.</w:t>
      </w:r>
    </w:p>
    <w:p>
      <w:pPr>
        <w:pStyle w:val="ListNumber"/>
        <w:spacing w:after="60"/>
        <w:jc w:val="both"/>
      </w:pPr>
      <w:r>
        <w:rPr>
          <w:rFonts w:ascii="Arial" w:hAnsi="Arial"/>
        </w:rPr>
        <w:t>Adoptar y motivar la decisión sobre si la entidad se reserva la titularidad, adquiere una licencia o conviene un régimen de cotitularidad, ponderando al menos:</w:t>
      </w:r>
    </w:p>
    <w:p>
      <w:pPr>
        <w:pStyle w:val="ListBullet2"/>
        <w:spacing w:after="60"/>
        <w:jc w:val="both"/>
      </w:pPr>
      <w:r>
        <w:rPr>
          <w:rFonts w:ascii="Arial" w:hAnsi="Arial"/>
        </w:rPr>
        <w:t>las razones estratégicas o de interés público que aconsejen retener la titularidad a nombre de la Alcaldía Municipal de Jamundí;</w:t>
      </w:r>
    </w:p>
    <w:p>
      <w:pPr>
        <w:pStyle w:val="ListBullet2"/>
        <w:spacing w:after="60"/>
        <w:jc w:val="both"/>
      </w:pPr>
      <w:r>
        <w:rPr>
          <w:rFonts w:ascii="Arial" w:hAnsi="Arial"/>
        </w:rPr>
        <w:t>la madurez tecnológica del activo, su vida útil y el término de vigencia de su protección legal;</w:t>
      </w:r>
    </w:p>
    <w:p>
      <w:pPr>
        <w:pStyle w:val="ListBullet2"/>
        <w:spacing w:after="60"/>
        <w:jc w:val="both"/>
      </w:pPr>
      <w:r>
        <w:rPr>
          <w:rFonts w:ascii="Arial" w:hAnsi="Arial"/>
        </w:rPr>
        <w:t>si el uso y acceso al activo se requieren de forma permanente o solo puntual;</w:t>
      </w:r>
    </w:p>
    <w:p>
      <w:pPr>
        <w:pStyle w:val="ListBullet2"/>
        <w:spacing w:after="60"/>
        <w:jc w:val="both"/>
      </w:pPr>
      <w:r>
        <w:rPr>
          <w:rFonts w:ascii="Arial" w:hAnsi="Arial"/>
        </w:rPr>
        <w:t>si el activo debe ser publicado oficialmente o dispuesto como información pública o dato abierto;</w:t>
      </w:r>
    </w:p>
    <w:p>
      <w:pPr>
        <w:pStyle w:val="ListBullet2"/>
        <w:spacing w:after="60"/>
        <w:jc w:val="both"/>
      </w:pPr>
      <w:r>
        <w:rPr>
          <w:rFonts w:ascii="Arial" w:hAnsi="Arial"/>
        </w:rPr>
        <w:t>si resulta indispensable retener el control exclusivo o si basta una licencia amplia, no exclusiva, irrevocable y suficiente para el uso, la realización de desarrollos, mejoras, integraciones y mantenimientos;</w:t>
      </w:r>
    </w:p>
    <w:p>
      <w:pPr>
        <w:pStyle w:val="ListBullet2"/>
        <w:spacing w:after="60"/>
        <w:jc w:val="both"/>
      </w:pPr>
      <w:r>
        <w:rPr>
          <w:rFonts w:ascii="Arial" w:hAnsi="Arial"/>
        </w:rPr>
        <w:t>los costos de registro, custodia, asesoría especializada y gestión necesarios para mantener, proteger y defender el activo.</w:t>
      </w:r>
    </w:p>
    <w:p>
      <w:pPr>
        <w:pStyle w:val="Heading3"/>
      </w:pPr>
      <w:r>
        <w:rPr>
          <w:rFonts w:ascii="Arial" w:hAnsi="Arial"/>
          <w:b/>
          <w:color w:val="1F365D"/>
        </w:rPr>
      </w:r>
      <w:r>
        <w:rPr>
          <w:rFonts w:ascii="Arial" w:hAnsi="Arial"/>
          <w:b/>
          <w:color w:val="1F365D"/>
        </w:rPr>
        <w:t>9.2. Cláusulas mínimas exigibles</w:t>
      </w:r>
    </w:p>
    <w:p>
      <w:pPr>
        <w:jc w:val="both"/>
      </w:pPr>
      <w:r>
        <w:rPr>
          <w:rFonts w:ascii="Arial" w:hAnsi="Arial"/>
        </w:rPr>
        <w:t>Los contratos, convenios y acuerdos que puedan dar lugar a la creación, entrega o uso de obras protegidas deberán definir de manera expresa, como mínimo:</w:t>
      </w:r>
    </w:p>
    <w:tbl>
      <w:tblPr>
        <w:tblStyle w:val="TableGrid"/>
        <w:tblW w:type="auto" w:w="0"/>
        <w:jc w:val="center"/>
        <w:tblLayout w:type="autofit"/>
        <w:tblLook w:firstColumn="1" w:firstRow="1" w:lastColumn="0" w:lastRow="0" w:noHBand="0" w:noVBand="1" w:val="04A0"/>
      </w:tblPr>
      <w:tblGrid>
        <w:gridCol w:w="4703"/>
        <w:gridCol w:w="4703"/>
      </w:tblGrid>
      <w:tr>
        <w:trPr>
          <w:tblHeader w:val="true"/>
        </w:trPr>
        <w:tc>
          <w:tcPr>
            <w:tcW w:type="dxa" w:w="4703"/>
            <w:shd w:val="clear" w:color="auto" w:fill="1F365D"/>
          </w:tcPr>
          <w:p>
            <w:r>
              <w:rPr>
                <w:color w:val="FFFFFF"/>
              </w:rPr>
            </w:r>
            <w:r>
              <w:rPr>
                <w:rFonts w:ascii="Arial" w:hAnsi="Arial"/>
                <w:b/>
                <w:color w:val="FFFFFF"/>
                <w:sz w:val="18"/>
              </w:rPr>
              <w:t>Materia</w:t>
            </w:r>
          </w:p>
        </w:tc>
        <w:tc>
          <w:tcPr>
            <w:tcW w:type="dxa" w:w="4703"/>
            <w:shd w:val="clear" w:color="auto" w:fill="1F365D"/>
          </w:tcPr>
          <w:p>
            <w:r>
              <w:rPr>
                <w:color w:val="FFFFFF"/>
              </w:rPr>
            </w:r>
            <w:r>
              <w:rPr>
                <w:rFonts w:ascii="Arial" w:hAnsi="Arial"/>
                <w:b/>
                <w:color w:val="FFFFFF"/>
                <w:sz w:val="18"/>
              </w:rPr>
              <w:t>Contenido mínimo</w:t>
            </w:r>
          </w:p>
        </w:tc>
      </w:tr>
      <w:tr>
        <w:tc>
          <w:tcPr>
            <w:tcW w:type="dxa" w:w="4703"/>
          </w:tcPr>
          <w:p>
            <w:pPr>
              <w:jc w:val="left"/>
            </w:pPr>
            <w:r/>
            <w:r>
              <w:rPr>
                <w:rFonts w:ascii="Arial" w:hAnsi="Arial"/>
                <w:b/>
                <w:sz w:val="18"/>
              </w:rPr>
              <w:t>Titularidad</w:t>
            </w:r>
          </w:p>
        </w:tc>
        <w:tc>
          <w:tcPr>
            <w:tcW w:type="dxa" w:w="4703"/>
          </w:tcPr>
          <w:p>
            <w:pPr>
              <w:jc w:val="left"/>
            </w:pPr>
            <w:r/>
            <w:r>
              <w:rPr>
                <w:rFonts w:ascii="Arial" w:hAnsi="Arial"/>
                <w:sz w:val="18"/>
              </w:rPr>
              <w:t>Determinación expresa del titular de los derechos patrimoniales sobre los entregables, sin ambigüedades y sin remisión genérica a la ley.</w:t>
            </w:r>
          </w:p>
        </w:tc>
      </w:tr>
      <w:tr>
        <w:tc>
          <w:tcPr>
            <w:tcW w:type="dxa" w:w="4703"/>
          </w:tcPr>
          <w:p>
            <w:pPr>
              <w:jc w:val="left"/>
            </w:pPr>
            <w:r/>
            <w:r>
              <w:rPr>
                <w:rFonts w:ascii="Arial" w:hAnsi="Arial"/>
                <w:b/>
                <w:sz w:val="18"/>
              </w:rPr>
              <w:t>Cesión o licencia</w:t>
            </w:r>
          </w:p>
        </w:tc>
        <w:tc>
          <w:tcPr>
            <w:tcW w:type="dxa" w:w="4703"/>
          </w:tcPr>
          <w:p>
            <w:pPr>
              <w:jc w:val="left"/>
            </w:pPr>
            <w:r/>
            <w:r>
              <w:rPr>
                <w:rFonts w:ascii="Arial" w:hAnsi="Arial"/>
                <w:sz w:val="18"/>
              </w:rPr>
              <w:t>Naturaleza del negocio jurídico (cesión total, cesión parcial o licencia), con indicación de modalidades de explotación, término, territorio, exclusividad y facultad de sublicenciar. Cuando la entidad requiera control pleno, deberá pactarse cesión expresa con las solemnidades legales.</w:t>
            </w:r>
          </w:p>
        </w:tc>
      </w:tr>
      <w:tr>
        <w:tc>
          <w:tcPr>
            <w:tcW w:type="dxa" w:w="4703"/>
          </w:tcPr>
          <w:p>
            <w:pPr>
              <w:jc w:val="left"/>
            </w:pPr>
            <w:r/>
            <w:r>
              <w:rPr>
                <w:rFonts w:ascii="Arial" w:hAnsi="Arial"/>
                <w:b/>
                <w:sz w:val="18"/>
              </w:rPr>
              <w:t>Alcance de uso</w:t>
            </w:r>
          </w:p>
        </w:tc>
        <w:tc>
          <w:tcPr>
            <w:tcW w:type="dxa" w:w="4703"/>
          </w:tcPr>
          <w:p>
            <w:pPr>
              <w:jc w:val="left"/>
            </w:pPr>
            <w:r/>
            <w:r>
              <w:rPr>
                <w:rFonts w:ascii="Arial" w:hAnsi="Arial"/>
                <w:sz w:val="18"/>
              </w:rPr>
              <w:t>Usos institucionales autorizados, incluidos la divulgación, la publicación en medios digitales, la actualización, la adaptación, la integración con otros activos y el uso por otras entidades públicas si se prevé.</w:t>
            </w:r>
          </w:p>
        </w:tc>
      </w:tr>
      <w:tr>
        <w:tc>
          <w:tcPr>
            <w:tcW w:type="dxa" w:w="4703"/>
          </w:tcPr>
          <w:p>
            <w:pPr>
              <w:jc w:val="left"/>
            </w:pPr>
            <w:r/>
            <w:r>
              <w:rPr>
                <w:rFonts w:ascii="Arial" w:hAnsi="Arial"/>
                <w:b/>
                <w:sz w:val="18"/>
              </w:rPr>
              <w:t>Entregables</w:t>
            </w:r>
          </w:p>
        </w:tc>
        <w:tc>
          <w:tcPr>
            <w:tcW w:type="dxa" w:w="4703"/>
          </w:tcPr>
          <w:p>
            <w:pPr>
              <w:jc w:val="left"/>
            </w:pPr>
            <w:r/>
            <w:r>
              <w:rPr>
                <w:rFonts w:ascii="Arial" w:hAnsi="Arial"/>
                <w:sz w:val="18"/>
              </w:rPr>
              <w:t>Descripción de los entregables y de sus formatos, incluidos archivos editables, fuentes, activos gráficos y documentación técnica.</w:t>
            </w:r>
          </w:p>
        </w:tc>
      </w:tr>
      <w:tr>
        <w:tc>
          <w:tcPr>
            <w:tcW w:type="dxa" w:w="4703"/>
          </w:tcPr>
          <w:p>
            <w:pPr>
              <w:jc w:val="left"/>
            </w:pPr>
            <w:r/>
            <w:r>
              <w:rPr>
                <w:rFonts w:ascii="Arial" w:hAnsi="Arial"/>
                <w:b/>
                <w:sz w:val="18"/>
              </w:rPr>
              <w:t>Originalidad</w:t>
            </w:r>
          </w:p>
        </w:tc>
        <w:tc>
          <w:tcPr>
            <w:tcW w:type="dxa" w:w="4703"/>
          </w:tcPr>
          <w:p>
            <w:pPr>
              <w:jc w:val="left"/>
            </w:pPr>
            <w:r/>
            <w:r>
              <w:rPr>
                <w:rFonts w:ascii="Arial" w:hAnsi="Arial"/>
                <w:sz w:val="18"/>
              </w:rPr>
              <w:t>Declaración del contratista de que los entregables son originales, no infringen derechos de terceros y no contienen elementos de terceros sin licencia válida. Cuando se incorporen elementos de terceros, deberán identificarse y acreditarse sus licencias.</w:t>
            </w:r>
          </w:p>
        </w:tc>
      </w:tr>
      <w:tr>
        <w:tc>
          <w:tcPr>
            <w:tcW w:type="dxa" w:w="4703"/>
          </w:tcPr>
          <w:p>
            <w:pPr>
              <w:jc w:val="left"/>
            </w:pPr>
            <w:r/>
            <w:r>
              <w:rPr>
                <w:rFonts w:ascii="Arial" w:hAnsi="Arial"/>
                <w:b/>
                <w:sz w:val="18"/>
              </w:rPr>
              <w:t>Software y código fuente</w:t>
            </w:r>
          </w:p>
        </w:tc>
        <w:tc>
          <w:tcPr>
            <w:tcW w:type="dxa" w:w="4703"/>
          </w:tcPr>
          <w:p>
            <w:pPr>
              <w:jc w:val="left"/>
            </w:pPr>
            <w:r/>
            <w:r>
              <w:rPr>
                <w:rFonts w:ascii="Arial" w:hAnsi="Arial"/>
                <w:sz w:val="18"/>
              </w:rPr>
              <w:t>Cuando aplique: entrega del código fuente y de su documentación, arquitectura, esquema de la base de datos, credenciales, dependencias y componentes de terceros, con indicación de sus licencias; condiciones de mantenimiento, soporte, escrow si se pacta, y compatibilidad con los estándares de la entidad.</w:t>
            </w:r>
          </w:p>
        </w:tc>
      </w:tr>
      <w:tr>
        <w:tc>
          <w:tcPr>
            <w:tcW w:type="dxa" w:w="4703"/>
          </w:tcPr>
          <w:p>
            <w:pPr>
              <w:jc w:val="left"/>
            </w:pPr>
            <w:r/>
            <w:r>
              <w:rPr>
                <w:rFonts w:ascii="Arial" w:hAnsi="Arial"/>
                <w:b/>
                <w:sz w:val="18"/>
              </w:rPr>
              <w:t>Componentes de código abierto</w:t>
            </w:r>
          </w:p>
        </w:tc>
        <w:tc>
          <w:tcPr>
            <w:tcW w:type="dxa" w:w="4703"/>
          </w:tcPr>
          <w:p>
            <w:pPr>
              <w:jc w:val="left"/>
            </w:pPr>
            <w:r/>
            <w:r>
              <w:rPr>
                <w:rFonts w:ascii="Arial" w:hAnsi="Arial"/>
                <w:sz w:val="18"/>
              </w:rPr>
              <w:t>Identificación de los componentes de software libre o de código abierto utilizados y de sus licencias, con verificación de compatibilidad con el uso institucional previsto y con el régimen de titularidad pactado.</w:t>
            </w:r>
          </w:p>
        </w:tc>
      </w:tr>
      <w:tr>
        <w:tc>
          <w:tcPr>
            <w:tcW w:type="dxa" w:w="4703"/>
          </w:tcPr>
          <w:p>
            <w:pPr>
              <w:jc w:val="left"/>
            </w:pPr>
            <w:r/>
            <w:r>
              <w:rPr>
                <w:rFonts w:ascii="Arial" w:hAnsi="Arial"/>
                <w:b/>
                <w:sz w:val="18"/>
              </w:rPr>
              <w:t>Responsabilidad frente a terceros</w:t>
            </w:r>
          </w:p>
        </w:tc>
        <w:tc>
          <w:tcPr>
            <w:tcW w:type="dxa" w:w="4703"/>
          </w:tcPr>
          <w:p>
            <w:pPr>
              <w:jc w:val="left"/>
            </w:pPr>
            <w:r/>
            <w:r>
              <w:rPr>
                <w:rFonts w:ascii="Arial" w:hAnsi="Arial"/>
                <w:sz w:val="18"/>
              </w:rPr>
              <w:t>Obligación del contratista de mantener indemne a la entidad frente a reclamaciones de terceros por infracción de derechos de propiedad intelectual derivada de los entregables, en los términos legalmente admisibles.</w:t>
            </w:r>
          </w:p>
        </w:tc>
      </w:tr>
      <w:tr>
        <w:tc>
          <w:tcPr>
            <w:tcW w:type="dxa" w:w="4703"/>
          </w:tcPr>
          <w:p>
            <w:pPr>
              <w:jc w:val="left"/>
            </w:pPr>
            <w:r/>
            <w:r>
              <w:rPr>
                <w:rFonts w:ascii="Arial" w:hAnsi="Arial"/>
                <w:b/>
                <w:sz w:val="18"/>
              </w:rPr>
              <w:t>Derechos morales</w:t>
            </w:r>
          </w:p>
        </w:tc>
        <w:tc>
          <w:tcPr>
            <w:tcW w:type="dxa" w:w="4703"/>
          </w:tcPr>
          <w:p>
            <w:pPr>
              <w:jc w:val="left"/>
            </w:pPr>
            <w:r/>
            <w:r>
              <w:rPr>
                <w:rFonts w:ascii="Arial" w:hAnsi="Arial"/>
                <w:sz w:val="18"/>
              </w:rPr>
              <w:t>Reconocimiento de que los derechos morales permanecen en cabeza de los autores personas naturales y autorización de divulgación y adaptación en los términos del numeral 7.3 de esta política.</w:t>
            </w:r>
          </w:p>
        </w:tc>
      </w:tr>
      <w:tr>
        <w:tc>
          <w:tcPr>
            <w:tcW w:type="dxa" w:w="4703"/>
          </w:tcPr>
          <w:p>
            <w:pPr>
              <w:jc w:val="left"/>
            </w:pPr>
            <w:r/>
            <w:r>
              <w:rPr>
                <w:rFonts w:ascii="Arial" w:hAnsi="Arial"/>
                <w:b/>
                <w:sz w:val="18"/>
              </w:rPr>
              <w:t>Confidencialidad</w:t>
            </w:r>
          </w:p>
        </w:tc>
        <w:tc>
          <w:tcPr>
            <w:tcW w:type="dxa" w:w="4703"/>
          </w:tcPr>
          <w:p>
            <w:pPr>
              <w:jc w:val="left"/>
            </w:pPr>
            <w:r/>
            <w:r>
              <w:rPr>
                <w:rFonts w:ascii="Arial" w:hAnsi="Arial"/>
                <w:sz w:val="18"/>
              </w:rPr>
              <w:t>Acuerdo de confidencialidad cuando el objeto involucre información sujeta a reserva o información clasificada.</w:t>
            </w:r>
          </w:p>
        </w:tc>
      </w:tr>
      <w:tr>
        <w:tc>
          <w:tcPr>
            <w:tcW w:type="dxa" w:w="4703"/>
          </w:tcPr>
          <w:p>
            <w:pPr>
              <w:jc w:val="left"/>
            </w:pPr>
            <w:r/>
            <w:r>
              <w:rPr>
                <w:rFonts w:ascii="Arial" w:hAnsi="Arial"/>
                <w:b/>
                <w:sz w:val="18"/>
              </w:rPr>
              <w:t>Supervisión</w:t>
            </w:r>
          </w:p>
        </w:tc>
        <w:tc>
          <w:tcPr>
            <w:tcW w:type="dxa" w:w="4703"/>
          </w:tcPr>
          <w:p>
            <w:pPr>
              <w:jc w:val="left"/>
            </w:pPr>
            <w:r/>
            <w:r>
              <w:rPr>
                <w:rFonts w:ascii="Arial" w:hAnsi="Arial"/>
                <w:sz w:val="18"/>
              </w:rPr>
              <w:t>Deber del supervisor o interventor de verificar el cumplimiento de las obligaciones anteriores como condición para el recibo a satisfacción de los entregables.</w:t>
            </w:r>
          </w:p>
        </w:tc>
      </w:tr>
    </w:tbl>
    <w:p/>
    <w:p>
      <w:pPr>
        <w:pStyle w:val="Heading3"/>
      </w:pPr>
      <w:r>
        <w:rPr>
          <w:rFonts w:ascii="Arial" w:hAnsi="Arial"/>
          <w:b/>
          <w:color w:val="1F365D"/>
        </w:rPr>
      </w:r>
      <w:r>
        <w:rPr>
          <w:rFonts w:ascii="Arial" w:hAnsi="Arial"/>
          <w:b/>
          <w:color w:val="1F365D"/>
        </w:rPr>
        <w:t>9.3. Verificación en la ejecución</w:t>
      </w:r>
    </w:p>
    <w:p>
      <w:pPr>
        <w:jc w:val="both"/>
      </w:pPr>
      <w:r>
        <w:rPr>
          <w:rFonts w:ascii="Arial" w:hAnsi="Arial"/>
        </w:rPr>
        <w:t>El supervisor o interventor del contrato verificará, como parte del recibo a satisfacción:</w:t>
      </w:r>
    </w:p>
    <w:p>
      <w:pPr>
        <w:pStyle w:val="ListBullet"/>
        <w:spacing w:after="60"/>
        <w:jc w:val="both"/>
      </w:pPr>
      <w:r>
        <w:rPr>
          <w:rFonts w:ascii="Arial" w:hAnsi="Arial"/>
        </w:rPr>
        <w:t>la entrega efectiva de los entregables en los formatos pactados, incluidos código fuente y archivos editables cuando corresponda;</w:t>
      </w:r>
    </w:p>
    <w:p>
      <w:pPr>
        <w:pStyle w:val="ListBullet"/>
        <w:spacing w:after="60"/>
        <w:jc w:val="both"/>
      </w:pPr>
      <w:r>
        <w:rPr>
          <w:rFonts w:ascii="Arial" w:hAnsi="Arial"/>
        </w:rPr>
        <w:t>la suscripción de la declaración de originalidad;</w:t>
      </w:r>
    </w:p>
    <w:p>
      <w:pPr>
        <w:pStyle w:val="ListBullet"/>
        <w:spacing w:after="60"/>
        <w:jc w:val="both"/>
      </w:pPr>
      <w:r>
        <w:rPr>
          <w:rFonts w:ascii="Arial" w:hAnsi="Arial"/>
        </w:rPr>
        <w:t>la acreditación de las autorizaciones de los autores personas naturales cuando el contratista sea persona jurídica;</w:t>
      </w:r>
    </w:p>
    <w:p>
      <w:pPr>
        <w:pStyle w:val="ListBullet"/>
        <w:spacing w:after="60"/>
        <w:jc w:val="both"/>
      </w:pPr>
      <w:r>
        <w:rPr>
          <w:rFonts w:ascii="Arial" w:hAnsi="Arial"/>
        </w:rPr>
        <w:t>la identificación de los componentes de terceros y de sus licencias;</w:t>
      </w:r>
    </w:p>
    <w:p>
      <w:pPr>
        <w:pStyle w:val="ListBullet"/>
        <w:spacing w:after="60"/>
        <w:jc w:val="both"/>
      </w:pPr>
      <w:r>
        <w:rPr>
          <w:rFonts w:ascii="Arial" w:hAnsi="Arial"/>
        </w:rPr>
        <w:t>el reporte del activo para su incorporación al inventario de creaciones de que trata el capítulo 11.</w:t>
      </w:r>
    </w:p>
    <w:p>
      <w:pPr>
        <w:pStyle w:val="Heading2"/>
      </w:pPr>
      <w:r>
        <w:rPr>
          <w:rFonts w:ascii="Arial" w:hAnsi="Arial"/>
          <w:b/>
          <w:color w:val="1F365D"/>
        </w:rPr>
      </w:r>
      <w:r>
        <w:rPr>
          <w:rFonts w:ascii="Arial" w:hAnsi="Arial"/>
          <w:b/>
          <w:color w:val="1F365D"/>
        </w:rPr>
        <w:t>10. SOFTWARE</w:t>
      </w:r>
    </w:p>
    <w:p>
      <w:pPr>
        <w:pStyle w:val="Heading3"/>
      </w:pPr>
      <w:r>
        <w:rPr>
          <w:rFonts w:ascii="Arial" w:hAnsi="Arial"/>
          <w:b/>
          <w:color w:val="1F365D"/>
        </w:rPr>
      </w:r>
      <w:r>
        <w:rPr>
          <w:rFonts w:ascii="Arial" w:hAnsi="Arial"/>
          <w:b/>
          <w:color w:val="1F365D"/>
        </w:rPr>
        <w:t>10.1. Régimen aplicable</w:t>
      </w:r>
    </w:p>
    <w:p>
      <w:pPr>
        <w:jc w:val="both"/>
      </w:pPr>
      <w:r>
        <w:rPr>
          <w:rFonts w:ascii="Arial" w:hAnsi="Arial"/>
        </w:rPr>
        <w:t>El soporte lógico (software) se protege por el derecho de autor como creación propia del dominio literario, conforme al artículo 1 de la Ley 23 de 1982 y a los artículos 3 y 23 de la Decisión 351 de 1993, y su protección comprende el código fuente, el código objeto, la documentación técnica y los manuales de uso.</w:t>
      </w:r>
    </w:p>
    <w:p>
      <w:pPr>
        <w:pStyle w:val="Heading3"/>
      </w:pPr>
      <w:r>
        <w:rPr>
          <w:rFonts w:ascii="Arial" w:hAnsi="Arial"/>
          <w:b/>
          <w:color w:val="1F365D"/>
        </w:rPr>
      </w:r>
      <w:r>
        <w:rPr>
          <w:rFonts w:ascii="Arial" w:hAnsi="Arial"/>
          <w:b/>
          <w:color w:val="1F365D"/>
        </w:rPr>
        <w:t>10.2. Titularidad del software de desarrollo propio</w:t>
      </w:r>
    </w:p>
    <w:p>
      <w:pPr>
        <w:jc w:val="both"/>
      </w:pPr>
      <w:r>
        <w:rPr>
          <w:rFonts w:ascii="Arial" w:hAnsi="Arial"/>
        </w:rPr>
        <w:t>La Alcaldía Municipal de Jamundí será titular de los derechos patrimoniales sobre los aplicativos desarrollados internamente, en los términos y con los fundamentos previstos en el numeral 8.5 de esta política. Dicha titularidad comprende el desarrollo informático, su código fuente, su documentación técnica y la estructura de la base de datos, sin que se extienda a los datos contenidos en ella, que se rigen por el régimen de protección de datos personales y de acceso a la información pública que corresponda.</w:t>
      </w:r>
    </w:p>
    <w:p>
      <w:pPr>
        <w:jc w:val="both"/>
      </w:pPr>
      <w:r>
        <w:rPr>
          <w:rFonts w:ascii="Arial" w:hAnsi="Arial"/>
        </w:rPr>
        <w:t>Tratándose de software desarrollado por contratistas, la titularidad institucional requiere pacto expreso en los términos del capítulo 9. La sola condición de contratante no confiere a la entidad titularidad plena por fuera del alcance de la presunción legal del artículo 20 de la Ley 23 de 1982, modificado por el artículo 28 de la Ley 1450 de 2011.</w:t>
      </w:r>
    </w:p>
    <w:p>
      <w:pPr>
        <w:pStyle w:val="Heading3"/>
      </w:pPr>
      <w:r>
        <w:rPr>
          <w:rFonts w:ascii="Arial" w:hAnsi="Arial"/>
          <w:b/>
          <w:color w:val="1F365D"/>
        </w:rPr>
      </w:r>
      <w:r>
        <w:rPr>
          <w:rFonts w:ascii="Arial" w:hAnsi="Arial"/>
          <w:b/>
          <w:color w:val="1F365D"/>
        </w:rPr>
        <w:t>10.3. Uso del software institucional por terceros</w:t>
      </w:r>
    </w:p>
    <w:p>
      <w:pPr>
        <w:jc w:val="both"/>
      </w:pPr>
      <w:r>
        <w:rPr>
          <w:rFonts w:ascii="Arial" w:hAnsi="Arial"/>
        </w:rPr>
        <w:t>Para que un tercero utilice software de desarrollo propio de la Alcaldía Municipal de Jamundí es necesario suscribir el instrumento jurídico correspondiente, en el que se garantice el uso apropiado y el cumplimiento de las normas de derecho de autor. Dicho instrumento deberá regular, como mínimo:</w:t>
      </w:r>
    </w:p>
    <w:p>
      <w:pPr>
        <w:pStyle w:val="ListBullet"/>
        <w:spacing w:after="60"/>
        <w:jc w:val="both"/>
      </w:pPr>
      <w:r>
        <w:rPr>
          <w:rFonts w:ascii="Arial" w:hAnsi="Arial"/>
        </w:rPr>
        <w:t>entrega, instalación y personalización;</w:t>
      </w:r>
    </w:p>
    <w:p>
      <w:pPr>
        <w:pStyle w:val="ListBullet"/>
        <w:spacing w:after="60"/>
        <w:jc w:val="both"/>
      </w:pPr>
      <w:r>
        <w:rPr>
          <w:rFonts w:ascii="Arial" w:hAnsi="Arial"/>
        </w:rPr>
        <w:t>extensión y límites de la licencia de uso;</w:t>
      </w:r>
    </w:p>
    <w:p>
      <w:pPr>
        <w:pStyle w:val="ListBullet"/>
        <w:spacing w:after="60"/>
        <w:jc w:val="both"/>
      </w:pPr>
      <w:r>
        <w:rPr>
          <w:rFonts w:ascii="Arial" w:hAnsi="Arial"/>
        </w:rPr>
        <w:t>condiciones de la licencia (término, territorio, exclusividad, gratuidad u onerosidad);</w:t>
      </w:r>
    </w:p>
    <w:p>
      <w:pPr>
        <w:pStyle w:val="ListBullet"/>
        <w:spacing w:after="60"/>
        <w:jc w:val="both"/>
      </w:pPr>
      <w:r>
        <w:rPr>
          <w:rFonts w:ascii="Arial" w:hAnsi="Arial"/>
        </w:rPr>
        <w:t>utilización del paquete informático y usos prohibidos;</w:t>
      </w:r>
    </w:p>
    <w:p>
      <w:pPr>
        <w:pStyle w:val="ListBullet"/>
        <w:spacing w:after="60"/>
        <w:jc w:val="both"/>
      </w:pPr>
      <w:r>
        <w:rPr>
          <w:rFonts w:ascii="Arial" w:hAnsi="Arial"/>
        </w:rPr>
        <w:t>garantía y limitación de la garantía;</w:t>
      </w:r>
    </w:p>
    <w:p>
      <w:pPr>
        <w:pStyle w:val="ListBullet"/>
        <w:spacing w:after="60"/>
        <w:jc w:val="both"/>
      </w:pPr>
      <w:r>
        <w:rPr>
          <w:rFonts w:ascii="Arial" w:hAnsi="Arial"/>
        </w:rPr>
        <w:t>responsabilidad de las partes;</w:t>
      </w:r>
    </w:p>
    <w:p>
      <w:pPr>
        <w:pStyle w:val="ListBullet"/>
        <w:spacing w:after="60"/>
        <w:jc w:val="both"/>
      </w:pPr>
      <w:r>
        <w:rPr>
          <w:rFonts w:ascii="Arial" w:hAnsi="Arial"/>
        </w:rPr>
        <w:t>efectos de la terminación o cancelación de la licencia;</w:t>
      </w:r>
    </w:p>
    <w:p>
      <w:pPr>
        <w:pStyle w:val="ListBullet"/>
        <w:spacing w:after="60"/>
        <w:jc w:val="both"/>
      </w:pPr>
      <w:r>
        <w:rPr>
          <w:rFonts w:ascii="Arial" w:hAnsi="Arial"/>
        </w:rPr>
        <w:t>cesión y sublicenciamiento;</w:t>
      </w:r>
    </w:p>
    <w:p>
      <w:pPr>
        <w:pStyle w:val="ListBullet"/>
        <w:spacing w:after="60"/>
        <w:jc w:val="both"/>
      </w:pPr>
      <w:r>
        <w:rPr>
          <w:rFonts w:ascii="Arial" w:hAnsi="Arial"/>
        </w:rPr>
        <w:t>capacitación en el uso del software;</w:t>
      </w:r>
    </w:p>
    <w:p>
      <w:pPr>
        <w:pStyle w:val="ListBullet"/>
        <w:spacing w:after="60"/>
        <w:jc w:val="both"/>
      </w:pPr>
      <w:r>
        <w:rPr>
          <w:rFonts w:ascii="Arial" w:hAnsi="Arial"/>
        </w:rPr>
        <w:t>integración con otro software;</w:t>
      </w:r>
    </w:p>
    <w:p>
      <w:pPr>
        <w:pStyle w:val="ListBullet"/>
        <w:spacing w:after="60"/>
        <w:jc w:val="both"/>
      </w:pPr>
      <w:r>
        <w:rPr>
          <w:rFonts w:ascii="Arial" w:hAnsi="Arial"/>
        </w:rPr>
        <w:t>acceso al código fuente, si se concede, y sus condiciones;</w:t>
      </w:r>
    </w:p>
    <w:p>
      <w:pPr>
        <w:pStyle w:val="ListBullet"/>
        <w:spacing w:after="60"/>
        <w:jc w:val="both"/>
      </w:pPr>
      <w:r>
        <w:rPr>
          <w:rFonts w:ascii="Arial" w:hAnsi="Arial"/>
        </w:rPr>
        <w:t>deber del licenciatario de usar el software en debida forma y conforme a la ley.</w:t>
      </w:r>
    </w:p>
    <w:p>
      <w:pPr>
        <w:jc w:val="both"/>
      </w:pPr>
      <w:r>
        <w:rPr>
          <w:rFonts w:ascii="Arial" w:hAnsi="Arial"/>
        </w:rPr>
        <w:t>Cuando el licenciamiento se otorgue a otra entidad del Estado o a un particular, la decisión sobre su gratuidad u onerosidad deberá motivarse y sujetarse al régimen de disposición de bienes y derechos del patrimonio público que resulte aplicable.</w:t>
      </w:r>
    </w:p>
    <w:p>
      <w:pPr>
        <w:pStyle w:val="Heading3"/>
      </w:pPr>
      <w:r>
        <w:rPr>
          <w:rFonts w:ascii="Arial" w:hAnsi="Arial"/>
          <w:b/>
          <w:color w:val="1F365D"/>
        </w:rPr>
      </w:r>
      <w:r>
        <w:rPr>
          <w:rFonts w:ascii="Arial" w:hAnsi="Arial"/>
          <w:b/>
          <w:color w:val="1F365D"/>
        </w:rPr>
        <w:t>10.4. Autorización de instalación y uso</w:t>
      </w:r>
    </w:p>
    <w:p>
      <w:pPr>
        <w:jc w:val="both"/>
      </w:pPr>
      <w:r>
        <w:rPr>
          <w:rFonts w:ascii="Arial" w:hAnsi="Arial"/>
        </w:rPr>
        <w:t>La instalación de software en los equipos de propiedad de la Alcaldía Municipal de Jamundí o bajo su administración está sujeta a autorización previa y expresa de la dependencia competente en materia de tecnologías de la información y las comunicaciones, la cual emitirá su concepto con fundamento en las políticas de seguridad de la información, de derecho de autor y de protección de datos personales de la entidad. La solicitud deberá ser presentada por el jefe de la dependencia interesada.</w:t>
      </w:r>
    </w:p>
    <w:p>
      <w:pPr>
        <w:jc w:val="both"/>
      </w:pPr>
      <w:r>
        <w:rPr>
          <w:rFonts w:ascii="Arial" w:hAnsi="Arial"/>
        </w:rPr>
        <w:t>La dependencia competente en materia de TIC tiene a su cargo:</w:t>
      </w:r>
    </w:p>
    <w:p>
      <w:pPr>
        <w:pStyle w:val="ListBullet"/>
        <w:spacing w:after="60"/>
        <w:jc w:val="both"/>
      </w:pPr>
      <w:r>
        <w:rPr>
          <w:rFonts w:ascii="Arial" w:hAnsi="Arial"/>
        </w:rPr>
        <w:t>el control y el inventario de las licencias de software de la entidad;</w:t>
      </w:r>
    </w:p>
    <w:p>
      <w:pPr>
        <w:pStyle w:val="ListBullet"/>
        <w:spacing w:after="60"/>
        <w:jc w:val="both"/>
      </w:pPr>
      <w:r>
        <w:rPr>
          <w:rFonts w:ascii="Arial" w:hAnsi="Arial"/>
        </w:rPr>
        <w:t>la custodia y el manejo de los medios y credenciales de instalación;</w:t>
      </w:r>
    </w:p>
    <w:p>
      <w:pPr>
        <w:pStyle w:val="ListBullet"/>
        <w:spacing w:after="60"/>
        <w:jc w:val="both"/>
      </w:pPr>
      <w:r>
        <w:rPr>
          <w:rFonts w:ascii="Arial" w:hAnsi="Arial"/>
        </w:rPr>
        <w:t>la verificación periódica de la legalidad del software instalado;</w:t>
      </w:r>
    </w:p>
    <w:p>
      <w:pPr>
        <w:pStyle w:val="ListBullet"/>
        <w:spacing w:after="60"/>
        <w:jc w:val="both"/>
      </w:pPr>
      <w:r>
        <w:rPr>
          <w:rFonts w:ascii="Arial" w:hAnsi="Arial"/>
        </w:rPr>
        <w:t>el reporte anual ante la Dirección Nacional de Derecho de Autor sobre el cumplimiento de las normas en materia de derecho de autor respecto de software, en los términos de la Directiva Presidencial 02 de 2002 y de las circulares que la desarrollen, cuya vigencia y condiciones deberán verificarse al momento del reporte.</w:t>
      </w:r>
    </w:p>
    <w:p>
      <w:pPr>
        <w:pStyle w:val="Heading3"/>
      </w:pPr>
      <w:r>
        <w:rPr>
          <w:rFonts w:ascii="Arial" w:hAnsi="Arial"/>
          <w:b/>
          <w:color w:val="1F365D"/>
        </w:rPr>
      </w:r>
      <w:r>
        <w:rPr>
          <w:rFonts w:ascii="Arial" w:hAnsi="Arial"/>
          <w:b/>
          <w:color w:val="1F365D"/>
        </w:rPr>
        <w:t>10.5. Prohibición de software no autorizado</w:t>
      </w:r>
    </w:p>
    <w:p>
      <w:pPr>
        <w:jc w:val="both"/>
      </w:pPr>
      <w:r>
        <w:rPr>
          <w:rFonts w:ascii="Arial" w:hAnsi="Arial"/>
        </w:rPr>
        <w:t xml:space="preserve">Los servidores públicos, contratistas y terceros que utilicen la infraestructura tecnológica de la Alcaldía Municipal de Jamundí </w:t>
      </w:r>
      <w:r>
        <w:rPr>
          <w:rFonts w:ascii="Arial" w:hAnsi="Arial"/>
          <w:b/>
        </w:rPr>
        <w:t>no podrán instalar, reproducir ni utilizar software carente de licencia válida o de autorización de la dependencia competente en materia de TIC</w:t>
      </w:r>
      <w:r>
        <w:rPr>
          <w:rFonts w:ascii="Arial" w:hAnsi="Arial"/>
        </w:rPr>
        <w:t>, ni realizar copias no autorizadas de software de desarrollo propio o adquirido por la entidad.</w:t>
      </w:r>
    </w:p>
    <w:p>
      <w:pPr>
        <w:jc w:val="both"/>
      </w:pPr>
      <w:r>
        <w:rPr>
          <w:rFonts w:ascii="Arial" w:hAnsi="Arial"/>
        </w:rPr>
        <w:t>El uso o la reproducción no autorizados de programas de ordenador pueden constituir infracción del derecho de autor y dar lugar a las responsabilidades civiles, penales, disciplinarias, fiscales o contractuales que determine la autoridad competente, conforme al capítulo 13 de esta política.</w:t>
      </w:r>
    </w:p>
    <w:p>
      <w:pPr>
        <w:pStyle w:val="Heading3"/>
      </w:pPr>
      <w:r>
        <w:rPr>
          <w:rFonts w:ascii="Arial" w:hAnsi="Arial"/>
          <w:b/>
          <w:color w:val="1F365D"/>
        </w:rPr>
      </w:r>
      <w:r>
        <w:rPr>
          <w:rFonts w:ascii="Arial" w:hAnsi="Arial"/>
          <w:b/>
          <w:color w:val="1F365D"/>
        </w:rPr>
        <w:t>10.6. Detección de software sin soporte de legalidad</w:t>
      </w:r>
    </w:p>
    <w:p>
      <w:pPr>
        <w:jc w:val="both"/>
      </w:pPr>
      <w:r>
        <w:rPr>
          <w:rFonts w:ascii="Arial" w:hAnsi="Arial"/>
        </w:rPr>
        <w:t>Cuando se detecte software instalado sin licencia válida o sin autorización, la dependencia competente en materia de TIC adelantará el siguiente procedimiento, con observancia del debido proceso:</w:t>
      </w:r>
    </w:p>
    <w:p>
      <w:pPr>
        <w:pStyle w:val="ListNumber"/>
        <w:spacing w:after="60"/>
        <w:jc w:val="both"/>
      </w:pPr>
      <w:r>
        <w:rPr>
          <w:rFonts w:ascii="Arial" w:hAnsi="Arial"/>
        </w:rPr>
        <w:t>Documentar el hallazgo mediante informe técnico que identifique el equipo, el software, la fecha y el responsable del equipo.</w:t>
      </w:r>
    </w:p>
    <w:p>
      <w:pPr>
        <w:pStyle w:val="ListNumber"/>
        <w:spacing w:after="60"/>
        <w:jc w:val="both"/>
      </w:pPr>
      <w:r>
        <w:rPr>
          <w:rFonts w:ascii="Arial" w:hAnsi="Arial"/>
        </w:rPr>
        <w:t>Comunicar el hallazgo al responsable del equipo y a su jefe inmediato, otorgándole la oportunidad de presentar explicaciones y de aportar el soporte de licenciamiento correspondiente dentro del término que se señale.</w:t>
      </w:r>
    </w:p>
    <w:p>
      <w:pPr>
        <w:pStyle w:val="ListNumber"/>
        <w:spacing w:after="60"/>
        <w:jc w:val="both"/>
      </w:pPr>
      <w:r>
        <w:rPr>
          <w:rFonts w:ascii="Arial" w:hAnsi="Arial"/>
        </w:rPr>
        <w:t>Si se acredita la legalidad, dejar constancia y archivar el trámite.</w:t>
      </w:r>
    </w:p>
    <w:p>
      <w:pPr>
        <w:pStyle w:val="ListNumber"/>
        <w:spacing w:after="60"/>
        <w:jc w:val="both"/>
      </w:pPr>
      <w:r>
        <w:rPr>
          <w:rFonts w:ascii="Arial" w:hAnsi="Arial"/>
        </w:rPr>
        <w:t>Si no se acredita, disponer la regularización mediante la adquisición de la licencia o, en su defecto, la desinstalación del software, previa comunicación al responsable y adoptando las medidas necesarias para preservar la información institucional contenida en el equipo.</w:t>
      </w:r>
    </w:p>
    <w:p>
      <w:pPr>
        <w:pStyle w:val="ListNumber"/>
        <w:spacing w:after="60"/>
        <w:jc w:val="both"/>
      </w:pPr>
      <w:r>
        <w:rPr>
          <w:rFonts w:ascii="Arial" w:hAnsi="Arial"/>
        </w:rPr>
        <w:t>Si de los hechos pudiera derivarse una presunta falta disciplinaria, un presunto detrimento patrimonial o una presunta conducta punible, remitir el informe y sus soportes a la autoridad u órgano de control competente, sin que la dependencia de TIC pueda calificar la conducta ni imponer sanción alguna.</w:t>
      </w:r>
    </w:p>
    <w:p>
      <w:pPr>
        <w:jc w:val="both"/>
      </w:pPr>
      <w:r>
        <w:rPr>
          <w:rFonts w:ascii="Arial" w:hAnsi="Arial"/>
        </w:rPr>
        <w:t>La facultad de desinstalación o de bloqueo de software se ejerce como medida de control técnico sobre bienes de la entidad y de aseguramiento de la legalidad, no como sanción, y debe ser proporcionada, documentada y notificada al responsable del equipo.</w:t>
      </w:r>
    </w:p>
    <w:p>
      <w:pPr>
        <w:pStyle w:val="Heading3"/>
      </w:pPr>
      <w:r>
        <w:rPr>
          <w:rFonts w:ascii="Arial" w:hAnsi="Arial"/>
          <w:b/>
          <w:color w:val="1F365D"/>
        </w:rPr>
      </w:r>
      <w:r>
        <w:rPr>
          <w:rFonts w:ascii="Arial" w:hAnsi="Arial"/>
          <w:b/>
          <w:color w:val="1F365D"/>
        </w:rPr>
        <w:t>10.7. Software de contratistas y terceros</w:t>
      </w:r>
    </w:p>
    <w:p>
      <w:pPr>
        <w:jc w:val="both"/>
      </w:pPr>
      <w:r>
        <w:rPr>
          <w:rFonts w:ascii="Arial" w:hAnsi="Arial"/>
        </w:rPr>
        <w:t>Se solicitará a los contratistas y terceros que utilicen software en desarrollo de sus obligaciones con la entidad la constancia de la legalidad del software empleado. Cuando no la presenten, se dejará constancia escrita de que asumen la responsabilidad que les corresponda ante las autoridades competentes, sin que ello traslade a la entidad la verificación material del licenciamiento del contratista ni exonere a este de sus obligaciones legales y contractuales.</w:t>
      </w:r>
    </w:p>
    <w:p>
      <w:pPr>
        <w:pStyle w:val="Heading3"/>
      </w:pPr>
      <w:r>
        <w:rPr>
          <w:rFonts w:ascii="Arial" w:hAnsi="Arial"/>
          <w:b/>
          <w:color w:val="1F365D"/>
        </w:rPr>
      </w:r>
      <w:r>
        <w:rPr>
          <w:rFonts w:ascii="Arial" w:hAnsi="Arial"/>
          <w:b/>
          <w:color w:val="1F365D"/>
        </w:rPr>
        <w:t>10.8. Adquisición y uso de licencias</w:t>
      </w:r>
    </w:p>
    <w:p>
      <w:pPr>
        <w:pStyle w:val="ListBullet"/>
        <w:spacing w:after="60"/>
        <w:jc w:val="both"/>
      </w:pPr>
      <w:r>
        <w:rPr>
          <w:rFonts w:ascii="Arial" w:hAnsi="Arial"/>
        </w:rPr>
        <w:t>Toda adquisición de licencias se planeará e incorporará al inventario de licencias administrado por la dependencia competente en materia de TIC.</w:t>
      </w:r>
    </w:p>
    <w:p>
      <w:pPr>
        <w:pStyle w:val="ListBullet"/>
        <w:spacing w:after="60"/>
        <w:jc w:val="both"/>
      </w:pPr>
      <w:r>
        <w:rPr>
          <w:rFonts w:ascii="Arial" w:hAnsi="Arial"/>
        </w:rPr>
        <w:t>Las condiciones de uso de cada licencia (número de instalaciones, usuarios, equipos, término, territorio, actualizaciones y soporte) deberán ser conocidas y observadas por las dependencias usuarias.</w:t>
      </w:r>
    </w:p>
    <w:p>
      <w:pPr>
        <w:pStyle w:val="ListBullet"/>
        <w:spacing w:after="60"/>
        <w:jc w:val="both"/>
      </w:pPr>
      <w:r>
        <w:rPr>
          <w:rFonts w:ascii="Arial" w:hAnsi="Arial"/>
        </w:rPr>
        <w:t>El uso de software libre o de código abierto se sujetará a las condiciones de la licencia respectiva, cuyo cumplimiento —incluidas las obligaciones de atribución y, cuando aplique, de disponibilidad del código— será verificado por la dependencia competente en materia de TIC.</w:t>
      </w:r>
    </w:p>
    <w:p>
      <w:pPr>
        <w:pStyle w:val="Heading2"/>
      </w:pPr>
      <w:r>
        <w:rPr>
          <w:rFonts w:ascii="Arial" w:hAnsi="Arial"/>
          <w:b/>
          <w:color w:val="1F365D"/>
        </w:rPr>
      </w:r>
      <w:r>
        <w:rPr>
          <w:rFonts w:ascii="Arial" w:hAnsi="Arial"/>
          <w:b/>
          <w:color w:val="1F365D"/>
        </w:rPr>
        <w:t>11. IDENTIFICACIÓN E INVENTARIO DE CREACIONES</w:t>
      </w:r>
    </w:p>
    <w:p>
      <w:pPr>
        <w:jc w:val="both"/>
      </w:pPr>
      <w:r>
        <w:rPr>
          <w:rFonts w:ascii="Arial" w:hAnsi="Arial"/>
        </w:rPr>
        <w:t>La Alcaldía Municipal de Jamundí identificará y mantendrá actualizado un inventario de las creaciones intelectuales de tipo obra literaria y artística —incluidos el software y las bases de datos originales— desarrolladas, encargadas o adquiridas por la entidad.</w:t>
      </w:r>
    </w:p>
    <w:p>
      <w:pPr>
        <w:pStyle w:val="Heading3"/>
      </w:pPr>
      <w:r>
        <w:rPr>
          <w:rFonts w:ascii="Arial" w:hAnsi="Arial"/>
          <w:b/>
          <w:color w:val="1F365D"/>
        </w:rPr>
      </w:r>
      <w:r>
        <w:rPr>
          <w:rFonts w:ascii="Arial" w:hAnsi="Arial"/>
          <w:b/>
          <w:color w:val="1F365D"/>
        </w:rPr>
        <w:t>11.1. Contenido mínimo del inventario</w:t>
      </w:r>
    </w:p>
    <w:p>
      <w:pPr>
        <w:jc w:val="both"/>
      </w:pPr>
      <w:r>
        <w:rPr>
          <w:rFonts w:ascii="Arial" w:hAnsi="Arial"/>
        </w:rPr>
        <w:t>Para cada creación se registrará, como mínimo:</w:t>
      </w:r>
    </w:p>
    <w:p>
      <w:pPr>
        <w:pStyle w:val="ListBullet"/>
        <w:spacing w:after="60"/>
        <w:jc w:val="both"/>
      </w:pPr>
      <w:r>
        <w:rPr>
          <w:rFonts w:ascii="Arial" w:hAnsi="Arial"/>
        </w:rPr>
        <w:t>dependencia responsable;</w:t>
      </w:r>
    </w:p>
    <w:p>
      <w:pPr>
        <w:pStyle w:val="ListBullet"/>
        <w:spacing w:after="60"/>
        <w:jc w:val="both"/>
      </w:pPr>
      <w:r>
        <w:rPr>
          <w:rFonts w:ascii="Arial" w:hAnsi="Arial"/>
        </w:rPr>
        <w:t>autor o autores identificados;</w:t>
      </w:r>
    </w:p>
    <w:p>
      <w:pPr>
        <w:pStyle w:val="ListBullet"/>
        <w:spacing w:after="60"/>
        <w:jc w:val="both"/>
      </w:pPr>
      <w:r>
        <w:rPr>
          <w:rFonts w:ascii="Arial" w:hAnsi="Arial"/>
        </w:rPr>
        <w:t>nombre de la creación;</w:t>
      </w:r>
    </w:p>
    <w:p>
      <w:pPr>
        <w:pStyle w:val="ListBullet"/>
        <w:spacing w:after="60"/>
        <w:jc w:val="both"/>
      </w:pPr>
      <w:r>
        <w:rPr>
          <w:rFonts w:ascii="Arial" w:hAnsi="Arial"/>
        </w:rPr>
        <w:t>breve descripción;</w:t>
      </w:r>
    </w:p>
    <w:p>
      <w:pPr>
        <w:pStyle w:val="ListBullet"/>
        <w:spacing w:after="60"/>
        <w:jc w:val="both"/>
      </w:pPr>
      <w:r>
        <w:rPr>
          <w:rFonts w:ascii="Arial" w:hAnsi="Arial"/>
        </w:rPr>
        <w:t>fecha de creación y, si aplica, de divulgación;</w:t>
      </w:r>
    </w:p>
    <w:p>
      <w:pPr>
        <w:pStyle w:val="ListBullet"/>
        <w:spacing w:after="60"/>
        <w:jc w:val="both"/>
      </w:pPr>
      <w:r>
        <w:rPr>
          <w:rFonts w:ascii="Arial" w:hAnsi="Arial"/>
        </w:rPr>
        <w:t>categoría (obra literaria, artística, audiovisual, software, base de datos, otra);</w:t>
      </w:r>
    </w:p>
    <w:p>
      <w:pPr>
        <w:pStyle w:val="ListBullet"/>
        <w:spacing w:after="60"/>
        <w:jc w:val="both"/>
      </w:pPr>
      <w:r>
        <w:rPr>
          <w:rFonts w:ascii="Arial" w:hAnsi="Arial"/>
        </w:rPr>
        <w:t>título jurídico de la entidad sobre la obra (artículo 91 de la Ley 23 de 1982, contrato, cesión, licencia u otro), con indicación del documento soporte;</w:t>
      </w:r>
    </w:p>
    <w:p>
      <w:pPr>
        <w:pStyle w:val="ListBullet"/>
        <w:spacing w:after="60"/>
        <w:jc w:val="both"/>
      </w:pPr>
      <w:r>
        <w:rPr>
          <w:rFonts w:ascii="Arial" w:hAnsi="Arial"/>
        </w:rPr>
        <w:t>estado de registro ante la Dirección Nacional de Derecho de Autor, si lo hubiere.</w:t>
      </w:r>
    </w:p>
    <w:p>
      <w:pPr>
        <w:pStyle w:val="Heading3"/>
      </w:pPr>
      <w:r>
        <w:rPr>
          <w:rFonts w:ascii="Arial" w:hAnsi="Arial"/>
          <w:b/>
          <w:color w:val="1F365D"/>
        </w:rPr>
      </w:r>
      <w:r>
        <w:rPr>
          <w:rFonts w:ascii="Arial" w:hAnsi="Arial"/>
          <w:b/>
          <w:color w:val="1F365D"/>
        </w:rPr>
        <w:t>11.2. Información adicional tratándose de software</w:t>
      </w:r>
    </w:p>
    <w:p>
      <w:pPr>
        <w:pStyle w:val="ListBullet"/>
        <w:spacing w:after="60"/>
        <w:jc w:val="both"/>
      </w:pPr>
      <w:r>
        <w:rPr>
          <w:rFonts w:ascii="Arial" w:hAnsi="Arial"/>
        </w:rPr>
        <w:t>Si el software es de desarrollo propio, adquirido, contratado o licenciado.</w:t>
      </w:r>
    </w:p>
    <w:p>
      <w:pPr>
        <w:pStyle w:val="ListBullet"/>
        <w:spacing w:after="60"/>
        <w:jc w:val="both"/>
      </w:pPr>
      <w:r>
        <w:rPr>
          <w:rFonts w:ascii="Arial" w:hAnsi="Arial"/>
        </w:rPr>
        <w:t>Si se encuentra licenciado, con indicación del tipo de licencia, número de licencias, términos y vigencia.</w:t>
      </w:r>
    </w:p>
    <w:p>
      <w:pPr>
        <w:pStyle w:val="ListBullet"/>
        <w:spacing w:after="60"/>
        <w:jc w:val="both"/>
      </w:pPr>
      <w:r>
        <w:rPr>
          <w:rFonts w:ascii="Arial" w:hAnsi="Arial"/>
        </w:rPr>
        <w:t>Componentes de terceros y de código abierto incorporados, con sus licencias.</w:t>
      </w:r>
    </w:p>
    <w:p>
      <w:pPr>
        <w:pStyle w:val="ListBullet"/>
        <w:spacing w:after="60"/>
        <w:jc w:val="both"/>
      </w:pPr>
      <w:r>
        <w:rPr>
          <w:rFonts w:ascii="Arial" w:hAnsi="Arial"/>
        </w:rPr>
        <w:t>Identificación y relación de los contratos suscritos por la Alcaldía Municipal de Jamundí con terceros que versen sobre desarrollo de software, con copia de la solicitud de registro ante la Dirección Nacional de Derecho de Autor, si la hubiere.</w:t>
      </w:r>
    </w:p>
    <w:p>
      <w:pPr>
        <w:pStyle w:val="ListBullet"/>
        <w:spacing w:after="60"/>
        <w:jc w:val="both"/>
      </w:pPr>
      <w:r>
        <w:rPr>
          <w:rFonts w:ascii="Arial" w:hAnsi="Arial"/>
        </w:rPr>
        <w:t>Ubicación y custodia del código fuente y de su documentación técnica.</w:t>
      </w:r>
    </w:p>
    <w:p>
      <w:pPr>
        <w:pStyle w:val="Heading3"/>
      </w:pPr>
      <w:r>
        <w:rPr>
          <w:rFonts w:ascii="Arial" w:hAnsi="Arial"/>
          <w:b/>
          <w:color w:val="1F365D"/>
        </w:rPr>
      </w:r>
      <w:r>
        <w:rPr>
          <w:rFonts w:ascii="Arial" w:hAnsi="Arial"/>
          <w:b/>
          <w:color w:val="1F365D"/>
        </w:rPr>
        <w:t>11.3. Cláusula de propiedad intelectual en contratos de desarrollo</w:t>
      </w:r>
    </w:p>
    <w:p>
      <w:pPr>
        <w:jc w:val="both"/>
      </w:pPr>
      <w:r>
        <w:rPr>
          <w:rFonts w:ascii="Arial" w:hAnsi="Arial"/>
        </w:rPr>
        <w:t>Se incluirá, en los contratos y convenios que la Alcaldía Municipal de Jamundí celebre con servidores, asesores, consultores, contratistas y terceros para el desarrollo de software, una cláusula de propiedad intelectual que determine expresamente la titularidad de los derechos patrimoniales a favor del Municipio de Jamundí —cuando así se decida conforme al numeral 9.1— y que faculte a la entidad para adelantar los trámites de registro ante las autoridades competentes.</w:t>
      </w:r>
    </w:p>
    <w:p>
      <w:pPr>
        <w:pStyle w:val="Heading3"/>
      </w:pPr>
      <w:r>
        <w:rPr>
          <w:rFonts w:ascii="Arial" w:hAnsi="Arial"/>
          <w:b/>
          <w:color w:val="1F365D"/>
        </w:rPr>
      </w:r>
      <w:r>
        <w:rPr>
          <w:rFonts w:ascii="Arial" w:hAnsi="Arial"/>
          <w:b/>
          <w:color w:val="1F365D"/>
        </w:rPr>
        <w:t>11.4. Responsable</w:t>
      </w:r>
    </w:p>
    <w:p>
      <w:pPr>
        <w:jc w:val="both"/>
      </w:pPr>
      <w:r>
        <w:rPr>
          <w:rFonts w:ascii="Arial" w:hAnsi="Arial"/>
        </w:rPr>
        <w:t>La consolidación del inventario y su actualización estarán a cargo de la dependencia competente en materia de tecnologías de la información y las comunicaciones, en coordinación con la dependencia competente en materia de comunicaciones y con las dependencias productoras de las obras. «PENDIENTE DE CONFIRMACIÓN – dependencia a la que la entidad asigne esta responsabilidad y periodicidad de actualización».</w:t>
      </w:r>
    </w:p>
    <w:p>
      <w:pPr>
        <w:pStyle w:val="Heading2"/>
      </w:pPr>
      <w:r>
        <w:rPr>
          <w:rFonts w:ascii="Arial" w:hAnsi="Arial"/>
          <w:b/>
          <w:color w:val="1F365D"/>
        </w:rPr>
      </w:r>
      <w:r>
        <w:rPr>
          <w:rFonts w:ascii="Arial" w:hAnsi="Arial"/>
          <w:b/>
          <w:color w:val="1F365D"/>
        </w:rPr>
        <w:t>12. REGISTRO Y LEGALIZACIÓN DE LA TITULARIDAD Y DISPOSICIÓN DE USO</w:t>
      </w:r>
    </w:p>
    <w:p>
      <w:pPr>
        <w:pStyle w:val="Heading3"/>
      </w:pPr>
      <w:r>
        <w:rPr>
          <w:rFonts w:ascii="Arial" w:hAnsi="Arial"/>
          <w:b/>
          <w:color w:val="1F365D"/>
        </w:rPr>
      </w:r>
      <w:r>
        <w:rPr>
          <w:rFonts w:ascii="Arial" w:hAnsi="Arial"/>
          <w:b/>
          <w:color w:val="1F365D"/>
        </w:rPr>
        <w:t>12.1. Naturaleza del registro</w:t>
      </w:r>
    </w:p>
    <w:p>
      <w:pPr>
        <w:jc w:val="both"/>
      </w:pPr>
      <w:r>
        <w:rPr>
          <w:rFonts w:ascii="Arial" w:hAnsi="Arial"/>
        </w:rPr>
        <w:t xml:space="preserve">La protección del derecho de autor </w:t>
      </w:r>
      <w:r>
        <w:rPr>
          <w:rFonts w:ascii="Arial" w:hAnsi="Arial"/>
          <w:b/>
        </w:rPr>
        <w:t>no está subordinada a formalidad alguna</w:t>
      </w:r>
      <w:r>
        <w:rPr>
          <w:rFonts w:ascii="Arial" w:hAnsi="Arial"/>
        </w:rPr>
        <w:t xml:space="preserve">: nace con la creación de la obra. Conforme a los artículos 52 y 53 de la Decisión 351 de 1993, el registro tiene carácter </w:t>
      </w:r>
      <w:r>
        <w:rPr>
          <w:rFonts w:ascii="Arial" w:hAnsi="Arial"/>
          <w:b/>
        </w:rPr>
        <w:t>declarativo y no constitutivo de derechos</w:t>
      </w:r>
      <w:r>
        <w:rPr>
          <w:rFonts w:ascii="Arial" w:hAnsi="Arial"/>
        </w:rPr>
        <w:t xml:space="preserve">, y la omisión del registro no impide el goce ni el ejercicio de los derechos reconocidos por la ley. En consecuencia, el registro ante la Dirección Nacional de Derecho de Autor cumple una función de </w:t>
      </w:r>
      <w:r>
        <w:rPr>
          <w:rFonts w:ascii="Arial" w:hAnsi="Arial"/>
          <w:b/>
        </w:rPr>
        <w:t>publicidad y de prueba</w:t>
      </w:r>
      <w:r>
        <w:rPr>
          <w:rFonts w:ascii="Arial" w:hAnsi="Arial"/>
        </w:rPr>
        <w:t>, y otorga certeza sobre la existencia y la titularidad de la obra, así como sobre los actos y contratos que se inscriban.</w:t>
      </w:r>
    </w:p>
    <w:p>
      <w:pPr>
        <w:pStyle w:val="Heading3"/>
      </w:pPr>
      <w:r>
        <w:rPr>
          <w:rFonts w:ascii="Arial" w:hAnsi="Arial"/>
          <w:b/>
          <w:color w:val="1F365D"/>
        </w:rPr>
      </w:r>
      <w:r>
        <w:rPr>
          <w:rFonts w:ascii="Arial" w:hAnsi="Arial"/>
          <w:b/>
          <w:color w:val="1F365D"/>
        </w:rPr>
        <w:t>12.2. Lineamiento institucional</w:t>
      </w:r>
    </w:p>
    <w:p>
      <w:pPr>
        <w:jc w:val="both"/>
      </w:pPr>
      <w:r>
        <w:rPr>
          <w:rFonts w:ascii="Arial" w:hAnsi="Arial"/>
        </w:rPr>
        <w:t xml:space="preserve">Las obras de tipo literario y artístico —incluido el software— que se desarrollen en la Alcaldía Municipal de Jamundí y respecto de las cuales la entidad ostente la titularidad de los derechos patrimoniales </w:t>
      </w:r>
      <w:r>
        <w:rPr>
          <w:rFonts w:ascii="Arial" w:hAnsi="Arial"/>
          <w:b/>
        </w:rPr>
        <w:t>deberán registrarse ante la Dirección Nacional de Derecho de Autor</w:t>
      </w:r>
      <w:r>
        <w:rPr>
          <w:rFonts w:ascii="Arial" w:hAnsi="Arial"/>
        </w:rPr>
        <w:t xml:space="preserve"> cuando su relevancia institucional, su valor patrimonial o su exposición al riesgo lo justifiquen, para efectos probatorios de su existencia y titularidad. Se priorizará el registro del software de desarrollo propio, de las bases de datos originales y de las obras de mayor valor estratégico.</w:t>
      </w:r>
    </w:p>
    <w:p>
      <w:pPr>
        <w:jc w:val="both"/>
      </w:pPr>
      <w:r>
        <w:rPr>
          <w:rFonts w:ascii="Arial" w:hAnsi="Arial"/>
        </w:rPr>
        <w:t>Igualmente, se inscribirán ante la Dirección Nacional de Derecho de Autor los actos y contratos de cesión o transferencia de derechos patrimoniales en los que la entidad intervenga, para efectos de su oponibilidad frente a terceros.</w:t>
      </w:r>
    </w:p>
    <w:p>
      <w:pPr>
        <w:jc w:val="both"/>
      </w:pPr>
      <w:r>
        <w:rPr>
          <w:rFonts w:ascii="Arial" w:hAnsi="Arial"/>
        </w:rPr>
        <w:t xml:space="preserve">Este lineamiento constituye una </w:t>
      </w:r>
      <w:r>
        <w:rPr>
          <w:rFonts w:ascii="Arial" w:hAnsi="Arial"/>
          <w:b/>
        </w:rPr>
        <w:t>directriz institucional de gestión del riesgo</w:t>
      </w:r>
      <w:r>
        <w:rPr>
          <w:rFonts w:ascii="Arial" w:hAnsi="Arial"/>
        </w:rPr>
        <w:t>, no una obligación legal de cuyo incumplimiento se derive la pérdida de los derechos.</w:t>
      </w:r>
    </w:p>
    <w:p>
      <w:pPr>
        <w:pStyle w:val="Heading3"/>
      </w:pPr>
      <w:r>
        <w:rPr>
          <w:rFonts w:ascii="Arial" w:hAnsi="Arial"/>
          <w:b/>
          <w:color w:val="1F365D"/>
        </w:rPr>
      </w:r>
      <w:r>
        <w:rPr>
          <w:rFonts w:ascii="Arial" w:hAnsi="Arial"/>
          <w:b/>
          <w:color w:val="1F365D"/>
        </w:rPr>
        <w:t>12.3. Disposición de uso a favor de terceros</w:t>
      </w:r>
    </w:p>
    <w:p>
      <w:pPr>
        <w:jc w:val="both"/>
      </w:pPr>
      <w:r>
        <w:rPr>
          <w:rFonts w:ascii="Arial" w:hAnsi="Arial"/>
        </w:rPr>
        <w:t>Las obras creadas en la Alcaldía Municipal de Jamundí sobre las que la entidad sea titular y que se destinen al uso de otra entidad del Estado o de un tercero deberán disponer de la respectiva licencia o del instrumento jurídico que corresponda, sea o no de carácter gratuito. La decisión sobre el otorgamiento, su alcance y sus condiciones corresponde a la Alcaldía Municipal de Jamundí como titular, previa motivación y con sujeción al régimen aplicable a la disposición de bienes y derechos del patrimonio público.</w:t>
      </w:r>
    </w:p>
    <w:p>
      <w:pPr>
        <w:pStyle w:val="Heading3"/>
      </w:pPr>
      <w:r>
        <w:rPr>
          <w:rFonts w:ascii="Arial" w:hAnsi="Arial"/>
          <w:b/>
          <w:color w:val="1F365D"/>
        </w:rPr>
      </w:r>
      <w:r>
        <w:rPr>
          <w:rFonts w:ascii="Arial" w:hAnsi="Arial"/>
          <w:b/>
          <w:color w:val="1F365D"/>
        </w:rPr>
        <w:t>12.4. Obras de terceros sometidas a licencia</w:t>
      </w:r>
    </w:p>
    <w:p>
      <w:pPr>
        <w:jc w:val="both"/>
      </w:pPr>
      <w:r>
        <w:rPr>
          <w:rFonts w:ascii="Arial" w:hAnsi="Arial"/>
        </w:rPr>
        <w:t>Las obras de uso por parte de la Alcaldía Municipal de Jamundí que se encuentren sometidas a licencia deberán contar con la licencia tramitada y con el pago que legitime la explotación, a favor del autor, del titular o de la sociedad de gestión colectiva legalmente constituida y habilitada en el país que administre los respectivos derechos patrimoniales, previa verificación de su legitimación y del catálogo administrado.</w:t>
      </w:r>
    </w:p>
    <w:p>
      <w:pPr>
        <w:pStyle w:val="Heading2"/>
      </w:pPr>
      <w:r>
        <w:rPr>
          <w:rFonts w:ascii="Arial" w:hAnsi="Arial"/>
          <w:b/>
          <w:color w:val="1F365D"/>
        </w:rPr>
      </w:r>
      <w:r>
        <w:rPr>
          <w:rFonts w:ascii="Arial" w:hAnsi="Arial"/>
          <w:b/>
          <w:color w:val="1F365D"/>
        </w:rPr>
        <w:t>13. PROPIEDAD INTELECTUAL INSTITUCIONAL</w:t>
      </w:r>
    </w:p>
    <w:p>
      <w:pPr>
        <w:jc w:val="both"/>
      </w:pPr>
      <w:r>
        <w:rPr>
          <w:rFonts w:ascii="Arial" w:hAnsi="Arial"/>
        </w:rPr>
        <w:t>La Alcaldía Municipal de Jamundí, a través de la dependencia competente en materia de tecnologías de la información y las comunicaciones y de la dependencia competente en materia de comunicaciones, protegerá la propiedad intelectual propia y respetará la de terceros. Las obras protegidas por el derecho de autor no podrán copiarse ni reproducirse sin la autorización previa del titular, salvo que resulte aplicable una limitación o excepción legal.</w:t>
      </w:r>
    </w:p>
    <w:p>
      <w:pPr>
        <w:jc w:val="both"/>
      </w:pPr>
      <w:r>
        <w:rPr>
          <w:rFonts w:ascii="Arial" w:hAnsi="Arial"/>
        </w:rPr>
        <w:t>Para efectos de su gestión, los activos se clasifican así:</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shd w:val="clear" w:color="auto" w:fill="1F365D"/>
          </w:tcPr>
          <w:p>
            <w:r>
              <w:rPr>
                <w:color w:val="FFFFFF"/>
              </w:rPr>
            </w:r>
            <w:r>
              <w:rPr>
                <w:rFonts w:ascii="Arial" w:hAnsi="Arial"/>
                <w:b/>
                <w:color w:val="FFFFFF"/>
                <w:sz w:val="18"/>
              </w:rPr>
              <w:t>Categoría</w:t>
            </w:r>
          </w:p>
        </w:tc>
        <w:tc>
          <w:tcPr>
            <w:tcW w:type="dxa" w:w="3135"/>
            <w:shd w:val="clear" w:color="auto" w:fill="1F365D"/>
          </w:tcPr>
          <w:p>
            <w:r>
              <w:rPr>
                <w:color w:val="FFFFFF"/>
              </w:rPr>
            </w:r>
            <w:r>
              <w:rPr>
                <w:rFonts w:ascii="Arial" w:hAnsi="Arial"/>
                <w:b/>
                <w:color w:val="FFFFFF"/>
                <w:sz w:val="18"/>
              </w:rPr>
              <w:t>Alcance</w:t>
            </w:r>
          </w:p>
        </w:tc>
        <w:tc>
          <w:tcPr>
            <w:tcW w:type="dxa" w:w="3135"/>
            <w:shd w:val="clear" w:color="auto" w:fill="1F365D"/>
          </w:tcPr>
          <w:p>
            <w:r>
              <w:rPr>
                <w:color w:val="FFFFFF"/>
              </w:rPr>
            </w:r>
            <w:r>
              <w:rPr>
                <w:rFonts w:ascii="Arial" w:hAnsi="Arial"/>
                <w:b/>
                <w:color w:val="FFFFFF"/>
                <w:sz w:val="18"/>
              </w:rPr>
              <w:t>Régimen y autoridad</w:t>
            </w:r>
          </w:p>
        </w:tc>
      </w:tr>
      <w:tr>
        <w:tc>
          <w:tcPr>
            <w:tcW w:type="dxa" w:w="3135"/>
          </w:tcPr>
          <w:p>
            <w:pPr>
              <w:jc w:val="left"/>
            </w:pPr>
            <w:r/>
            <w:r>
              <w:rPr>
                <w:rFonts w:ascii="Arial" w:hAnsi="Arial"/>
                <w:b/>
                <w:sz w:val="18"/>
              </w:rPr>
              <w:t>Derechos de autor</w:t>
            </w:r>
          </w:p>
        </w:tc>
        <w:tc>
          <w:tcPr>
            <w:tcW w:type="dxa" w:w="3135"/>
          </w:tcPr>
          <w:p>
            <w:pPr>
              <w:jc w:val="left"/>
            </w:pPr>
            <w:r/>
            <w:r>
              <w:rPr>
                <w:rFonts w:ascii="Arial" w:hAnsi="Arial"/>
                <w:sz w:val="18"/>
              </w:rPr>
              <w:t>Obras literarias y artísticas producidas, encargadas o adquiridas por la entidad.</w:t>
            </w:r>
          </w:p>
        </w:tc>
        <w:tc>
          <w:tcPr>
            <w:tcW w:type="dxa" w:w="3135"/>
          </w:tcPr>
          <w:p>
            <w:pPr>
              <w:jc w:val="left"/>
            </w:pPr>
            <w:r/>
            <w:r>
              <w:rPr>
                <w:rFonts w:ascii="Arial" w:hAnsi="Arial"/>
                <w:sz w:val="18"/>
              </w:rPr>
              <w:t>Ley 23 de 1982 y Decisión 351 de 1993. Registro: Dirección Nacional de Derecho de Autor (declarativo).</w:t>
            </w:r>
          </w:p>
        </w:tc>
      </w:tr>
      <w:tr>
        <w:tc>
          <w:tcPr>
            <w:tcW w:type="dxa" w:w="3135"/>
          </w:tcPr>
          <w:p>
            <w:pPr>
              <w:jc w:val="left"/>
            </w:pPr>
            <w:r/>
            <w:r>
              <w:rPr>
                <w:rFonts w:ascii="Arial" w:hAnsi="Arial"/>
                <w:b/>
                <w:sz w:val="18"/>
              </w:rPr>
              <w:t>Derechos conexos</w:t>
            </w:r>
          </w:p>
        </w:tc>
        <w:tc>
          <w:tcPr>
            <w:tcW w:type="dxa" w:w="3135"/>
          </w:tcPr>
          <w:p>
            <w:pPr>
              <w:jc w:val="left"/>
            </w:pPr>
            <w:r/>
            <w:r>
              <w:rPr>
                <w:rFonts w:ascii="Arial" w:hAnsi="Arial"/>
                <w:sz w:val="18"/>
              </w:rPr>
              <w:t>Interpretaciones o ejecuciones, fonogramas y emisiones incorporados a producciones institucionales.</w:t>
            </w:r>
          </w:p>
        </w:tc>
        <w:tc>
          <w:tcPr>
            <w:tcW w:type="dxa" w:w="3135"/>
          </w:tcPr>
          <w:p>
            <w:pPr>
              <w:jc w:val="left"/>
            </w:pPr>
            <w:r/>
            <w:r>
              <w:rPr>
                <w:rFonts w:ascii="Arial" w:hAnsi="Arial"/>
                <w:sz w:val="18"/>
              </w:rPr>
              <w:t>Ley 23 de 1982, Convención de Roma, WPPT. Requieren autorización de los titulares conexos, adicional a la del autor.</w:t>
            </w:r>
          </w:p>
        </w:tc>
      </w:tr>
      <w:tr>
        <w:tc>
          <w:tcPr>
            <w:tcW w:type="dxa" w:w="3135"/>
          </w:tcPr>
          <w:p>
            <w:pPr>
              <w:jc w:val="left"/>
            </w:pPr>
            <w:r/>
            <w:r>
              <w:rPr>
                <w:rFonts w:ascii="Arial" w:hAnsi="Arial"/>
                <w:b/>
                <w:sz w:val="18"/>
              </w:rPr>
              <w:t>Software</w:t>
            </w:r>
          </w:p>
        </w:tc>
        <w:tc>
          <w:tcPr>
            <w:tcW w:type="dxa" w:w="3135"/>
          </w:tcPr>
          <w:p>
            <w:pPr>
              <w:jc w:val="left"/>
            </w:pPr>
            <w:r/>
            <w:r>
              <w:rPr>
                <w:rFonts w:ascii="Arial" w:hAnsi="Arial"/>
                <w:sz w:val="18"/>
              </w:rPr>
              <w:t>Aplicativos de desarrollo propio, contratado o adquirido; código fuente y documentación.</w:t>
            </w:r>
          </w:p>
        </w:tc>
        <w:tc>
          <w:tcPr>
            <w:tcW w:type="dxa" w:w="3135"/>
          </w:tcPr>
          <w:p>
            <w:pPr>
              <w:jc w:val="left"/>
            </w:pPr>
            <w:r/>
            <w:r>
              <w:rPr>
                <w:rFonts w:ascii="Arial" w:hAnsi="Arial"/>
                <w:sz w:val="18"/>
              </w:rPr>
              <w:t>Derecho de autor. Registro de soporte lógico ante la Dirección Nacional de Derecho de Autor.</w:t>
            </w:r>
          </w:p>
        </w:tc>
      </w:tr>
      <w:tr>
        <w:tc>
          <w:tcPr>
            <w:tcW w:type="dxa" w:w="3135"/>
          </w:tcPr>
          <w:p>
            <w:pPr>
              <w:jc w:val="left"/>
            </w:pPr>
            <w:r/>
            <w:r>
              <w:rPr>
                <w:rFonts w:ascii="Arial" w:hAnsi="Arial"/>
                <w:b/>
                <w:sz w:val="18"/>
              </w:rPr>
              <w:t>Bases de datos</w:t>
            </w:r>
          </w:p>
        </w:tc>
        <w:tc>
          <w:tcPr>
            <w:tcW w:type="dxa" w:w="3135"/>
          </w:tcPr>
          <w:p>
            <w:pPr>
              <w:jc w:val="left"/>
            </w:pPr>
            <w:r/>
            <w:r>
              <w:rPr>
                <w:rFonts w:ascii="Arial" w:hAnsi="Arial"/>
                <w:sz w:val="18"/>
              </w:rPr>
              <w:t>Compilaciones originales por selección o disposición.</w:t>
            </w:r>
          </w:p>
        </w:tc>
        <w:tc>
          <w:tcPr>
            <w:tcW w:type="dxa" w:w="3135"/>
          </w:tcPr>
          <w:p>
            <w:pPr>
              <w:jc w:val="left"/>
            </w:pPr>
            <w:r/>
            <w:r>
              <w:rPr>
                <w:rFonts w:ascii="Arial" w:hAnsi="Arial"/>
                <w:sz w:val="18"/>
              </w:rPr>
              <w:t>Derecho de autor sobre la compilación; los datos se rigen por la Ley 1581 de 2012 y la Ley 1712 de 2014, según corresponda.</w:t>
            </w:r>
          </w:p>
        </w:tc>
      </w:tr>
      <w:tr>
        <w:tc>
          <w:tcPr>
            <w:tcW w:type="dxa" w:w="3135"/>
          </w:tcPr>
          <w:p>
            <w:pPr>
              <w:jc w:val="left"/>
            </w:pPr>
            <w:r/>
            <w:r>
              <w:rPr>
                <w:rFonts w:ascii="Arial" w:hAnsi="Arial"/>
                <w:b/>
                <w:sz w:val="18"/>
              </w:rPr>
              <w:t>Contenidos institucionales digitales</w:t>
            </w:r>
          </w:p>
        </w:tc>
        <w:tc>
          <w:tcPr>
            <w:tcW w:type="dxa" w:w="3135"/>
          </w:tcPr>
          <w:p>
            <w:pPr>
              <w:jc w:val="left"/>
            </w:pPr>
            <w:r/>
            <w:r>
              <w:rPr>
                <w:rFonts w:ascii="Arial" w:hAnsi="Arial"/>
                <w:sz w:val="18"/>
              </w:rPr>
              <w:t>Contenidos de la sede electrónica, portales, aplicaciones y redes sociales.</w:t>
            </w:r>
          </w:p>
        </w:tc>
        <w:tc>
          <w:tcPr>
            <w:tcW w:type="dxa" w:w="3135"/>
          </w:tcPr>
          <w:p>
            <w:pPr>
              <w:jc w:val="left"/>
            </w:pPr>
            <w:r/>
            <w:r>
              <w:rPr>
                <w:rFonts w:ascii="Arial" w:hAnsi="Arial"/>
                <w:sz w:val="18"/>
              </w:rPr>
              <w:t>Derecho de autor y, en lo pertinente, régimen de acceso a la información pública y datos abiertos.</w:t>
            </w:r>
          </w:p>
        </w:tc>
      </w:tr>
      <w:tr>
        <w:tc>
          <w:tcPr>
            <w:tcW w:type="dxa" w:w="3135"/>
          </w:tcPr>
          <w:p>
            <w:pPr>
              <w:jc w:val="left"/>
            </w:pPr>
            <w:r/>
            <w:r>
              <w:rPr>
                <w:rFonts w:ascii="Arial" w:hAnsi="Arial"/>
                <w:b/>
                <w:sz w:val="18"/>
              </w:rPr>
              <w:t>Activos desarrollados por terceros</w:t>
            </w:r>
          </w:p>
        </w:tc>
        <w:tc>
          <w:tcPr>
            <w:tcW w:type="dxa" w:w="3135"/>
          </w:tcPr>
          <w:p>
            <w:pPr>
              <w:jc w:val="left"/>
            </w:pPr>
            <w:r/>
            <w:r>
              <w:rPr>
                <w:rFonts w:ascii="Arial" w:hAnsi="Arial"/>
                <w:sz w:val="18"/>
              </w:rPr>
              <w:t>Obras y software de titularidad de terceros usados por la entidad.</w:t>
            </w:r>
          </w:p>
        </w:tc>
        <w:tc>
          <w:tcPr>
            <w:tcW w:type="dxa" w:w="3135"/>
          </w:tcPr>
          <w:p>
            <w:pPr>
              <w:jc w:val="left"/>
            </w:pPr>
            <w:r/>
            <w:r>
              <w:rPr>
                <w:rFonts w:ascii="Arial" w:hAnsi="Arial"/>
                <w:sz w:val="18"/>
              </w:rPr>
              <w:t>Licencia o autorización; verificación de alcance y vigencia.</w:t>
            </w:r>
          </w:p>
        </w:tc>
      </w:tr>
      <w:tr>
        <w:tc>
          <w:tcPr>
            <w:tcW w:type="dxa" w:w="3135"/>
          </w:tcPr>
          <w:p>
            <w:pPr>
              <w:jc w:val="left"/>
            </w:pPr>
            <w:r/>
            <w:r>
              <w:rPr>
                <w:rFonts w:ascii="Arial" w:hAnsi="Arial"/>
                <w:b/>
                <w:sz w:val="18"/>
              </w:rPr>
              <w:t>Propiedad industrial</w:t>
            </w:r>
          </w:p>
        </w:tc>
        <w:tc>
          <w:tcPr>
            <w:tcW w:type="dxa" w:w="3135"/>
          </w:tcPr>
          <w:p>
            <w:pPr>
              <w:jc w:val="left"/>
            </w:pPr>
            <w:r/>
            <w:r>
              <w:rPr>
                <w:rFonts w:ascii="Arial" w:hAnsi="Arial"/>
                <w:sz w:val="18"/>
              </w:rPr>
              <w:t>Signos distintivos y nuevas creaciones de la entidad, si los hubiere.</w:t>
            </w:r>
          </w:p>
        </w:tc>
        <w:tc>
          <w:tcPr>
            <w:tcW w:type="dxa" w:w="3135"/>
          </w:tcPr>
          <w:p>
            <w:pPr>
              <w:jc w:val="left"/>
            </w:pPr>
            <w:r/>
            <w:r>
              <w:rPr>
                <w:rFonts w:ascii="Arial" w:hAnsi="Arial"/>
                <w:sz w:val="18"/>
              </w:rPr>
              <w:t xml:space="preserve">Decisión 486 de 2000. Autoridad: Superintendencia de Industria y Comercio. </w:t>
            </w:r>
            <w:r>
              <w:rPr>
                <w:rFonts w:ascii="Arial" w:hAnsi="Arial"/>
                <w:b/>
                <w:sz w:val="18"/>
              </w:rPr>
              <w:t>Fuera del objeto de esta política</w:t>
            </w:r>
            <w:r>
              <w:rPr>
                <w:rFonts w:ascii="Arial" w:hAnsi="Arial"/>
                <w:sz w:val="18"/>
              </w:rPr>
              <w:t>, salvo remisión.</w:t>
            </w:r>
          </w:p>
        </w:tc>
      </w:tr>
    </w:tbl>
    <w:p/>
    <w:p>
      <w:pPr>
        <w:pStyle w:val="Heading3"/>
      </w:pPr>
      <w:r>
        <w:rPr>
          <w:rFonts w:ascii="Arial" w:hAnsi="Arial"/>
          <w:b/>
          <w:color w:val="1F365D"/>
        </w:rPr>
      </w:r>
      <w:r>
        <w:rPr>
          <w:rFonts w:ascii="Arial" w:hAnsi="Arial"/>
          <w:b/>
          <w:color w:val="1F365D"/>
        </w:rPr>
        <w:t>13.1. Reglas complementarias</w:t>
      </w:r>
    </w:p>
    <w:p>
      <w:pPr>
        <w:pStyle w:val="ListBullet"/>
        <w:spacing w:after="60"/>
        <w:jc w:val="both"/>
      </w:pPr>
      <w:r>
        <w:rPr>
          <w:rFonts w:ascii="Arial" w:hAnsi="Arial"/>
        </w:rPr>
        <w:t>Todo software producido al interior de la Alcaldía Municipal de Jamundí por servidores públicos en cumplimiento de las obligaciones de su cargo pertenece a la entidad en cuanto a sus derechos patrimoniales, conforme al artículo 91 de la Ley 23 de 1982. Tratándose de contratistas, la titularidad se rige por lo pactado y por el artículo 20 de la Ley 23 de 1982, modificado por el artículo 28 de la Ley 1450 de 2011.</w:t>
      </w:r>
    </w:p>
    <w:p>
      <w:pPr>
        <w:pStyle w:val="ListBullet"/>
        <w:spacing w:after="60"/>
        <w:jc w:val="both"/>
      </w:pPr>
      <w:r>
        <w:rPr>
          <w:rFonts w:ascii="Arial" w:hAnsi="Arial"/>
        </w:rPr>
        <w:t>Las obras literarias y artísticas producidas por las distintas dependencias en cumplimiento de sus funciones se incorporan al inventario institucional, con reconocimiento de la autoría de las personas naturales que las crearon.</w:t>
      </w:r>
    </w:p>
    <w:p>
      <w:pPr>
        <w:pStyle w:val="ListBullet"/>
        <w:spacing w:after="60"/>
        <w:jc w:val="both"/>
      </w:pPr>
      <w:r>
        <w:rPr>
          <w:rFonts w:ascii="Arial" w:hAnsi="Arial"/>
        </w:rPr>
        <w:t xml:space="preserve">Se reconoce la titularidad de la Alcaldía Municipal de Jamundí sobre los derechos patrimoniales de las creaciones respecto de las cuales exista fundamento legal o contractual, </w:t>
      </w:r>
      <w:r>
        <w:rPr>
          <w:rFonts w:ascii="Arial" w:hAnsi="Arial"/>
          <w:b/>
        </w:rPr>
        <w:t>exceptuando aquellos casos en que se indique que los derechos corresponden a un tercero</w:t>
      </w:r>
      <w:r>
        <w:rPr>
          <w:rFonts w:ascii="Arial" w:hAnsi="Arial"/>
        </w:rPr>
        <w:t>, evento en el cual corresponderán a quien se señale, presumiendo la buena fe y el respeto de las normas vigentes.</w:t>
      </w:r>
    </w:p>
    <w:p>
      <w:pPr>
        <w:pStyle w:val="ListBullet"/>
        <w:spacing w:after="60"/>
        <w:jc w:val="both"/>
      </w:pPr>
      <w:r>
        <w:rPr>
          <w:rFonts w:ascii="Arial" w:hAnsi="Arial"/>
        </w:rPr>
        <w:t>Las traducciones, adaptaciones, arreglos musicales y demás transformaciones se protegen como obras independientes cuando reúnen características de creación original, sin perjuicio de los derechos sobre las obras originarias.</w:t>
      </w:r>
    </w:p>
    <w:p>
      <w:pPr>
        <w:pStyle w:val="Heading2"/>
      </w:pPr>
      <w:r>
        <w:rPr>
          <w:rFonts w:ascii="Arial" w:hAnsi="Arial"/>
          <w:b/>
          <w:color w:val="1F365D"/>
        </w:rPr>
      </w:r>
      <w:r>
        <w:rPr>
          <w:rFonts w:ascii="Arial" w:hAnsi="Arial"/>
          <w:b/>
          <w:color w:val="1F365D"/>
        </w:rPr>
        <w:t>14. CONTENIDOS DE LA SEDE ELECTRÓNICA Y MEDIOS DIGITALES: CONDICIONES DE USO</w:t>
      </w:r>
    </w:p>
    <w:p>
      <w:pPr>
        <w:jc w:val="both"/>
      </w:pPr>
      <w:r>
        <w:rPr>
          <w:rFonts w:ascii="Arial" w:hAnsi="Arial"/>
        </w:rPr>
        <w:t>Las condiciones de uso que se publiquen en la sede electrónica de la Alcaldía Municipal de Jamundí deberán distinguir con claridad, conforme a la Resolución 1519 de 2020 del Ministerio de Tecnologías de la Información y las Comunicaciones y a la Ley 1712 de 2014, los siguientes supuestos:</w:t>
      </w:r>
    </w:p>
    <w:p>
      <w:pPr>
        <w:pStyle w:val="ListNumber"/>
        <w:spacing w:after="60"/>
        <w:jc w:val="both"/>
      </w:pPr>
      <w:r>
        <w:rPr>
          <w:rFonts w:ascii="Arial" w:hAnsi="Arial"/>
          <w:b/>
        </w:rPr>
        <w:t>Información pública y datos abiertos.</w:t>
      </w:r>
      <w:r>
        <w:rPr>
          <w:rFonts w:ascii="Arial" w:hAnsi="Arial"/>
        </w:rPr>
        <w:t xml:space="preserve"> El acceso, consulta, descarga y reutilización de la información pública se rigen por la Ley 1712 de 2014, el Decreto 1081 de 2015 y las directrices de datos abiertos, y no dependen de la titularidad de derechos de autor de la entidad. La entidad no restringirá el acceso ni la reutilización de la información pública invocando derechos de autor sobre soportes o formatos.</w:t>
      </w:r>
    </w:p>
    <w:p>
      <w:pPr>
        <w:pStyle w:val="ListNumber"/>
        <w:spacing w:after="60"/>
        <w:jc w:val="both"/>
      </w:pPr>
      <w:r>
        <w:rPr>
          <w:rFonts w:ascii="Arial" w:hAnsi="Arial"/>
          <w:b/>
        </w:rPr>
        <w:t>Contenidos protegidos de titularidad de la entidad.</w:t>
      </w:r>
      <w:r>
        <w:rPr>
          <w:rFonts w:ascii="Arial" w:hAnsi="Arial"/>
        </w:rPr>
        <w:t xml:space="preserve"> Los textos, elementos gráficos, piezas audiovisuales y demás contenidos originales de titularidad de la Alcaldía Municipal de Jamundí podrán ser utilizados por las personas usuarias con fines de información, consulta, uso personal, académico o profesional, con mención de la fuente. Su reproducción, comunicación pública, transformación o distribución con </w:t>
      </w:r>
      <w:r>
        <w:rPr>
          <w:rFonts w:ascii="Arial" w:hAnsi="Arial"/>
          <w:b/>
        </w:rPr>
        <w:t>fines de explotación comercial</w:t>
      </w:r>
      <w:r>
        <w:rPr>
          <w:rFonts w:ascii="Arial" w:hAnsi="Arial"/>
        </w:rPr>
        <w:t xml:space="preserve"> requerirá autorización previa y expresa de la entidad.</w:t>
      </w:r>
    </w:p>
    <w:p>
      <w:pPr>
        <w:pStyle w:val="ListNumber"/>
        <w:spacing w:after="60"/>
        <w:jc w:val="both"/>
      </w:pPr>
      <w:r>
        <w:rPr>
          <w:rFonts w:ascii="Arial" w:hAnsi="Arial"/>
          <w:b/>
        </w:rPr>
        <w:t>Contenidos de titularidad de terceros</w:t>
      </w:r>
      <w:r>
        <w:rPr>
          <w:rFonts w:ascii="Arial" w:hAnsi="Arial"/>
        </w:rPr>
        <w:t xml:space="preserve"> publicados en la sede electrónica con licencia: su uso por parte de las personas usuarias se sujeta a las condiciones de la licencia respectiva y, en general, requiere autorización del titular.</w:t>
      </w:r>
    </w:p>
    <w:p>
      <w:pPr>
        <w:pStyle w:val="ListNumber"/>
        <w:spacing w:after="60"/>
        <w:jc w:val="both"/>
      </w:pPr>
      <w:r>
        <w:rPr>
          <w:rFonts w:ascii="Arial" w:hAnsi="Arial"/>
          <w:b/>
        </w:rPr>
        <w:t>Signos distintivos institucionales</w:t>
      </w:r>
      <w:r>
        <w:rPr>
          <w:rFonts w:ascii="Arial" w:hAnsi="Arial"/>
        </w:rPr>
        <w:t>: el uso del escudo, la bandera, el himno, el logotipo y demás signos e identificadores del Municipio de Jamundí se sujeta a la reglamentación que la entidad haya expedido sobre la materia y, en lo pertinente, al régimen de propiedad industrial. «PENDIENTE DE CONFIRMACIÓN – existencia y referencia del acto administrativo que regula el uso de los símbolos institucionales».</w:t>
      </w:r>
    </w:p>
    <w:p>
      <w:pPr>
        <w:spacing w:before="120" w:after="200"/>
        <w:ind w:left="340" w:right="227"/>
        <w:jc w:val="both"/>
        <w:pBdr>
          <w:left w:val="single" w:sz="18" w:space="8" w:color="1F365D"/>
        </w:pBdr>
      </w:pPr>
      <w:r>
        <w:rPr>
          <w:rFonts w:ascii="Arial" w:hAnsi="Arial"/>
          <w:b/>
          <w:color w:val="444444"/>
          <w:sz w:val="19"/>
        </w:rPr>
        <w:t>Advertencia de riesgo.</w:t>
      </w:r>
      <w:r>
        <w:rPr>
          <w:rFonts w:ascii="Arial" w:hAnsi="Arial"/>
          <w:color w:val="444444"/>
          <w:sz w:val="19"/>
        </w:rPr>
        <w:t xml:space="preserve"> La fórmula del documento base según la cual «la información dispuesta en la sede electrónica podrá utilizarse con fines personales o profesionales, pero no para explotación comercial», aplicada de manera indiferenciada a todos los contenidos, puede entrar en tensión con el derecho de acceso a la información pública y con la política de datos abiertos. Por ello se reformula distinguiendo entre información pública y contenidos protegidos.</w:t>
      </w:r>
    </w:p>
    <w:p>
      <w:pPr>
        <w:jc w:val="both"/>
      </w:pPr>
      <w:r>
        <w:rPr>
          <w:rFonts w:ascii="Arial" w:hAnsi="Arial"/>
        </w:rPr>
        <w:t>Las condiciones de uso serán publicadas en la sede electrónica en un lugar accesible, en lenguaje claro, de manera que las personas usuarias puedan conocerlas de forma previa a su navegación. En caso de no compartirlas, se sugiere abstenerse de utilizar los contenidos en las modalidades sujetas a autorización, sin que ello pueda interpretarse como restricción al acceso a la información pública.</w:t>
      </w:r>
    </w:p>
    <w:p>
      <w:pPr>
        <w:pStyle w:val="Heading2"/>
      </w:pPr>
      <w:r>
        <w:rPr>
          <w:rFonts w:ascii="Arial" w:hAnsi="Arial"/>
          <w:b/>
          <w:color w:val="1F365D"/>
        </w:rPr>
      </w:r>
      <w:r>
        <w:rPr>
          <w:rFonts w:ascii="Arial" w:hAnsi="Arial"/>
          <w:b/>
          <w:color w:val="1F365D"/>
        </w:rPr>
        <w:t>15. ROLES</w:t>
      </w:r>
    </w:p>
    <w:p>
      <w:pPr>
        <w:jc w:val="both"/>
      </w:pPr>
      <w:r>
        <w:rPr>
          <w:rFonts w:ascii="Arial" w:hAnsi="Arial"/>
        </w:rPr>
        <w:t>Para efectos de la gestión de la propiedad intelectual en la Alcaldía Municipal de Jamundí se identifican los siguientes roles:</w:t>
      </w:r>
    </w:p>
    <w:tbl>
      <w:tblPr>
        <w:tblStyle w:val="TableGrid"/>
        <w:tblW w:type="auto" w:w="0"/>
        <w:jc w:val="center"/>
        <w:tblLayout w:type="autofit"/>
        <w:tblLook w:firstColumn="1" w:firstRow="1" w:lastColumn="0" w:lastRow="0" w:noHBand="0" w:noVBand="1" w:val="04A0"/>
      </w:tblPr>
      <w:tblGrid>
        <w:gridCol w:w="4703"/>
        <w:gridCol w:w="4703"/>
      </w:tblGrid>
      <w:tr>
        <w:trPr>
          <w:tblHeader w:val="true"/>
        </w:trPr>
        <w:tc>
          <w:tcPr>
            <w:tcW w:type="dxa" w:w="4703"/>
            <w:shd w:val="clear" w:color="auto" w:fill="1F365D"/>
          </w:tcPr>
          <w:p>
            <w:r>
              <w:rPr>
                <w:color w:val="FFFFFF"/>
              </w:rPr>
            </w:r>
            <w:r>
              <w:rPr>
                <w:rFonts w:ascii="Arial" w:hAnsi="Arial"/>
                <w:b/>
                <w:color w:val="FFFFFF"/>
                <w:sz w:val="18"/>
              </w:rPr>
              <w:t>Rol</w:t>
            </w:r>
          </w:p>
        </w:tc>
        <w:tc>
          <w:tcPr>
            <w:tcW w:type="dxa" w:w="4703"/>
            <w:shd w:val="clear" w:color="auto" w:fill="1F365D"/>
          </w:tcPr>
          <w:p>
            <w:r>
              <w:rPr>
                <w:color w:val="FFFFFF"/>
              </w:rPr>
            </w:r>
            <w:r>
              <w:rPr>
                <w:rFonts w:ascii="Arial" w:hAnsi="Arial"/>
                <w:b/>
                <w:color w:val="FFFFFF"/>
                <w:sz w:val="18"/>
              </w:rPr>
              <w:t>Descripción</w:t>
            </w:r>
          </w:p>
        </w:tc>
      </w:tr>
      <w:tr>
        <w:tc>
          <w:tcPr>
            <w:tcW w:type="dxa" w:w="4703"/>
          </w:tcPr>
          <w:p>
            <w:pPr>
              <w:jc w:val="left"/>
            </w:pPr>
            <w:r/>
            <w:r>
              <w:rPr>
                <w:rFonts w:ascii="Arial" w:hAnsi="Arial"/>
                <w:b/>
                <w:sz w:val="18"/>
              </w:rPr>
              <w:t>AUTOR</w:t>
            </w:r>
          </w:p>
        </w:tc>
        <w:tc>
          <w:tcPr>
            <w:tcW w:type="dxa" w:w="4703"/>
          </w:tcPr>
          <w:p>
            <w:pPr>
              <w:jc w:val="left"/>
            </w:pPr>
            <w:r/>
            <w:r>
              <w:rPr>
                <w:rFonts w:ascii="Arial" w:hAnsi="Arial"/>
                <w:sz w:val="18"/>
              </w:rPr>
              <w:t>Persona natural que realiza la creación intelectual o que ha contribuido a ella con un aporte intelectual original y determinante.</w:t>
            </w:r>
          </w:p>
        </w:tc>
      </w:tr>
      <w:tr>
        <w:tc>
          <w:tcPr>
            <w:tcW w:type="dxa" w:w="4703"/>
          </w:tcPr>
          <w:p>
            <w:pPr>
              <w:jc w:val="left"/>
            </w:pPr>
            <w:r/>
            <w:r>
              <w:rPr>
                <w:rFonts w:ascii="Arial" w:hAnsi="Arial"/>
                <w:b/>
                <w:sz w:val="18"/>
              </w:rPr>
              <w:t>SERVIDOR PÚBLICO</w:t>
            </w:r>
          </w:p>
        </w:tc>
        <w:tc>
          <w:tcPr>
            <w:tcW w:type="dxa" w:w="4703"/>
          </w:tcPr>
          <w:p>
            <w:pPr>
              <w:jc w:val="left"/>
            </w:pPr>
            <w:r/>
            <w:r>
              <w:rPr>
                <w:rFonts w:ascii="Arial" w:hAnsi="Arial"/>
                <w:sz w:val="18"/>
              </w:rPr>
              <w:t>Persona natural vinculada a la Alcaldía Municipal de Jamundí en los términos del artículo 123 de la Constitución Política, sea como miembro de corporación pública, empleado público —vinculado mediante relación legal y reglamentaria— o trabajador oficial —vinculado mediante contrato de trabajo—.</w:t>
            </w:r>
          </w:p>
        </w:tc>
      </w:tr>
      <w:tr>
        <w:tc>
          <w:tcPr>
            <w:tcW w:type="dxa" w:w="4703"/>
          </w:tcPr>
          <w:p>
            <w:pPr>
              <w:jc w:val="left"/>
            </w:pPr>
            <w:r/>
            <w:r>
              <w:rPr>
                <w:rFonts w:ascii="Arial" w:hAnsi="Arial"/>
                <w:b/>
                <w:sz w:val="18"/>
              </w:rPr>
              <w:t>ASESOR</w:t>
            </w:r>
          </w:p>
        </w:tc>
        <w:tc>
          <w:tcPr>
            <w:tcW w:type="dxa" w:w="4703"/>
          </w:tcPr>
          <w:p>
            <w:pPr>
              <w:jc w:val="left"/>
            </w:pPr>
            <w:r/>
            <w:r>
              <w:rPr>
                <w:rFonts w:ascii="Arial" w:hAnsi="Arial"/>
                <w:sz w:val="18"/>
              </w:rPr>
              <w:t>Persona natural o jurídica que aporta criterio técnico, jurídico o especializado y orienta a la entidad, a sus servidores o a sus directivos para la realización de proyectos o desarrollos, mediante recomendaciones sobre la materia, sin que su rol implique necesariamente la ejecución material del proyecto. Su régimen de propiedad intelectual se determina en el respectivo contrato.</w:t>
            </w:r>
          </w:p>
        </w:tc>
      </w:tr>
      <w:tr>
        <w:tc>
          <w:tcPr>
            <w:tcW w:type="dxa" w:w="4703"/>
          </w:tcPr>
          <w:p>
            <w:pPr>
              <w:jc w:val="left"/>
            </w:pPr>
            <w:r/>
            <w:r>
              <w:rPr>
                <w:rFonts w:ascii="Arial" w:hAnsi="Arial"/>
                <w:b/>
                <w:sz w:val="18"/>
              </w:rPr>
              <w:t>CONSULTOR</w:t>
            </w:r>
          </w:p>
        </w:tc>
        <w:tc>
          <w:tcPr>
            <w:tcW w:type="dxa" w:w="4703"/>
          </w:tcPr>
          <w:p>
            <w:pPr>
              <w:jc w:val="left"/>
            </w:pPr>
            <w:r/>
            <w:r>
              <w:rPr>
                <w:rFonts w:ascii="Arial" w:hAnsi="Arial"/>
                <w:sz w:val="18"/>
              </w:rPr>
              <w:t>Persona natural o jurídica vinculada a la Alcaldía Municipal de Jamundí mediante contrato de consultoría o de prestación de servicios, cuyo objeto consiste en la elaboración de estudios, diagnósticos, informes o desarrollos específicos.</w:t>
            </w:r>
          </w:p>
        </w:tc>
      </w:tr>
      <w:tr>
        <w:tc>
          <w:tcPr>
            <w:tcW w:type="dxa" w:w="4703"/>
          </w:tcPr>
          <w:p>
            <w:pPr>
              <w:jc w:val="left"/>
            </w:pPr>
            <w:r/>
            <w:r>
              <w:rPr>
                <w:rFonts w:ascii="Arial" w:hAnsi="Arial"/>
                <w:b/>
                <w:sz w:val="18"/>
              </w:rPr>
              <w:t>CONTRATISTA</w:t>
            </w:r>
          </w:p>
        </w:tc>
        <w:tc>
          <w:tcPr>
            <w:tcW w:type="dxa" w:w="4703"/>
          </w:tcPr>
          <w:p>
            <w:pPr>
              <w:jc w:val="left"/>
            </w:pPr>
            <w:r/>
            <w:r>
              <w:rPr>
                <w:rFonts w:ascii="Arial" w:hAnsi="Arial"/>
                <w:sz w:val="18"/>
              </w:rPr>
              <w:t>Persona natural o jurídica vinculada a la Alcaldía Municipal de Jamundí mediante contrato de prestación de servicios o cualquier otra tipología contractual, cuya ejecución implica actividad intelectual y la generación de obras u otras creaciones protegidas.</w:t>
            </w:r>
          </w:p>
        </w:tc>
      </w:tr>
      <w:tr>
        <w:tc>
          <w:tcPr>
            <w:tcW w:type="dxa" w:w="4703"/>
          </w:tcPr>
          <w:p>
            <w:pPr>
              <w:jc w:val="left"/>
            </w:pPr>
            <w:r/>
            <w:r>
              <w:rPr>
                <w:rFonts w:ascii="Arial" w:hAnsi="Arial"/>
                <w:b/>
                <w:sz w:val="18"/>
              </w:rPr>
              <w:t>SUPERVISOR O INTERVENTOR</w:t>
            </w:r>
          </w:p>
        </w:tc>
        <w:tc>
          <w:tcPr>
            <w:tcW w:type="dxa" w:w="4703"/>
          </w:tcPr>
          <w:p>
            <w:pPr>
              <w:jc w:val="left"/>
            </w:pPr>
            <w:r/>
            <w:r>
              <w:rPr>
                <w:rFonts w:ascii="Arial" w:hAnsi="Arial"/>
                <w:sz w:val="18"/>
              </w:rPr>
              <w:t>Servidor público o particular a quien se asigna la vigilancia del contrato y a quien corresponde verificar el cumplimiento de las obligaciones en materia de propiedad intelectual como condición del recibo a satisfacción.</w:t>
            </w:r>
          </w:p>
        </w:tc>
      </w:tr>
      <w:tr>
        <w:tc>
          <w:tcPr>
            <w:tcW w:type="dxa" w:w="4703"/>
          </w:tcPr>
          <w:p>
            <w:pPr>
              <w:jc w:val="left"/>
            </w:pPr>
            <w:r/>
            <w:r>
              <w:rPr>
                <w:rFonts w:ascii="Arial" w:hAnsi="Arial"/>
                <w:b/>
                <w:sz w:val="18"/>
              </w:rPr>
              <w:t>TERCERO</w:t>
            </w:r>
          </w:p>
        </w:tc>
        <w:tc>
          <w:tcPr>
            <w:tcW w:type="dxa" w:w="4703"/>
          </w:tcPr>
          <w:p>
            <w:pPr>
              <w:jc w:val="left"/>
            </w:pPr>
            <w:r/>
            <w:r>
              <w:rPr>
                <w:rFonts w:ascii="Arial" w:hAnsi="Arial"/>
                <w:sz w:val="18"/>
              </w:rPr>
              <w:t>Persona natural o jurídica que se vincula a la Alcaldía Municipal de Jamundí por una figura distinta de las anteriores y que participa en proyectos académicos, de investigación, de transferencia de conocimiento o de cualquier otra naturaleza, generadores de obras o de otras creaciones protegidas.</w:t>
            </w:r>
          </w:p>
        </w:tc>
      </w:tr>
      <w:tr>
        <w:tc>
          <w:tcPr>
            <w:tcW w:type="dxa" w:w="4703"/>
          </w:tcPr>
          <w:p>
            <w:pPr>
              <w:jc w:val="left"/>
            </w:pPr>
            <w:r/>
            <w:r>
              <w:rPr>
                <w:rFonts w:ascii="Arial" w:hAnsi="Arial"/>
                <w:b/>
                <w:sz w:val="18"/>
              </w:rPr>
              <w:t>DEPENDENCIA COMPETENTE EN MATERIA DE TIC</w:t>
            </w:r>
          </w:p>
        </w:tc>
        <w:tc>
          <w:tcPr>
            <w:tcW w:type="dxa" w:w="4703"/>
          </w:tcPr>
          <w:p>
            <w:pPr>
              <w:jc w:val="left"/>
            </w:pPr>
            <w:r/>
            <w:r>
              <w:rPr>
                <w:rFonts w:ascii="Arial" w:hAnsi="Arial"/>
                <w:sz w:val="18"/>
              </w:rPr>
              <w:t>Dependencia a cargo del control e inventario de licencias de software, de la autorización de instalación, de la verificación de legalidad y de la custodia del código fuente. «PENDIENTE DE CONFIRMACIÓN – denominación oficial».</w:t>
            </w:r>
          </w:p>
        </w:tc>
      </w:tr>
      <w:tr>
        <w:tc>
          <w:tcPr>
            <w:tcW w:type="dxa" w:w="4703"/>
          </w:tcPr>
          <w:p>
            <w:pPr>
              <w:jc w:val="left"/>
            </w:pPr>
            <w:r/>
            <w:r>
              <w:rPr>
                <w:rFonts w:ascii="Arial" w:hAnsi="Arial"/>
                <w:b/>
                <w:sz w:val="18"/>
              </w:rPr>
              <w:t>DEPENDENCIA COMPETENTE EN MATERIA DE COMUNICACIONES</w:t>
            </w:r>
          </w:p>
        </w:tc>
        <w:tc>
          <w:tcPr>
            <w:tcW w:type="dxa" w:w="4703"/>
          </w:tcPr>
          <w:p>
            <w:pPr>
              <w:jc w:val="left"/>
            </w:pPr>
            <w:r/>
            <w:r>
              <w:rPr>
                <w:rFonts w:ascii="Arial" w:hAnsi="Arial"/>
                <w:sz w:val="18"/>
              </w:rPr>
              <w:t>Dependencia a cargo de los contenidos institucionales, de la sede electrónica y de los medios digitales, en lo relativo a la verificación de licencias y créditos de las obras que se publiquen. «PENDIENTE DE CONFIRMACIÓN – denominación oficial».</w:t>
            </w:r>
          </w:p>
        </w:tc>
      </w:tr>
      <w:tr>
        <w:tc>
          <w:tcPr>
            <w:tcW w:type="dxa" w:w="4703"/>
          </w:tcPr>
          <w:p>
            <w:pPr>
              <w:jc w:val="left"/>
            </w:pPr>
            <w:r/>
            <w:r>
              <w:rPr>
                <w:rFonts w:ascii="Arial" w:hAnsi="Arial"/>
                <w:b/>
                <w:sz w:val="18"/>
              </w:rPr>
              <w:t>DEPENDENCIA COMPETENTE EN MATERIA JURÍDICA Y CONTRACTUAL</w:t>
            </w:r>
          </w:p>
        </w:tc>
        <w:tc>
          <w:tcPr>
            <w:tcW w:type="dxa" w:w="4703"/>
          </w:tcPr>
          <w:p>
            <w:pPr>
              <w:jc w:val="left"/>
            </w:pPr>
            <w:r/>
            <w:r>
              <w:rPr>
                <w:rFonts w:ascii="Arial" w:hAnsi="Arial"/>
                <w:sz w:val="18"/>
              </w:rPr>
              <w:t>Dependencia a cargo de la revisión de las cláusulas de propiedad intelectual en contratos y convenios y del acompañamiento en la defensa de los activos de la entidad. «PENDIENTE DE CONFIRMACIÓN – denominación oficial».</w:t>
            </w:r>
          </w:p>
        </w:tc>
      </w:tr>
    </w:tbl>
    <w:p/>
    <w:p>
      <w:pPr>
        <w:pStyle w:val="Heading2"/>
      </w:pPr>
      <w:r>
        <w:rPr>
          <w:rFonts w:ascii="Arial" w:hAnsi="Arial"/>
          <w:b/>
          <w:color w:val="1F365D"/>
        </w:rPr>
      </w:r>
      <w:r>
        <w:rPr>
          <w:rFonts w:ascii="Arial" w:hAnsi="Arial"/>
          <w:b/>
          <w:color w:val="1F365D"/>
        </w:rPr>
        <w:t>16. RÉGIMEN DE RESPONSABILIDADES</w:t>
      </w:r>
    </w:p>
    <w:p>
      <w:pPr>
        <w:jc w:val="both"/>
      </w:pPr>
      <w:r>
        <w:rPr>
          <w:rFonts w:ascii="Arial" w:hAnsi="Arial"/>
        </w:rPr>
        <w:t xml:space="preserve">Esta política </w:t>
      </w:r>
      <w:r>
        <w:rPr>
          <w:rFonts w:ascii="Arial" w:hAnsi="Arial"/>
          <w:b/>
        </w:rPr>
        <w:t>no crea tipos sancionatorios ni faculta a dependencia alguna para imponer sanciones</w:t>
      </w:r>
      <w:r>
        <w:rPr>
          <w:rFonts w:ascii="Arial" w:hAnsi="Arial"/>
        </w:rPr>
        <w:t>. Se limita a advertir que la infracción de los derechos de autor y de los derechos conexos, así como el incumplimiento de los lineamientos aquí previstos, pueden dar lugar a las responsabilidades que determinen las autoridades competentes, mediante los procedimientos legalmente establecidos y con plena garantía del debido proceso (artículo 29 de la Constitución Política).</w:t>
      </w:r>
    </w:p>
    <w:p>
      <w:pPr>
        <w:jc w:val="both"/>
      </w:pPr>
      <w:r>
        <w:rPr>
          <w:rFonts w:ascii="Arial" w:hAnsi="Arial"/>
        </w:rPr>
        <w:t>En particular:</w:t>
      </w:r>
    </w:p>
    <w:p>
      <w:pPr>
        <w:pStyle w:val="ListBullet"/>
        <w:spacing w:after="60"/>
        <w:jc w:val="both"/>
      </w:pPr>
      <w:r>
        <w:rPr>
          <w:rFonts w:ascii="Arial" w:hAnsi="Arial"/>
          <w:b/>
        </w:rPr>
        <w:t>Responsabilidad civil.</w:t>
      </w:r>
      <w:r>
        <w:rPr>
          <w:rFonts w:ascii="Arial" w:hAnsi="Arial"/>
        </w:rPr>
        <w:t xml:space="preserve"> Quienes vean lesionados sus derechos de autor pueden acudir a la jurisdicción competente para obtener la indemnización del daño emergente —dentro del cual puede considerarse el perjuicio derivado de la vulneración de derechos morales— y del lucro cesante causados por la infracción, de naturaleza contractual o extracontractual, así como el cese de los actos infractores y las demás medidas previstas en la ley. Conforme al artículo 24 de la Ley 1564 de 2012, la Dirección Nacional de Derecho de Autor ejerce funciones jurisdiccionales en los procesos relacionados con derecho de autor y derechos conexos, a prevención con la jurisdicción ordinaria.</w:t>
      </w:r>
    </w:p>
    <w:p>
      <w:pPr>
        <w:pStyle w:val="ListBullet"/>
        <w:spacing w:after="60"/>
        <w:jc w:val="both"/>
      </w:pPr>
      <w:r>
        <w:rPr>
          <w:rFonts w:ascii="Arial" w:hAnsi="Arial"/>
          <w:b/>
        </w:rPr>
        <w:t>Responsabilidad penal.</w:t>
      </w:r>
      <w:r>
        <w:rPr>
          <w:rFonts w:ascii="Arial" w:hAnsi="Arial"/>
        </w:rPr>
        <w:t xml:space="preserve"> El Título VIII del Libro Segundo de la Ley 599 de 2000 tipifica los delitos contra los derechos de autor, en los artículos 270 (violación a los derechos morales de autor), 271 (defraudación a los derechos patrimoniales de autor) y 272 (violación a los mecanismos de protección de los derechos patrimoniales de autor y otras defraudaciones), </w:t>
      </w:r>
      <w:r>
        <w:rPr>
          <w:rFonts w:ascii="Arial" w:hAnsi="Arial"/>
          <w:b/>
        </w:rPr>
        <w:t>modificados por la Ley 1032 de 2006</w:t>
      </w:r>
      <w:r>
        <w:rPr>
          <w:rFonts w:ascii="Arial" w:hAnsi="Arial"/>
        </w:rPr>
        <w:t>. La descripción de las conductas y las penas aplicables son las que establezcan dichas normas conforme a su texto vigente al momento de los hechos; su calificación y sanción corresponden exclusivamente a la Fiscalía General de la Nación y a los jueces penales. La entidad se abstiene de reproducir en este documento el texto de los tipos penales, a fin de evitar la incorporación de redacciones desactualizadas.</w:t>
      </w:r>
    </w:p>
    <w:p>
      <w:pPr>
        <w:pStyle w:val="ListBullet"/>
        <w:spacing w:after="60"/>
        <w:jc w:val="both"/>
      </w:pPr>
      <w:r>
        <w:rPr>
          <w:rFonts w:ascii="Arial" w:hAnsi="Arial"/>
          <w:b/>
        </w:rPr>
        <w:t>Responsabilidad disciplinaria.</w:t>
      </w:r>
      <w:r>
        <w:rPr>
          <w:rFonts w:ascii="Arial" w:hAnsi="Arial"/>
        </w:rPr>
        <w:t xml:space="preserve"> La conducta de los servidores públicos que desconozca los deberes legales en materia de derecho de autor podrá ser investigada conforme a la Ley 1952 de 2019 (Código General Disciplinario), modificada por la Ley 2094 de 2021, por la autoridad disciplinaria competente. La entidad no puede predeterminar en esta política la calificación de la falta ni la sanción aplicable.</w:t>
      </w:r>
    </w:p>
    <w:p>
      <w:pPr>
        <w:pStyle w:val="ListBullet"/>
        <w:spacing w:after="60"/>
        <w:jc w:val="both"/>
      </w:pPr>
      <w:r>
        <w:rPr>
          <w:rFonts w:ascii="Arial" w:hAnsi="Arial"/>
          <w:b/>
        </w:rPr>
        <w:t>Responsabilidad fiscal.</w:t>
      </w:r>
      <w:r>
        <w:rPr>
          <w:rFonts w:ascii="Arial" w:hAnsi="Arial"/>
        </w:rPr>
        <w:t xml:space="preserve"> Cuando de los hechos pueda derivarse un presunto detrimento al patrimonio público, se dará traslado al órgano de control fiscal competente, en los términos de la Ley 610 de 2000 y sus normas modificatorias.</w:t>
      </w:r>
    </w:p>
    <w:p>
      <w:pPr>
        <w:pStyle w:val="ListBullet"/>
        <w:spacing w:after="60"/>
        <w:jc w:val="both"/>
      </w:pPr>
      <w:r>
        <w:rPr>
          <w:rFonts w:ascii="Arial" w:hAnsi="Arial"/>
          <w:b/>
        </w:rPr>
        <w:t>Responsabilidad contractual.</w:t>
      </w:r>
      <w:r>
        <w:rPr>
          <w:rFonts w:ascii="Arial" w:hAnsi="Arial"/>
        </w:rPr>
        <w:t xml:space="preserve"> El incumplimiento de las obligaciones en materia de propiedad intelectual por parte de contratistas dará lugar a la aplicación de los procedimientos contractuales legalmente previstos, incluidos, según el caso, los del artículo 86 de la Ley 1474 de 2011, con garantía del debido proceso.</w:t>
      </w:r>
    </w:p>
    <w:p>
      <w:pPr>
        <w:jc w:val="both"/>
      </w:pPr>
      <w:r>
        <w:rPr>
          <w:rFonts w:ascii="Arial" w:hAnsi="Arial"/>
        </w:rPr>
        <w:t>Cuando la dependencia competente en materia de TIC o cualquier otra dependencia advierta hechos que puedan configurar alguna de las responsabilidades anteriores, elaborará el informe correspondiente y lo remitirá a la autoridad u órgano competente, absteniéndose de calificar la conducta.</w:t>
      </w:r>
    </w:p>
    <w:p>
      <w:pPr>
        <w:pStyle w:val="Heading2"/>
      </w:pPr>
      <w:r>
        <w:rPr>
          <w:rFonts w:ascii="Arial" w:hAnsi="Arial"/>
          <w:b/>
          <w:color w:val="1F365D"/>
        </w:rPr>
      </w:r>
      <w:r>
        <w:rPr>
          <w:rFonts w:ascii="Arial" w:hAnsi="Arial"/>
          <w:b/>
          <w:color w:val="1F365D"/>
        </w:rPr>
        <w:t>17. NOTIFICACIONES Y PROCEDIMIENTO DE RECLAMOS POR PRESUNTA VULNERACIÓN DE DERECHOS DE PROPIEDAD INTELECTUAL</w:t>
      </w:r>
    </w:p>
    <w:p>
      <w:pPr>
        <w:jc w:val="both"/>
      </w:pPr>
      <w:r>
        <w:rPr>
          <w:rFonts w:ascii="Arial" w:hAnsi="Arial"/>
        </w:rPr>
        <w:t xml:space="preserve">Cualquier persona que considere que un contenido publicado o utilizado por la Alcaldía Municipal de Jamundí vulnera sus derechos de autor o derechos conexos podrá presentar su reclamación </w:t>
      </w:r>
      <w:r>
        <w:rPr>
          <w:rFonts w:ascii="Arial" w:hAnsi="Arial"/>
          <w:b/>
        </w:rPr>
        <w:t>ante la entidad</w:t>
      </w:r>
      <w:r>
        <w:rPr>
          <w:rFonts w:ascii="Arial" w:hAnsi="Arial"/>
        </w:rPr>
        <w:t>, a través de los canales oficiales de atención y del sistema de peticiones, quejas, reclamos, sugerencias y denuncias (PQRSD), en ejercicio del derecho fundamental de petición regulado por la Ley 1755 de 2015. «PENDIENTE DE CONFIRMACIÓN – canales oficiales: dirección física, correo electrónico institucional para PQRSD, formulario web y línea de atención».</w:t>
      </w:r>
    </w:p>
    <w:p>
      <w:pPr>
        <w:jc w:val="both"/>
      </w:pPr>
      <w:r>
        <w:rPr>
          <w:rFonts w:ascii="Arial" w:hAnsi="Arial"/>
        </w:rPr>
        <w:t>La reclamación debería contener, para su adecuado trámite:</w:t>
      </w:r>
    </w:p>
    <w:p>
      <w:pPr>
        <w:pStyle w:val="ListBullet"/>
        <w:spacing w:after="60"/>
        <w:jc w:val="both"/>
      </w:pPr>
      <w:r>
        <w:rPr>
          <w:rFonts w:ascii="Arial" w:hAnsi="Arial"/>
        </w:rPr>
        <w:t>identificación y datos de contacto del reclamante o de quien lo represente, acreditando la representación cuando corresponda;</w:t>
      </w:r>
    </w:p>
    <w:p>
      <w:pPr>
        <w:pStyle w:val="ListBullet"/>
        <w:spacing w:after="60"/>
        <w:jc w:val="both"/>
      </w:pPr>
      <w:r>
        <w:rPr>
          <w:rFonts w:ascii="Arial" w:hAnsi="Arial"/>
        </w:rPr>
        <w:t>identificación de la obra o prestación presuntamente vulnerada y de la titularidad invocada, con los soportes disponibles;</w:t>
      </w:r>
    </w:p>
    <w:p>
      <w:pPr>
        <w:pStyle w:val="ListBullet"/>
        <w:spacing w:after="60"/>
        <w:jc w:val="both"/>
      </w:pPr>
      <w:r>
        <w:rPr>
          <w:rFonts w:ascii="Arial" w:hAnsi="Arial"/>
        </w:rPr>
        <w:t>indicación precisa del contenido, la publicación o el uso objeto de la reclamación (con URL o ubicación exacta, cuando aplique);</w:t>
      </w:r>
    </w:p>
    <w:p>
      <w:pPr>
        <w:pStyle w:val="ListBullet"/>
        <w:spacing w:after="60"/>
        <w:jc w:val="both"/>
      </w:pPr>
      <w:r>
        <w:rPr>
          <w:rFonts w:ascii="Arial" w:hAnsi="Arial"/>
        </w:rPr>
        <w:t>descripción de los hechos y de la pretensión.</w:t>
      </w:r>
    </w:p>
    <w:p>
      <w:pPr>
        <w:jc w:val="both"/>
      </w:pPr>
      <w:r>
        <w:rPr>
          <w:rFonts w:ascii="Arial" w:hAnsi="Arial"/>
        </w:rPr>
        <w:t>Recibida la reclamación, la entidad la tramitará dentro de los términos legales, verificará el título jurídico que soporta el uso del contenido y, si encuentra fundada la reclamación, adoptará las medidas que correspondan, incluidas —según el caso— la corrección de créditos de autoría, la obtención de la licencia, el retiro del contenido o la comunicación al contratista responsable para lo de su cargo.</w:t>
      </w:r>
    </w:p>
    <w:p>
      <w:pPr>
        <w:jc w:val="both"/>
      </w:pPr>
      <w:r>
        <w:rPr>
          <w:rFonts w:ascii="Arial" w:hAnsi="Arial"/>
        </w:rPr>
        <w:t xml:space="preserve">La presentación de la reclamación ante la entidad </w:t>
      </w:r>
      <w:r>
        <w:rPr>
          <w:rFonts w:ascii="Arial" w:hAnsi="Arial"/>
          <w:b/>
        </w:rPr>
        <w:t>no es requisito de procedibilidad ni limita el acceso</w:t>
      </w:r>
      <w:r>
        <w:rPr>
          <w:rFonts w:ascii="Arial" w:hAnsi="Arial"/>
        </w:rPr>
        <w:t xml:space="preserve"> a las demás vías previstas en el ordenamiento, entre ellas:</w:t>
      </w:r>
    </w:p>
    <w:p>
      <w:pPr>
        <w:pStyle w:val="ListBullet"/>
        <w:spacing w:after="60"/>
        <w:jc w:val="both"/>
      </w:pPr>
      <w:r>
        <w:rPr>
          <w:rFonts w:ascii="Arial" w:hAnsi="Arial"/>
        </w:rPr>
        <w:t xml:space="preserve">la actuación ante la </w:t>
      </w:r>
      <w:r>
        <w:rPr>
          <w:rFonts w:ascii="Arial" w:hAnsi="Arial"/>
          <w:b/>
        </w:rPr>
        <w:t>Dirección Nacional de Derecho de Autor</w:t>
      </w:r>
      <w:r>
        <w:rPr>
          <w:rFonts w:ascii="Arial" w:hAnsi="Arial"/>
        </w:rPr>
        <w:t>, entidad adscrita al Ministerio del Interior, a través de su sede electrónica (</w:t>
      </w:r>
      <w:r>
        <w:rPr>
          <w:rFonts w:ascii="Consolas" w:hAnsi="Consolas"/>
        </w:rPr>
        <w:t>www.derechosdeautor.gov.co</w:t>
      </w:r>
      <w:r>
        <w:rPr>
          <w:rFonts w:ascii="Arial" w:hAnsi="Arial"/>
        </w:rPr>
        <w:t>), en ejercicio de sus funciones administrativas y, conforme al artículo 24 de la Ley 1564 de 2012, jurisdiccionales;</w:t>
      </w:r>
    </w:p>
    <w:p>
      <w:pPr>
        <w:pStyle w:val="ListBullet"/>
        <w:spacing w:after="60"/>
        <w:jc w:val="both"/>
      </w:pPr>
      <w:r>
        <w:rPr>
          <w:rFonts w:ascii="Arial" w:hAnsi="Arial"/>
        </w:rPr>
        <w:t>la jurisdicción ordinaria en sus especialidades civil y penal;</w:t>
      </w:r>
    </w:p>
    <w:p>
      <w:pPr>
        <w:pStyle w:val="ListBullet"/>
        <w:spacing w:after="60"/>
        <w:jc w:val="both"/>
      </w:pPr>
      <w:r>
        <w:rPr>
          <w:rFonts w:ascii="Arial" w:hAnsi="Arial"/>
        </w:rPr>
        <w:t>la jurisdicción de lo contencioso administrativo, cuando corresponda;</w:t>
      </w:r>
    </w:p>
    <w:p>
      <w:pPr>
        <w:pStyle w:val="ListBullet"/>
        <w:spacing w:after="60"/>
        <w:jc w:val="both"/>
      </w:pPr>
      <w:r>
        <w:rPr>
          <w:rFonts w:ascii="Arial" w:hAnsi="Arial"/>
        </w:rPr>
        <w:t>las autoridades disciplinarias y los órganos de control.</w:t>
      </w:r>
    </w:p>
    <w:p>
      <w:pPr>
        <w:jc w:val="both"/>
      </w:pPr>
      <w:r>
        <w:rPr>
          <w:rFonts w:ascii="Arial" w:hAnsi="Arial"/>
        </w:rPr>
        <w:t>Correlativamente, cuando la Alcaldía Municipal de Jamundí advierta una posible vulneración de los derechos de propiedad intelectual de los que es titular, la dependencia competente en materia jurídica evaluará y promoverá, previa motivación, las acciones administrativas o judiciales que resulten procedentes para la defensa del patrimonio público.</w:t>
      </w:r>
    </w:p>
    <w:p>
      <w:pPr>
        <w:pStyle w:val="Heading2"/>
      </w:pPr>
      <w:r>
        <w:rPr>
          <w:rFonts w:ascii="Arial" w:hAnsi="Arial"/>
          <w:b/>
          <w:color w:val="1F365D"/>
        </w:rPr>
      </w:r>
      <w:r>
        <w:rPr>
          <w:rFonts w:ascii="Arial" w:hAnsi="Arial"/>
          <w:b/>
          <w:color w:val="1F365D"/>
        </w:rPr>
        <w:t>18. DIVULGACIÓN Y CAPACITACIÓN</w:t>
      </w:r>
    </w:p>
    <w:p>
      <w:pPr>
        <w:jc w:val="both"/>
      </w:pPr>
      <w:r>
        <w:rPr>
          <w:rFonts w:ascii="Arial" w:hAnsi="Arial"/>
        </w:rPr>
        <w:t>La Alcaldía Municipal de Jamundí generará planes y acciones de divulgación y capacitación dirigidos a sus directivos, servidores públicos, contratistas y terceros, orientados a promover la cultura del respeto de la propiedad intelectual y a difundir los derechos y deberes que les asisten, así como el contenido de esta política. La responsabilidad de su formulación y ejecución corresponderá a la dependencia competente, en articulación con el plan institucional de capacitación. «PENDIENTE DE CONFIRMACIÓN – dependencia responsable y periodicidad».</w:t>
      </w:r>
    </w:p>
    <w:p>
      <w:pPr>
        <w:pStyle w:val="Heading2"/>
      </w:pPr>
      <w:r>
        <w:rPr>
          <w:rFonts w:ascii="Arial" w:hAnsi="Arial"/>
          <w:b/>
          <w:color w:val="1F365D"/>
        </w:rPr>
      </w:r>
      <w:r>
        <w:rPr>
          <w:rFonts w:ascii="Arial" w:hAnsi="Arial"/>
          <w:b/>
          <w:color w:val="1F365D"/>
        </w:rPr>
        <w:t>19. VIGENCIA, REVISIÓN Y ACTUALIZACIÓN</w:t>
      </w:r>
    </w:p>
    <w:p>
      <w:pPr>
        <w:jc w:val="both"/>
      </w:pPr>
      <w:r>
        <w:rPr>
          <w:rFonts w:ascii="Arial" w:hAnsi="Arial"/>
        </w:rPr>
        <w:t>La presente política rige a partir de la fecha de su adopción mediante el acto administrativo que corresponda y deroga las disposiciones internas que le sean contrarias.</w:t>
      </w:r>
    </w:p>
    <w:p>
      <w:pPr>
        <w:jc w:val="both"/>
      </w:pPr>
      <w:r>
        <w:rPr>
          <w:rFonts w:ascii="Arial" w:hAnsi="Arial"/>
        </w:rPr>
        <w:t xml:space="preserve">Será revisada como mínimo </w:t>
      </w:r>
      <w:r>
        <w:rPr>
          <w:rFonts w:ascii="Arial" w:hAnsi="Arial"/>
          <w:b/>
        </w:rPr>
        <w:t>una (1) vez al año</w:t>
      </w:r>
      <w:r>
        <w:rPr>
          <w:rFonts w:ascii="Arial" w:hAnsi="Arial"/>
        </w:rPr>
        <w:t>, y siempre que se produzcan cambios normativos, jurisprudenciales o institucionales que lo ameriten, por la dependencia competente en materia de tecnologías de la información y las comunicaciones y por la dependencia competente en materia de comunicaciones, con el acompañamiento de la dependencia competente en materia jurídica. «PENDIENTE DE CONFIRMACIÓN – dependencias a las que se asigna la revisión y procedimiento de control de cambios documentales».</w:t>
      </w:r>
    </w:p>
    <w:p>
      <w:pPr>
        <w:pStyle w:val="Heading2"/>
      </w:pPr>
      <w:r>
        <w:rPr>
          <w:rFonts w:ascii="Arial" w:hAnsi="Arial"/>
          <w:b/>
          <w:color w:val="1F365D"/>
        </w:rPr>
      </w:r>
      <w:r>
        <w:rPr>
          <w:rFonts w:ascii="Arial" w:hAnsi="Arial"/>
          <w:b/>
          <w:color w:val="1F365D"/>
        </w:rPr>
        <w:t>CONTROL DE CAMBIOS</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rPr>
          <w:tblHeader w:val="true"/>
        </w:trPr>
        <w:tc>
          <w:tcPr>
            <w:tcW w:type="dxa" w:w="1568"/>
            <w:shd w:val="clear" w:color="auto" w:fill="1F365D"/>
          </w:tcPr>
          <w:p>
            <w:r>
              <w:rPr>
                <w:color w:val="FFFFFF"/>
              </w:rPr>
            </w:r>
            <w:r>
              <w:rPr>
                <w:rFonts w:ascii="Arial" w:hAnsi="Arial"/>
                <w:b/>
                <w:color w:val="FFFFFF"/>
                <w:sz w:val="18"/>
              </w:rPr>
              <w:t>Versión</w:t>
            </w:r>
          </w:p>
        </w:tc>
        <w:tc>
          <w:tcPr>
            <w:tcW w:type="dxa" w:w="1568"/>
            <w:shd w:val="clear" w:color="auto" w:fill="1F365D"/>
          </w:tcPr>
          <w:p>
            <w:r>
              <w:rPr>
                <w:color w:val="FFFFFF"/>
              </w:rPr>
            </w:r>
            <w:r>
              <w:rPr>
                <w:rFonts w:ascii="Arial" w:hAnsi="Arial"/>
                <w:b/>
                <w:color w:val="FFFFFF"/>
                <w:sz w:val="18"/>
              </w:rPr>
              <w:t>Fecha</w:t>
            </w:r>
          </w:p>
        </w:tc>
        <w:tc>
          <w:tcPr>
            <w:tcW w:type="dxa" w:w="1568"/>
            <w:shd w:val="clear" w:color="auto" w:fill="1F365D"/>
          </w:tcPr>
          <w:p>
            <w:r>
              <w:rPr>
                <w:color w:val="FFFFFF"/>
              </w:rPr>
            </w:r>
            <w:r>
              <w:rPr>
                <w:rFonts w:ascii="Arial" w:hAnsi="Arial"/>
                <w:b/>
                <w:color w:val="FFFFFF"/>
                <w:sz w:val="18"/>
              </w:rPr>
              <w:t>Descripción del cambio</w:t>
            </w:r>
          </w:p>
        </w:tc>
        <w:tc>
          <w:tcPr>
            <w:tcW w:type="dxa" w:w="1568"/>
            <w:shd w:val="clear" w:color="auto" w:fill="1F365D"/>
          </w:tcPr>
          <w:p>
            <w:r>
              <w:rPr>
                <w:color w:val="FFFFFF"/>
              </w:rPr>
            </w:r>
            <w:r>
              <w:rPr>
                <w:rFonts w:ascii="Arial" w:hAnsi="Arial"/>
                <w:b/>
                <w:color w:val="FFFFFF"/>
                <w:sz w:val="18"/>
              </w:rPr>
              <w:t>Elaboró</w:t>
            </w:r>
          </w:p>
        </w:tc>
        <w:tc>
          <w:tcPr>
            <w:tcW w:type="dxa" w:w="1568"/>
            <w:shd w:val="clear" w:color="auto" w:fill="1F365D"/>
          </w:tcPr>
          <w:p>
            <w:r>
              <w:rPr>
                <w:color w:val="FFFFFF"/>
              </w:rPr>
            </w:r>
            <w:r>
              <w:rPr>
                <w:rFonts w:ascii="Arial" w:hAnsi="Arial"/>
                <w:b/>
                <w:color w:val="FFFFFF"/>
                <w:sz w:val="18"/>
              </w:rPr>
              <w:t>Revisó</w:t>
            </w:r>
          </w:p>
        </w:tc>
        <w:tc>
          <w:tcPr>
            <w:tcW w:type="dxa" w:w="1568"/>
            <w:shd w:val="clear" w:color="auto" w:fill="1F365D"/>
          </w:tcPr>
          <w:p>
            <w:r>
              <w:rPr>
                <w:color w:val="FFFFFF"/>
              </w:rPr>
            </w:r>
            <w:r>
              <w:rPr>
                <w:rFonts w:ascii="Arial" w:hAnsi="Arial"/>
                <w:b/>
                <w:color w:val="FFFFFF"/>
                <w:sz w:val="18"/>
              </w:rPr>
              <w:t>Aprobó</w:t>
            </w:r>
          </w:p>
        </w:tc>
      </w:tr>
      <w:tr>
        <w:tc>
          <w:tcPr>
            <w:tcW w:type="dxa" w:w="1568"/>
          </w:tcPr>
          <w:p>
            <w:pPr>
              <w:jc w:val="left"/>
            </w:pPr>
            <w:r/>
            <w:r>
              <w:rPr>
                <w:rFonts w:ascii="Arial" w:hAnsi="Arial"/>
                <w:sz w:val="18"/>
              </w:rPr>
              <w:t>«PENDIENTE»</w:t>
            </w:r>
          </w:p>
        </w:tc>
        <w:tc>
          <w:tcPr>
            <w:tcW w:type="dxa" w:w="1568"/>
          </w:tcPr>
          <w:p>
            <w:pPr>
              <w:jc w:val="left"/>
            </w:pPr>
            <w:r/>
            <w:r>
              <w:rPr>
                <w:rFonts w:ascii="Arial" w:hAnsi="Arial"/>
                <w:sz w:val="18"/>
              </w:rPr>
              <w:t>«PENDIENTE»</w:t>
            </w:r>
          </w:p>
        </w:tc>
        <w:tc>
          <w:tcPr>
            <w:tcW w:type="dxa" w:w="1568"/>
          </w:tcPr>
          <w:p>
            <w:pPr>
              <w:jc w:val="left"/>
            </w:pPr>
            <w:r/>
            <w:r>
              <w:rPr>
                <w:rFonts w:ascii="Arial" w:hAnsi="Arial"/>
                <w:sz w:val="18"/>
              </w:rPr>
              <w:t>Versión inicial</w:t>
            </w:r>
          </w:p>
        </w:tc>
        <w:tc>
          <w:tcPr>
            <w:tcW w:type="dxa" w:w="1568"/>
          </w:tcPr>
          <w:p>
            <w:pPr>
              <w:jc w:val="left"/>
            </w:pPr>
            <w:r/>
            <w:r>
              <w:rPr>
                <w:rFonts w:ascii="Arial" w:hAnsi="Arial"/>
                <w:sz w:val="18"/>
              </w:rPr>
              <w:t>«PENDIENTE»</w:t>
            </w:r>
          </w:p>
        </w:tc>
        <w:tc>
          <w:tcPr>
            <w:tcW w:type="dxa" w:w="1568"/>
          </w:tcPr>
          <w:p>
            <w:pPr>
              <w:jc w:val="left"/>
            </w:pPr>
            <w:r/>
            <w:r>
              <w:rPr>
                <w:rFonts w:ascii="Arial" w:hAnsi="Arial"/>
                <w:sz w:val="18"/>
              </w:rPr>
              <w:t>«PENDIENTE»</w:t>
            </w:r>
          </w:p>
        </w:tc>
        <w:tc>
          <w:tcPr>
            <w:tcW w:type="dxa" w:w="1568"/>
          </w:tcPr>
          <w:p>
            <w:pPr>
              <w:jc w:val="left"/>
            </w:pPr>
            <w:r/>
            <w:r>
              <w:rPr>
                <w:rFonts w:ascii="Arial" w:hAnsi="Arial"/>
                <w:sz w:val="18"/>
              </w:rPr>
              <w:t>«PENDIENTE»</w:t>
            </w:r>
          </w:p>
        </w:tc>
      </w:tr>
    </w:tbl>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44444"/>
        <w:sz w:val="16"/>
      </w:rPr>
      <w:fldChar w:fldCharType="begin"/>
      <w:instrText xml:space="preserve"> PAGE </w:instrText>
      <w:fldChar w:fldCharType="separate"/>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1F365D"/>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Arial" w:hAnsi="Arial"/>
      <w:b/>
      <w:bCs/>
      <w:color w:val="1F365D"/>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F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