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E492" w14:textId="77777777" w:rsidR="0077147F" w:rsidRPr="00201368" w:rsidRDefault="0077147F" w:rsidP="0077147F">
      <w:pPr>
        <w:jc w:val="center"/>
        <w:rPr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84B633B" wp14:editId="415EA550">
            <wp:simplePos x="0" y="0"/>
            <wp:positionH relativeFrom="column">
              <wp:posOffset>-1056005</wp:posOffset>
            </wp:positionH>
            <wp:positionV relativeFrom="paragraph">
              <wp:posOffset>217170</wp:posOffset>
            </wp:positionV>
            <wp:extent cx="7366635" cy="4191635"/>
            <wp:effectExtent l="0" t="0" r="571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V relativeFrom="margin">
              <wp14:pctHeight>0</wp14:pctHeight>
            </wp14:sizeRelV>
          </wp:anchor>
        </w:drawing>
      </w:r>
      <w:r w:rsidRPr="00201368">
        <w:rPr>
          <w:b/>
          <w:bCs/>
          <w:sz w:val="28"/>
          <w:szCs w:val="28"/>
        </w:rPr>
        <w:t>Teorema de Norton:</w:t>
      </w:r>
    </w:p>
    <w:p w14:paraId="3391AE59" w14:textId="77777777" w:rsidR="0077147F" w:rsidRDefault="0077147F" w:rsidP="0077147F">
      <w:pPr>
        <w:rPr>
          <w:rFonts w:ascii="Times-Bold" w:hAnsi="Times-Bold" w:cs="Times-Bold"/>
          <w:b/>
          <w:bCs/>
          <w:sz w:val="20"/>
          <w:szCs w:val="20"/>
        </w:rPr>
      </w:pPr>
    </w:p>
    <w:p w14:paraId="76DA6917" w14:textId="77777777" w:rsidR="0077147F" w:rsidRDefault="0077147F" w:rsidP="0077147F">
      <w:pPr>
        <w:ind w:left="-142" w:firstLine="142"/>
        <w:rPr>
          <w:rFonts w:ascii="Times-Bold" w:hAnsi="Times-Bold" w:cs="Times-Bold"/>
          <w:b/>
          <w:bCs/>
          <w:sz w:val="20"/>
          <w:szCs w:val="20"/>
        </w:rPr>
      </w:pPr>
    </w:p>
    <w:p w14:paraId="24FB41C7" w14:textId="72CBC70F" w:rsidR="00F168AA" w:rsidRPr="0077147F" w:rsidRDefault="00F168AA">
      <w:pPr>
        <w:rPr>
          <w:rFonts w:ascii="Times-Bold" w:hAnsi="Times-Bold" w:cs="Times-Bold"/>
          <w:b/>
          <w:bCs/>
          <w:sz w:val="20"/>
          <w:szCs w:val="20"/>
        </w:rPr>
      </w:pPr>
    </w:p>
    <w:sectPr w:rsidR="00F168AA" w:rsidRPr="0077147F" w:rsidSect="0077147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7F"/>
    <w:rsid w:val="0077147F"/>
    <w:rsid w:val="00C3712D"/>
    <w:rsid w:val="00F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2769"/>
  <w15:chartTrackingRefBased/>
  <w15:docId w15:val="{7BFF9013-226D-42CA-BD30-E5D5C742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7F"/>
  </w:style>
  <w:style w:type="paragraph" w:styleId="Ttulo1">
    <w:name w:val="heading 1"/>
    <w:basedOn w:val="Normal"/>
    <w:next w:val="Normal"/>
    <w:link w:val="Ttulo1Car"/>
    <w:uiPriority w:val="9"/>
    <w:qFormat/>
    <w:rsid w:val="00C371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1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1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1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1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1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1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1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12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1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1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1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12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1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712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3712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12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12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3712D"/>
    <w:rPr>
      <w:b/>
      <w:bCs/>
    </w:rPr>
  </w:style>
  <w:style w:type="character" w:styleId="nfasis">
    <w:name w:val="Emphasis"/>
    <w:basedOn w:val="Fuentedeprrafopredeter"/>
    <w:uiPriority w:val="20"/>
    <w:qFormat/>
    <w:rsid w:val="00C3712D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371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712D"/>
  </w:style>
  <w:style w:type="paragraph" w:styleId="Cita">
    <w:name w:val="Quote"/>
    <w:basedOn w:val="Normal"/>
    <w:next w:val="Normal"/>
    <w:link w:val="CitaCar"/>
    <w:uiPriority w:val="29"/>
    <w:qFormat/>
    <w:rsid w:val="00C3712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712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1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12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71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3712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371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712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3712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1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1BFDEC-4D45-4306-B146-51E9D11BF2D9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D9EDF446-72FE-4406-A89A-32DF99DF7045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</a:rPr>
            <a:t>Reduce un circuito complejo a una forma más simple de análisis.</a:t>
          </a:r>
        </a:p>
        <a:p>
          <a:r>
            <a:rPr lang="es-MX">
              <a:solidFill>
                <a:sysClr val="windowText" lastClr="000000"/>
              </a:solidFill>
            </a:rPr>
            <a:t>Se presenta una fuente de corriente equivalente dispuesta en paralelo con una impedancia equivalente.</a:t>
          </a:r>
        </a:p>
      </dgm:t>
    </dgm:pt>
    <dgm:pt modelId="{40DF3DE4-1748-4EF6-B27D-7BC48E637C38}" type="parTrans" cxnId="{378313C8-CD94-4BFA-A9B9-488CA97AD882}">
      <dgm:prSet/>
      <dgm:spPr/>
      <dgm:t>
        <a:bodyPr/>
        <a:lstStyle/>
        <a:p>
          <a:endParaRPr lang="es-MX"/>
        </a:p>
      </dgm:t>
    </dgm:pt>
    <dgm:pt modelId="{783A10F9-08A1-4A2B-B1BE-CDECB5B0A9E0}" type="sibTrans" cxnId="{378313C8-CD94-4BFA-A9B9-488CA97AD882}">
      <dgm:prSet/>
      <dgm:spPr/>
      <dgm:t>
        <a:bodyPr/>
        <a:lstStyle/>
        <a:p>
          <a:endParaRPr lang="es-MX"/>
        </a:p>
      </dgm:t>
    </dgm:pt>
    <dgm:pt modelId="{86A6B7D3-E064-4939-947D-9123ACB86F8A}">
      <dgm:prSet phldrT="[Texto]"/>
      <dgm:spPr/>
      <dgm:t>
        <a:bodyPr/>
        <a:lstStyle/>
        <a:p>
          <a:r>
            <a:rPr lang="es-MX" b="1">
              <a:solidFill>
                <a:sysClr val="windowText" lastClr="000000"/>
              </a:solidFill>
            </a:rPr>
            <a:t>Fuente de corriente equivalente de Norton (I</a:t>
          </a:r>
          <a:r>
            <a:rPr lang="es-MX" b="1" i="1">
              <a:solidFill>
                <a:sysClr val="windowText" lastClr="000000"/>
              </a:solidFill>
            </a:rPr>
            <a:t>n</a:t>
          </a:r>
          <a:r>
            <a:rPr lang="es-MX" b="1">
              <a:solidFill>
                <a:sysClr val="windowText" lastClr="000000"/>
              </a:solidFill>
            </a:rPr>
            <a:t>)</a:t>
          </a:r>
          <a:endParaRPr lang="es-MX">
            <a:solidFill>
              <a:sysClr val="windowText" lastClr="000000"/>
            </a:solidFill>
          </a:endParaRPr>
        </a:p>
        <a:p>
          <a:r>
            <a:rPr lang="es-MX">
              <a:solidFill>
                <a:sysClr val="windowText" lastClr="000000"/>
              </a:solidFill>
            </a:rPr>
            <a:t>Corriente que aparece al poner en cortocircuito las dos terminales específicas en un circuito dado.</a:t>
          </a:r>
        </a:p>
      </dgm:t>
    </dgm:pt>
    <dgm:pt modelId="{79B8FF5E-2E87-4DEB-9CB6-C3F9D25FD471}" type="parTrans" cxnId="{2306B057-5FF8-4467-9AC9-BA6F06F3ED09}">
      <dgm:prSet/>
      <dgm:spPr/>
      <dgm:t>
        <a:bodyPr/>
        <a:lstStyle/>
        <a:p>
          <a:endParaRPr lang="es-MX"/>
        </a:p>
      </dgm:t>
    </dgm:pt>
    <dgm:pt modelId="{2566BCB2-3436-4248-A5FB-EC12EA3C36B6}" type="sibTrans" cxnId="{2306B057-5FF8-4467-9AC9-BA6F06F3ED09}">
      <dgm:prSet/>
      <dgm:spPr/>
      <dgm:t>
        <a:bodyPr/>
        <a:lstStyle/>
        <a:p>
          <a:endParaRPr lang="es-MX"/>
        </a:p>
      </dgm:t>
    </dgm:pt>
    <dgm:pt modelId="{7F096FC1-073D-4C9A-A52B-8B94DA4056BB}">
      <dgm:prSet phldrT="[Texto]"/>
      <dgm:spPr/>
      <dgm:t>
        <a:bodyPr/>
        <a:lstStyle/>
        <a:p>
          <a:r>
            <a:rPr lang="es-MX" b="1">
              <a:solidFill>
                <a:sysClr val="windowText" lastClr="000000"/>
              </a:solidFill>
            </a:rPr>
            <a:t>Impedancia equivalente de Norton (Z</a:t>
          </a:r>
          <a:r>
            <a:rPr lang="es-MX" b="1" i="1">
              <a:solidFill>
                <a:sysClr val="windowText" lastClr="000000"/>
              </a:solidFill>
            </a:rPr>
            <a:t>n</a:t>
          </a:r>
          <a:r>
            <a:rPr lang="es-MX" b="1">
              <a:solidFill>
                <a:sysClr val="windowText" lastClr="000000"/>
              </a:solidFill>
            </a:rPr>
            <a:t>)</a:t>
          </a:r>
          <a:endParaRPr lang="es-MX">
            <a:solidFill>
              <a:sysClr val="windowText" lastClr="000000"/>
            </a:solidFill>
          </a:endParaRPr>
        </a:p>
        <a:p>
          <a:r>
            <a:rPr lang="es-MX">
              <a:solidFill>
                <a:sysClr val="windowText" lastClr="000000"/>
              </a:solidFill>
            </a:rPr>
            <a:t>Impedancia total que aparece entre dos terminales específicas de un circuito dado visto desde las terminales abiertas y con todas las fuentes reemplazadas por sus impedancias internas.</a:t>
          </a:r>
        </a:p>
      </dgm:t>
    </dgm:pt>
    <dgm:pt modelId="{109C8E10-3192-4BFF-9449-35FC93342EFA}" type="parTrans" cxnId="{1ADF0D88-F059-4A2D-85F7-76809DEDA842}">
      <dgm:prSet/>
      <dgm:spPr/>
      <dgm:t>
        <a:bodyPr/>
        <a:lstStyle/>
        <a:p>
          <a:endParaRPr lang="es-MX"/>
        </a:p>
      </dgm:t>
    </dgm:pt>
    <dgm:pt modelId="{0B84160D-C463-48E3-BF1D-6B134126CED3}" type="sibTrans" cxnId="{1ADF0D88-F059-4A2D-85F7-76809DEDA842}">
      <dgm:prSet/>
      <dgm:spPr/>
      <dgm:t>
        <a:bodyPr/>
        <a:lstStyle/>
        <a:p>
          <a:endParaRPr lang="es-MX"/>
        </a:p>
      </dgm:t>
    </dgm:pt>
    <dgm:pt modelId="{4F74D187-C193-4160-969A-ED284181BDF8}">
      <dgm:prSet phldrT="[Texto]"/>
      <dgm:spPr/>
      <dgm:t>
        <a:bodyPr/>
        <a:lstStyle/>
        <a:p>
          <a:r>
            <a:rPr lang="es-MX" b="1">
              <a:solidFill>
                <a:sysClr val="windowText" lastClr="000000"/>
              </a:solidFill>
            </a:rPr>
            <a:t>Paso 1. </a:t>
          </a:r>
          <a:r>
            <a:rPr lang="es-MX">
              <a:solidFill>
                <a:sysClr val="windowText" lastClr="000000"/>
              </a:solidFill>
            </a:rPr>
            <a:t>Reemplazar la carga conectada a las dos terminales entre las cuales se va a determinar el circuito de Norton con un corto. </a:t>
          </a:r>
          <a:r>
            <a:rPr lang="es-MX" b="1">
              <a:solidFill>
                <a:sysClr val="windowText" lastClr="000000"/>
              </a:solidFill>
            </a:rPr>
            <a:t>Paso 2. </a:t>
          </a:r>
          <a:r>
            <a:rPr lang="es-MX">
              <a:solidFill>
                <a:sysClr val="windowText" lastClr="000000"/>
              </a:solidFill>
            </a:rPr>
            <a:t>Determinar la corriente a través del corto.  </a:t>
          </a:r>
          <a:r>
            <a:rPr lang="es-MX" b="1">
              <a:solidFill>
                <a:sysClr val="windowText" lastClr="000000"/>
              </a:solidFill>
            </a:rPr>
            <a:t>Paso 3. </a:t>
          </a:r>
          <a:r>
            <a:rPr lang="es-MX">
              <a:solidFill>
                <a:sysClr val="windowText" lastClr="000000"/>
              </a:solidFill>
            </a:rPr>
            <a:t>Abrir las terminales y determinar la impedancia entre las dos terminales abiertas y con todas las fuentes reemplazadas por sus impedancias internas. </a:t>
          </a:r>
          <a:r>
            <a:rPr lang="es-MX" b="1">
              <a:solidFill>
                <a:sysClr val="windowText" lastClr="000000"/>
              </a:solidFill>
            </a:rPr>
            <a:t>Paso 4. </a:t>
          </a:r>
          <a:r>
            <a:rPr lang="es-MX">
              <a:solidFill>
                <a:sysClr val="windowText" lastClr="000000"/>
              </a:solidFill>
            </a:rPr>
            <a:t>Conectar In y Zn en paralelo.</a:t>
          </a:r>
        </a:p>
      </dgm:t>
    </dgm:pt>
    <dgm:pt modelId="{EB8FB033-4C8E-4552-9ACF-9F3BAFFFBA6E}" type="parTrans" cxnId="{5C8E14EF-7622-4019-9DC8-43F32B501C38}">
      <dgm:prSet/>
      <dgm:spPr/>
      <dgm:t>
        <a:bodyPr/>
        <a:lstStyle/>
        <a:p>
          <a:endParaRPr lang="es-MX"/>
        </a:p>
      </dgm:t>
    </dgm:pt>
    <dgm:pt modelId="{730A7A15-5660-4C4D-8C80-4EA941427AE2}" type="sibTrans" cxnId="{5C8E14EF-7622-4019-9DC8-43F32B501C38}">
      <dgm:prSet/>
      <dgm:spPr/>
      <dgm:t>
        <a:bodyPr/>
        <a:lstStyle/>
        <a:p>
          <a:endParaRPr lang="es-MX"/>
        </a:p>
      </dgm:t>
    </dgm:pt>
    <dgm:pt modelId="{C85536A0-9FCE-479F-97BC-D4AA9C4302AD}" type="pres">
      <dgm:prSet presAssocID="{421BFDEC-4D45-4306-B146-51E9D11BF2D9}" presName="Name0" presStyleCnt="0">
        <dgm:presLayoutVars>
          <dgm:chMax val="7"/>
          <dgm:chPref val="7"/>
          <dgm:dir/>
        </dgm:presLayoutVars>
      </dgm:prSet>
      <dgm:spPr/>
    </dgm:pt>
    <dgm:pt modelId="{AA17C575-4551-448A-BEF4-F808D01B0106}" type="pres">
      <dgm:prSet presAssocID="{421BFDEC-4D45-4306-B146-51E9D11BF2D9}" presName="Name1" presStyleCnt="0"/>
      <dgm:spPr/>
    </dgm:pt>
    <dgm:pt modelId="{BCB804C1-25EA-41A7-8990-2D15B6F2D007}" type="pres">
      <dgm:prSet presAssocID="{421BFDEC-4D45-4306-B146-51E9D11BF2D9}" presName="cycle" presStyleCnt="0"/>
      <dgm:spPr/>
    </dgm:pt>
    <dgm:pt modelId="{F8980058-1AAC-45E0-895B-9CC0820D19FC}" type="pres">
      <dgm:prSet presAssocID="{421BFDEC-4D45-4306-B146-51E9D11BF2D9}" presName="srcNode" presStyleLbl="node1" presStyleIdx="0" presStyleCnt="4"/>
      <dgm:spPr/>
    </dgm:pt>
    <dgm:pt modelId="{A6A48C1E-11A3-45B8-8515-BB622440A40E}" type="pres">
      <dgm:prSet presAssocID="{421BFDEC-4D45-4306-B146-51E9D11BF2D9}" presName="conn" presStyleLbl="parChTrans1D2" presStyleIdx="0" presStyleCnt="1"/>
      <dgm:spPr/>
    </dgm:pt>
    <dgm:pt modelId="{BD9EB6CA-726B-4062-ACB3-399D4E383758}" type="pres">
      <dgm:prSet presAssocID="{421BFDEC-4D45-4306-B146-51E9D11BF2D9}" presName="extraNode" presStyleLbl="node1" presStyleIdx="0" presStyleCnt="4"/>
      <dgm:spPr/>
    </dgm:pt>
    <dgm:pt modelId="{8F328FBB-C59D-42D9-9121-18A0A56789EC}" type="pres">
      <dgm:prSet presAssocID="{421BFDEC-4D45-4306-B146-51E9D11BF2D9}" presName="dstNode" presStyleLbl="node1" presStyleIdx="0" presStyleCnt="4"/>
      <dgm:spPr/>
    </dgm:pt>
    <dgm:pt modelId="{2ACCCB9D-E69C-4B9E-82FF-D47F830B293F}" type="pres">
      <dgm:prSet presAssocID="{D9EDF446-72FE-4406-A89A-32DF99DF7045}" presName="text_1" presStyleLbl="node1" presStyleIdx="0" presStyleCnt="4">
        <dgm:presLayoutVars>
          <dgm:bulletEnabled val="1"/>
        </dgm:presLayoutVars>
      </dgm:prSet>
      <dgm:spPr/>
    </dgm:pt>
    <dgm:pt modelId="{A45C5904-0848-40FB-BE44-4D0ABCBB7C8D}" type="pres">
      <dgm:prSet presAssocID="{D9EDF446-72FE-4406-A89A-32DF99DF7045}" presName="accent_1" presStyleCnt="0"/>
      <dgm:spPr/>
    </dgm:pt>
    <dgm:pt modelId="{34BD8675-490B-479C-8384-B67AB32EBB99}" type="pres">
      <dgm:prSet presAssocID="{D9EDF446-72FE-4406-A89A-32DF99DF7045}" presName="accentRepeatNode" presStyleLbl="solidFgAcc1" presStyleIdx="0" presStyleCnt="4"/>
      <dgm:spPr/>
    </dgm:pt>
    <dgm:pt modelId="{89C97E2B-E132-4EBA-89FE-277E0F35BC54}" type="pres">
      <dgm:prSet presAssocID="{86A6B7D3-E064-4939-947D-9123ACB86F8A}" presName="text_2" presStyleLbl="node1" presStyleIdx="1" presStyleCnt="4">
        <dgm:presLayoutVars>
          <dgm:bulletEnabled val="1"/>
        </dgm:presLayoutVars>
      </dgm:prSet>
      <dgm:spPr/>
    </dgm:pt>
    <dgm:pt modelId="{5819EEFD-5EE3-40B4-89D0-DE47E5A34AEA}" type="pres">
      <dgm:prSet presAssocID="{86A6B7D3-E064-4939-947D-9123ACB86F8A}" presName="accent_2" presStyleCnt="0"/>
      <dgm:spPr/>
    </dgm:pt>
    <dgm:pt modelId="{3B145ECD-5BF0-4C8D-84DB-3DEA7746CFF9}" type="pres">
      <dgm:prSet presAssocID="{86A6B7D3-E064-4939-947D-9123ACB86F8A}" presName="accentRepeatNode" presStyleLbl="solidFgAcc1" presStyleIdx="1" presStyleCnt="4"/>
      <dgm:spPr/>
    </dgm:pt>
    <dgm:pt modelId="{FB1F622E-33D4-4EA4-A852-639E96DD2543}" type="pres">
      <dgm:prSet presAssocID="{7F096FC1-073D-4C9A-A52B-8B94DA4056BB}" presName="text_3" presStyleLbl="node1" presStyleIdx="2" presStyleCnt="4" custScaleY="120366">
        <dgm:presLayoutVars>
          <dgm:bulletEnabled val="1"/>
        </dgm:presLayoutVars>
      </dgm:prSet>
      <dgm:spPr/>
    </dgm:pt>
    <dgm:pt modelId="{A8AE58EA-9F51-498A-B68A-4CBE4A4996F4}" type="pres">
      <dgm:prSet presAssocID="{7F096FC1-073D-4C9A-A52B-8B94DA4056BB}" presName="accent_3" presStyleCnt="0"/>
      <dgm:spPr/>
    </dgm:pt>
    <dgm:pt modelId="{A373AFC2-5CBE-4B14-8D8E-8595E007359C}" type="pres">
      <dgm:prSet presAssocID="{7F096FC1-073D-4C9A-A52B-8B94DA4056BB}" presName="accentRepeatNode" presStyleLbl="solidFgAcc1" presStyleIdx="2" presStyleCnt="4"/>
      <dgm:spPr/>
    </dgm:pt>
    <dgm:pt modelId="{2DB61EB3-A79E-4D08-A535-0C5F7771BCCC}" type="pres">
      <dgm:prSet presAssocID="{4F74D187-C193-4160-969A-ED284181BDF8}" presName="text_4" presStyleLbl="node1" presStyleIdx="3" presStyleCnt="4" custScaleY="136151">
        <dgm:presLayoutVars>
          <dgm:bulletEnabled val="1"/>
        </dgm:presLayoutVars>
      </dgm:prSet>
      <dgm:spPr/>
    </dgm:pt>
    <dgm:pt modelId="{4BA83C5F-E519-44EB-BB6C-CA2EDF6183D3}" type="pres">
      <dgm:prSet presAssocID="{4F74D187-C193-4160-969A-ED284181BDF8}" presName="accent_4" presStyleCnt="0"/>
      <dgm:spPr/>
    </dgm:pt>
    <dgm:pt modelId="{BBD3D532-354B-48DA-9DAF-78DB4EA3B7B0}" type="pres">
      <dgm:prSet presAssocID="{4F74D187-C193-4160-969A-ED284181BDF8}" presName="accentRepeatNode" presStyleLbl="solidFgAcc1" presStyleIdx="3" presStyleCnt="4"/>
      <dgm:spPr/>
    </dgm:pt>
  </dgm:ptLst>
  <dgm:cxnLst>
    <dgm:cxn modelId="{AFC71B19-012B-4D4C-B0BA-DD448BE59206}" type="presOf" srcId="{783A10F9-08A1-4A2B-B1BE-CDECB5B0A9E0}" destId="{A6A48C1E-11A3-45B8-8515-BB622440A40E}" srcOrd="0" destOrd="0" presId="urn:microsoft.com/office/officeart/2008/layout/VerticalCurvedList"/>
    <dgm:cxn modelId="{4FAA2268-D77A-4E75-93B9-A0F6E5B8DD29}" type="presOf" srcId="{7F096FC1-073D-4C9A-A52B-8B94DA4056BB}" destId="{FB1F622E-33D4-4EA4-A852-639E96DD2543}" srcOrd="0" destOrd="0" presId="urn:microsoft.com/office/officeart/2008/layout/VerticalCurvedList"/>
    <dgm:cxn modelId="{2306B057-5FF8-4467-9AC9-BA6F06F3ED09}" srcId="{421BFDEC-4D45-4306-B146-51E9D11BF2D9}" destId="{86A6B7D3-E064-4939-947D-9123ACB86F8A}" srcOrd="1" destOrd="0" parTransId="{79B8FF5E-2E87-4DEB-9CB6-C3F9D25FD471}" sibTransId="{2566BCB2-3436-4248-A5FB-EC12EA3C36B6}"/>
    <dgm:cxn modelId="{4ABDF185-EF3C-4E6C-894C-68E37F992268}" type="presOf" srcId="{4F74D187-C193-4160-969A-ED284181BDF8}" destId="{2DB61EB3-A79E-4D08-A535-0C5F7771BCCC}" srcOrd="0" destOrd="0" presId="urn:microsoft.com/office/officeart/2008/layout/VerticalCurvedList"/>
    <dgm:cxn modelId="{1ADF0D88-F059-4A2D-85F7-76809DEDA842}" srcId="{421BFDEC-4D45-4306-B146-51E9D11BF2D9}" destId="{7F096FC1-073D-4C9A-A52B-8B94DA4056BB}" srcOrd="2" destOrd="0" parTransId="{109C8E10-3192-4BFF-9449-35FC93342EFA}" sibTransId="{0B84160D-C463-48E3-BF1D-6B134126CED3}"/>
    <dgm:cxn modelId="{6E8160B0-0031-4D90-9723-4A1829E45C55}" type="presOf" srcId="{421BFDEC-4D45-4306-B146-51E9D11BF2D9}" destId="{C85536A0-9FCE-479F-97BC-D4AA9C4302AD}" srcOrd="0" destOrd="0" presId="urn:microsoft.com/office/officeart/2008/layout/VerticalCurvedList"/>
    <dgm:cxn modelId="{378313C8-CD94-4BFA-A9B9-488CA97AD882}" srcId="{421BFDEC-4D45-4306-B146-51E9D11BF2D9}" destId="{D9EDF446-72FE-4406-A89A-32DF99DF7045}" srcOrd="0" destOrd="0" parTransId="{40DF3DE4-1748-4EF6-B27D-7BC48E637C38}" sibTransId="{783A10F9-08A1-4A2B-B1BE-CDECB5B0A9E0}"/>
    <dgm:cxn modelId="{4B1475CC-1410-4462-B7CE-9FCFF975A778}" type="presOf" srcId="{D9EDF446-72FE-4406-A89A-32DF99DF7045}" destId="{2ACCCB9D-E69C-4B9E-82FF-D47F830B293F}" srcOrd="0" destOrd="0" presId="urn:microsoft.com/office/officeart/2008/layout/VerticalCurvedList"/>
    <dgm:cxn modelId="{AB8829D0-CA73-4CE5-B7E4-02E459E5F312}" type="presOf" srcId="{86A6B7D3-E064-4939-947D-9123ACB86F8A}" destId="{89C97E2B-E132-4EBA-89FE-277E0F35BC54}" srcOrd="0" destOrd="0" presId="urn:microsoft.com/office/officeart/2008/layout/VerticalCurvedList"/>
    <dgm:cxn modelId="{5C8E14EF-7622-4019-9DC8-43F32B501C38}" srcId="{421BFDEC-4D45-4306-B146-51E9D11BF2D9}" destId="{4F74D187-C193-4160-969A-ED284181BDF8}" srcOrd="3" destOrd="0" parTransId="{EB8FB033-4C8E-4552-9ACF-9F3BAFFFBA6E}" sibTransId="{730A7A15-5660-4C4D-8C80-4EA941427AE2}"/>
    <dgm:cxn modelId="{67E2834C-EFB7-4F20-96CF-56FB03455487}" type="presParOf" srcId="{C85536A0-9FCE-479F-97BC-D4AA9C4302AD}" destId="{AA17C575-4551-448A-BEF4-F808D01B0106}" srcOrd="0" destOrd="0" presId="urn:microsoft.com/office/officeart/2008/layout/VerticalCurvedList"/>
    <dgm:cxn modelId="{A234DB10-2492-4443-B50D-37F09404B039}" type="presParOf" srcId="{AA17C575-4551-448A-BEF4-F808D01B0106}" destId="{BCB804C1-25EA-41A7-8990-2D15B6F2D007}" srcOrd="0" destOrd="0" presId="urn:microsoft.com/office/officeart/2008/layout/VerticalCurvedList"/>
    <dgm:cxn modelId="{BB1EAC58-824F-4F39-B3E2-A68534338F3A}" type="presParOf" srcId="{BCB804C1-25EA-41A7-8990-2D15B6F2D007}" destId="{F8980058-1AAC-45E0-895B-9CC0820D19FC}" srcOrd="0" destOrd="0" presId="urn:microsoft.com/office/officeart/2008/layout/VerticalCurvedList"/>
    <dgm:cxn modelId="{F24F366B-DAAD-432A-BD2F-B039029E9196}" type="presParOf" srcId="{BCB804C1-25EA-41A7-8990-2D15B6F2D007}" destId="{A6A48C1E-11A3-45B8-8515-BB622440A40E}" srcOrd="1" destOrd="0" presId="urn:microsoft.com/office/officeart/2008/layout/VerticalCurvedList"/>
    <dgm:cxn modelId="{EDD33F32-D612-4E3E-A907-7804154A9412}" type="presParOf" srcId="{BCB804C1-25EA-41A7-8990-2D15B6F2D007}" destId="{BD9EB6CA-726B-4062-ACB3-399D4E383758}" srcOrd="2" destOrd="0" presId="urn:microsoft.com/office/officeart/2008/layout/VerticalCurvedList"/>
    <dgm:cxn modelId="{E9F48748-0F22-4A11-BEB1-F44909FD2D82}" type="presParOf" srcId="{BCB804C1-25EA-41A7-8990-2D15B6F2D007}" destId="{8F328FBB-C59D-42D9-9121-18A0A56789EC}" srcOrd="3" destOrd="0" presId="urn:microsoft.com/office/officeart/2008/layout/VerticalCurvedList"/>
    <dgm:cxn modelId="{8EAD1A49-ED8C-4F66-A404-9240DDAA76A7}" type="presParOf" srcId="{AA17C575-4551-448A-BEF4-F808D01B0106}" destId="{2ACCCB9D-E69C-4B9E-82FF-D47F830B293F}" srcOrd="1" destOrd="0" presId="urn:microsoft.com/office/officeart/2008/layout/VerticalCurvedList"/>
    <dgm:cxn modelId="{C40BE7F1-7BCE-40D4-A849-E78B6FD15B41}" type="presParOf" srcId="{AA17C575-4551-448A-BEF4-F808D01B0106}" destId="{A45C5904-0848-40FB-BE44-4D0ABCBB7C8D}" srcOrd="2" destOrd="0" presId="urn:microsoft.com/office/officeart/2008/layout/VerticalCurvedList"/>
    <dgm:cxn modelId="{4C94539D-7092-464A-892C-4BE97EC2F874}" type="presParOf" srcId="{A45C5904-0848-40FB-BE44-4D0ABCBB7C8D}" destId="{34BD8675-490B-479C-8384-B67AB32EBB99}" srcOrd="0" destOrd="0" presId="urn:microsoft.com/office/officeart/2008/layout/VerticalCurvedList"/>
    <dgm:cxn modelId="{290655C8-DF91-4FB4-8EBC-AE0013BE3317}" type="presParOf" srcId="{AA17C575-4551-448A-BEF4-F808D01B0106}" destId="{89C97E2B-E132-4EBA-89FE-277E0F35BC54}" srcOrd="3" destOrd="0" presId="urn:microsoft.com/office/officeart/2008/layout/VerticalCurvedList"/>
    <dgm:cxn modelId="{3A240CB5-B7AB-440F-B62C-B0B55EF11974}" type="presParOf" srcId="{AA17C575-4551-448A-BEF4-F808D01B0106}" destId="{5819EEFD-5EE3-40B4-89D0-DE47E5A34AEA}" srcOrd="4" destOrd="0" presId="urn:microsoft.com/office/officeart/2008/layout/VerticalCurvedList"/>
    <dgm:cxn modelId="{19A4E58D-B9AC-4CA8-B6C6-132CCE43C751}" type="presParOf" srcId="{5819EEFD-5EE3-40B4-89D0-DE47E5A34AEA}" destId="{3B145ECD-5BF0-4C8D-84DB-3DEA7746CFF9}" srcOrd="0" destOrd="0" presId="urn:microsoft.com/office/officeart/2008/layout/VerticalCurvedList"/>
    <dgm:cxn modelId="{188F84C2-E530-4C55-96BC-01075A907346}" type="presParOf" srcId="{AA17C575-4551-448A-BEF4-F808D01B0106}" destId="{FB1F622E-33D4-4EA4-A852-639E96DD2543}" srcOrd="5" destOrd="0" presId="urn:microsoft.com/office/officeart/2008/layout/VerticalCurvedList"/>
    <dgm:cxn modelId="{0FD6C30C-3E46-4620-A35C-51935DB6B557}" type="presParOf" srcId="{AA17C575-4551-448A-BEF4-F808D01B0106}" destId="{A8AE58EA-9F51-498A-B68A-4CBE4A4996F4}" srcOrd="6" destOrd="0" presId="urn:microsoft.com/office/officeart/2008/layout/VerticalCurvedList"/>
    <dgm:cxn modelId="{7C86B604-2AEE-446A-9A19-82699D8F7ACD}" type="presParOf" srcId="{A8AE58EA-9F51-498A-B68A-4CBE4A4996F4}" destId="{A373AFC2-5CBE-4B14-8D8E-8595E007359C}" srcOrd="0" destOrd="0" presId="urn:microsoft.com/office/officeart/2008/layout/VerticalCurvedList"/>
    <dgm:cxn modelId="{928813D5-BDE6-4537-802A-0A0EBA8BD4D3}" type="presParOf" srcId="{AA17C575-4551-448A-BEF4-F808D01B0106}" destId="{2DB61EB3-A79E-4D08-A535-0C5F7771BCCC}" srcOrd="7" destOrd="0" presId="urn:microsoft.com/office/officeart/2008/layout/VerticalCurvedList"/>
    <dgm:cxn modelId="{1ECE7F64-7665-4554-BB2A-D0AE0B6A4998}" type="presParOf" srcId="{AA17C575-4551-448A-BEF4-F808D01B0106}" destId="{4BA83C5F-E519-44EB-BB6C-CA2EDF6183D3}" srcOrd="8" destOrd="0" presId="urn:microsoft.com/office/officeart/2008/layout/VerticalCurvedList"/>
    <dgm:cxn modelId="{4BE3F129-AC49-4981-B05C-EDA1553F664C}" type="presParOf" srcId="{4BA83C5F-E519-44EB-BB6C-CA2EDF6183D3}" destId="{BBD3D532-354B-48DA-9DAF-78DB4EA3B7B0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A48C1E-11A3-45B8-8515-BB622440A40E}">
      <dsp:nvSpPr>
        <dsp:cNvPr id="0" name=""/>
        <dsp:cNvSpPr/>
      </dsp:nvSpPr>
      <dsp:spPr>
        <a:xfrm>
          <a:off x="-4738739" y="-726361"/>
          <a:ext cx="5644357" cy="5644357"/>
        </a:xfrm>
        <a:prstGeom prst="blockArc">
          <a:avLst>
            <a:gd name="adj1" fmla="val 18900000"/>
            <a:gd name="adj2" fmla="val 2700000"/>
            <a:gd name="adj3" fmla="val 383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CCB9D-E69C-4B9E-82FF-D47F830B293F}">
      <dsp:nvSpPr>
        <dsp:cNvPr id="0" name=""/>
        <dsp:cNvSpPr/>
      </dsp:nvSpPr>
      <dsp:spPr>
        <a:xfrm>
          <a:off x="474296" y="322252"/>
          <a:ext cx="6835135" cy="64484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11843" tIns="27940" rIns="27940" bIns="2794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>
              <a:solidFill>
                <a:sysClr val="windowText" lastClr="000000"/>
              </a:solidFill>
            </a:rPr>
            <a:t>Reduce un circuito complejo a una forma más simple de análisis.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>
              <a:solidFill>
                <a:sysClr val="windowText" lastClr="000000"/>
              </a:solidFill>
            </a:rPr>
            <a:t>Se presenta una fuente de corriente equivalente dispuesta en paralelo con una impedancia equivalente.</a:t>
          </a:r>
        </a:p>
      </dsp:txBody>
      <dsp:txXfrm>
        <a:off x="474296" y="322252"/>
        <a:ext cx="6835135" cy="644841"/>
      </dsp:txXfrm>
    </dsp:sp>
    <dsp:sp modelId="{34BD8675-490B-479C-8384-B67AB32EBB99}">
      <dsp:nvSpPr>
        <dsp:cNvPr id="0" name=""/>
        <dsp:cNvSpPr/>
      </dsp:nvSpPr>
      <dsp:spPr>
        <a:xfrm>
          <a:off x="71271" y="241647"/>
          <a:ext cx="806051" cy="80605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C97E2B-E132-4EBA-89FE-277E0F35BC54}">
      <dsp:nvSpPr>
        <dsp:cNvPr id="0" name=""/>
        <dsp:cNvSpPr/>
      </dsp:nvSpPr>
      <dsp:spPr>
        <a:xfrm>
          <a:off x="843999" y="1289682"/>
          <a:ext cx="6465433" cy="64484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11843" tIns="27940" rIns="27940" bIns="2794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Fuente de corriente equivalente de Norton (I</a:t>
          </a:r>
          <a:r>
            <a:rPr lang="es-MX" sz="1100" b="1" i="1" kern="1200">
              <a:solidFill>
                <a:sysClr val="windowText" lastClr="000000"/>
              </a:solidFill>
            </a:rPr>
            <a:t>n</a:t>
          </a:r>
          <a:r>
            <a:rPr lang="es-MX" sz="1100" b="1" kern="1200">
              <a:solidFill>
                <a:sysClr val="windowText" lastClr="000000"/>
              </a:solidFill>
            </a:rPr>
            <a:t>)</a:t>
          </a:r>
          <a:endParaRPr lang="es-MX" sz="1100" kern="1200">
            <a:solidFill>
              <a:sysClr val="windowText" lastClr="000000"/>
            </a:solidFill>
          </a:endParaRP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>
              <a:solidFill>
                <a:sysClr val="windowText" lastClr="000000"/>
              </a:solidFill>
            </a:rPr>
            <a:t>Corriente que aparece al poner en cortocircuito las dos terminales específicas en un circuito dado.</a:t>
          </a:r>
        </a:p>
      </dsp:txBody>
      <dsp:txXfrm>
        <a:off x="843999" y="1289682"/>
        <a:ext cx="6465433" cy="644841"/>
      </dsp:txXfrm>
    </dsp:sp>
    <dsp:sp modelId="{3B145ECD-5BF0-4C8D-84DB-3DEA7746CFF9}">
      <dsp:nvSpPr>
        <dsp:cNvPr id="0" name=""/>
        <dsp:cNvSpPr/>
      </dsp:nvSpPr>
      <dsp:spPr>
        <a:xfrm>
          <a:off x="440973" y="1209077"/>
          <a:ext cx="806051" cy="80605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1F622E-33D4-4EA4-A852-639E96DD2543}">
      <dsp:nvSpPr>
        <dsp:cNvPr id="0" name=""/>
        <dsp:cNvSpPr/>
      </dsp:nvSpPr>
      <dsp:spPr>
        <a:xfrm>
          <a:off x="843999" y="2191447"/>
          <a:ext cx="6465433" cy="77616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11843" tIns="27940" rIns="27940" bIns="2794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Impedancia equivalente de Norton (Z</a:t>
          </a:r>
          <a:r>
            <a:rPr lang="es-MX" sz="1100" b="1" i="1" kern="1200">
              <a:solidFill>
                <a:sysClr val="windowText" lastClr="000000"/>
              </a:solidFill>
            </a:rPr>
            <a:t>n</a:t>
          </a:r>
          <a:r>
            <a:rPr lang="es-MX" sz="1100" b="1" kern="1200">
              <a:solidFill>
                <a:sysClr val="windowText" lastClr="000000"/>
              </a:solidFill>
            </a:rPr>
            <a:t>)</a:t>
          </a:r>
          <a:endParaRPr lang="es-MX" sz="1100" kern="1200">
            <a:solidFill>
              <a:sysClr val="windowText" lastClr="000000"/>
            </a:solidFill>
          </a:endParaRP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>
              <a:solidFill>
                <a:sysClr val="windowText" lastClr="000000"/>
              </a:solidFill>
            </a:rPr>
            <a:t>Impedancia total que aparece entre dos terminales específicas de un circuito dado visto desde las terminales abiertas y con todas las fuentes reemplazadas por sus impedancias internas.</a:t>
          </a:r>
        </a:p>
      </dsp:txBody>
      <dsp:txXfrm>
        <a:off x="843999" y="2191447"/>
        <a:ext cx="6465433" cy="776169"/>
      </dsp:txXfrm>
    </dsp:sp>
    <dsp:sp modelId="{A373AFC2-5CBE-4B14-8D8E-8595E007359C}">
      <dsp:nvSpPr>
        <dsp:cNvPr id="0" name=""/>
        <dsp:cNvSpPr/>
      </dsp:nvSpPr>
      <dsp:spPr>
        <a:xfrm>
          <a:off x="440973" y="2176506"/>
          <a:ext cx="806051" cy="80605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B61EB3-A79E-4D08-A535-0C5F7771BCCC}">
      <dsp:nvSpPr>
        <dsp:cNvPr id="0" name=""/>
        <dsp:cNvSpPr/>
      </dsp:nvSpPr>
      <dsp:spPr>
        <a:xfrm>
          <a:off x="474296" y="3107982"/>
          <a:ext cx="6835135" cy="87795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11843" tIns="27940" rIns="27940" bIns="2794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solidFill>
                <a:sysClr val="windowText" lastClr="000000"/>
              </a:solidFill>
            </a:rPr>
            <a:t>Paso 1. </a:t>
          </a:r>
          <a:r>
            <a:rPr lang="es-MX" sz="1100" kern="1200">
              <a:solidFill>
                <a:sysClr val="windowText" lastClr="000000"/>
              </a:solidFill>
            </a:rPr>
            <a:t>Reemplazar la carga conectada a las dos terminales entre las cuales se va a determinar el circuito de Norton con un corto. </a:t>
          </a:r>
          <a:r>
            <a:rPr lang="es-MX" sz="1100" b="1" kern="1200">
              <a:solidFill>
                <a:sysClr val="windowText" lastClr="000000"/>
              </a:solidFill>
            </a:rPr>
            <a:t>Paso 2. </a:t>
          </a:r>
          <a:r>
            <a:rPr lang="es-MX" sz="1100" kern="1200">
              <a:solidFill>
                <a:sysClr val="windowText" lastClr="000000"/>
              </a:solidFill>
            </a:rPr>
            <a:t>Determinar la corriente a través del corto.  </a:t>
          </a:r>
          <a:r>
            <a:rPr lang="es-MX" sz="1100" b="1" kern="1200">
              <a:solidFill>
                <a:sysClr val="windowText" lastClr="000000"/>
              </a:solidFill>
            </a:rPr>
            <a:t>Paso 3. </a:t>
          </a:r>
          <a:r>
            <a:rPr lang="es-MX" sz="1100" kern="1200">
              <a:solidFill>
                <a:sysClr val="windowText" lastClr="000000"/>
              </a:solidFill>
            </a:rPr>
            <a:t>Abrir las terminales y determinar la impedancia entre las dos terminales abiertas y con todas las fuentes reemplazadas por sus impedancias internas. </a:t>
          </a:r>
          <a:r>
            <a:rPr lang="es-MX" sz="1100" b="1" kern="1200">
              <a:solidFill>
                <a:sysClr val="windowText" lastClr="000000"/>
              </a:solidFill>
            </a:rPr>
            <a:t>Paso 4. </a:t>
          </a:r>
          <a:r>
            <a:rPr lang="es-MX" sz="1100" kern="1200">
              <a:solidFill>
                <a:sysClr val="windowText" lastClr="000000"/>
              </a:solidFill>
            </a:rPr>
            <a:t>Conectar In y Zn en paralelo.</a:t>
          </a:r>
        </a:p>
      </dsp:txBody>
      <dsp:txXfrm>
        <a:off x="474296" y="3107982"/>
        <a:ext cx="6835135" cy="877957"/>
      </dsp:txXfrm>
    </dsp:sp>
    <dsp:sp modelId="{BBD3D532-354B-48DA-9DAF-78DB4EA3B7B0}">
      <dsp:nvSpPr>
        <dsp:cNvPr id="0" name=""/>
        <dsp:cNvSpPr/>
      </dsp:nvSpPr>
      <dsp:spPr>
        <a:xfrm>
          <a:off x="71271" y="3143935"/>
          <a:ext cx="806051" cy="80605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dcterms:created xsi:type="dcterms:W3CDTF">2021-03-02T22:14:00Z</dcterms:created>
  <dcterms:modified xsi:type="dcterms:W3CDTF">2021-03-02T22:16:00Z</dcterms:modified>
</cp:coreProperties>
</file>