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D2C" w:rsidRPr="00E97D72" w:rsidRDefault="004D00A3">
      <w:pPr>
        <w:rPr>
          <w:rFonts w:ascii="Baskerville Old Face" w:hAnsi="Baskerville Old Face"/>
          <w:sz w:val="20"/>
          <w:szCs w:val="20"/>
          <w:lang w:val="es-ES"/>
        </w:rPr>
      </w:pPr>
      <w:r w:rsidRPr="00E97D72">
        <w:rPr>
          <w:rFonts w:ascii="Baskerville Old Face" w:hAnsi="Baskerville Old Face"/>
          <w:sz w:val="20"/>
          <w:szCs w:val="20"/>
          <w:lang w:val="es-ES"/>
        </w:rPr>
        <w:t>Marco teórico del artículo</w:t>
      </w:r>
    </w:p>
    <w:p w:rsidR="00E97D72" w:rsidRPr="00E97D72" w:rsidRDefault="00E97D72" w:rsidP="00E97D72">
      <w:pPr>
        <w:pStyle w:val="NormalWeb"/>
        <w:shd w:val="clear" w:color="auto" w:fill="FFFFFF"/>
        <w:spacing w:before="120" w:beforeAutospacing="0" w:after="120" w:afterAutospacing="0"/>
        <w:rPr>
          <w:rFonts w:ascii="Baskerville Old Face" w:hAnsi="Baskerville Old Face" w:cs="Arial"/>
          <w:color w:val="202122"/>
          <w:sz w:val="20"/>
          <w:szCs w:val="20"/>
        </w:rPr>
      </w:pPr>
      <w:r w:rsidRPr="00E97D72">
        <w:rPr>
          <w:rFonts w:ascii="Baskerville Old Face" w:hAnsi="Baskerville Old Face" w:cs="Arial"/>
          <w:color w:val="202122"/>
          <w:sz w:val="20"/>
          <w:szCs w:val="20"/>
        </w:rPr>
        <w:t>El concepto de impedancia tiene especial importancia si la corriente varía en el tiempo, en cuyo caso las magnitudes se describen con números complejos o funciones del análisis armónico. Su módulo (a veces inadecuadamente llamado impedancia) establece la relación entre los valores máximos o los valores eficaces de la tensión y de la corriente. La parte real de la impedancia es la </w:t>
      </w:r>
      <w:hyperlink r:id="rId5" w:tooltip="Resistencia eléctrica" w:history="1">
        <w:r w:rsidRPr="00E97D72">
          <w:rPr>
            <w:rStyle w:val="Hipervnculo"/>
            <w:rFonts w:ascii="Baskerville Old Face" w:hAnsi="Baskerville Old Face" w:cs="Arial"/>
            <w:color w:val="0645AD"/>
            <w:sz w:val="20"/>
            <w:szCs w:val="20"/>
          </w:rPr>
          <w:t>resistencia</w:t>
        </w:r>
      </w:hyperlink>
      <w:r w:rsidRPr="00E97D72">
        <w:rPr>
          <w:rFonts w:ascii="Baskerville Old Face" w:hAnsi="Baskerville Old Face" w:cs="Arial"/>
          <w:color w:val="202122"/>
          <w:sz w:val="20"/>
          <w:szCs w:val="20"/>
        </w:rPr>
        <w:t> y su parte imaginaria es la </w:t>
      </w:r>
      <w:hyperlink r:id="rId6" w:tooltip="Reactancia" w:history="1">
        <w:r w:rsidRPr="00E97D72">
          <w:rPr>
            <w:rStyle w:val="Hipervnculo"/>
            <w:rFonts w:ascii="Baskerville Old Face" w:hAnsi="Baskerville Old Face" w:cs="Arial"/>
            <w:color w:val="0645AD"/>
            <w:sz w:val="20"/>
            <w:szCs w:val="20"/>
          </w:rPr>
          <w:t>reactancia</w:t>
        </w:r>
      </w:hyperlink>
      <w:r w:rsidRPr="00E97D72">
        <w:rPr>
          <w:rFonts w:ascii="Baskerville Old Face" w:hAnsi="Baskerville Old Face" w:cs="Arial"/>
          <w:color w:val="202122"/>
          <w:sz w:val="20"/>
          <w:szCs w:val="20"/>
        </w:rPr>
        <w:t>.</w:t>
      </w:r>
    </w:p>
    <w:p w:rsidR="00E97D72" w:rsidRPr="00E97D72" w:rsidRDefault="00E97D72" w:rsidP="00E97D72">
      <w:pPr>
        <w:pStyle w:val="NormalWeb"/>
        <w:shd w:val="clear" w:color="auto" w:fill="FFFFFF"/>
        <w:spacing w:before="120" w:beforeAutospacing="0" w:after="120" w:afterAutospacing="0"/>
        <w:rPr>
          <w:rFonts w:ascii="Baskerville Old Face" w:hAnsi="Baskerville Old Face" w:cs="Arial"/>
          <w:color w:val="202122"/>
          <w:sz w:val="20"/>
          <w:szCs w:val="20"/>
        </w:rPr>
      </w:pPr>
      <w:r w:rsidRPr="00E97D72">
        <w:rPr>
          <w:rFonts w:ascii="Baskerville Old Face" w:hAnsi="Baskerville Old Face" w:cs="Arial"/>
          <w:color w:val="202122"/>
          <w:sz w:val="20"/>
          <w:szCs w:val="20"/>
        </w:rPr>
        <w:t>El concepto de impedancia permite generalizar la </w:t>
      </w:r>
      <w:hyperlink r:id="rId7" w:tooltip="Ley de Ohm" w:history="1">
        <w:r w:rsidRPr="00E97D72">
          <w:rPr>
            <w:rStyle w:val="Hipervnculo"/>
            <w:rFonts w:ascii="Baskerville Old Face" w:hAnsi="Baskerville Old Face" w:cs="Arial"/>
            <w:color w:val="0645AD"/>
            <w:sz w:val="20"/>
            <w:szCs w:val="20"/>
          </w:rPr>
          <w:t>ley de Ohm</w:t>
        </w:r>
      </w:hyperlink>
      <w:r w:rsidRPr="00E97D72">
        <w:rPr>
          <w:rFonts w:ascii="Baskerville Old Face" w:hAnsi="Baskerville Old Face" w:cs="Arial"/>
          <w:color w:val="202122"/>
          <w:sz w:val="20"/>
          <w:szCs w:val="20"/>
        </w:rPr>
        <w:t> en el estudio de circuitos en corriente alterna (CA), dando lugar a la llamada </w:t>
      </w:r>
      <w:r w:rsidRPr="00E97D72">
        <w:rPr>
          <w:rFonts w:ascii="Baskerville Old Face" w:hAnsi="Baskerville Old Face" w:cs="Arial"/>
          <w:b/>
          <w:bCs/>
          <w:color w:val="202122"/>
          <w:sz w:val="20"/>
          <w:szCs w:val="20"/>
        </w:rPr>
        <w:t>ley de Ohm de corriente alterna</w:t>
      </w:r>
      <w:r w:rsidRPr="00E97D72">
        <w:rPr>
          <w:rFonts w:ascii="Baskerville Old Face" w:hAnsi="Baskerville Old Face" w:cs="Arial"/>
          <w:color w:val="202122"/>
          <w:sz w:val="20"/>
          <w:szCs w:val="20"/>
        </w:rPr>
        <w:t> que indica:</w:t>
      </w:r>
    </w:p>
    <w:p w:rsidR="00E97D72" w:rsidRPr="00E97D72" w:rsidRDefault="00E97D72">
      <w:r w:rsidRPr="00E97D72">
        <mc:AlternateContent>
          <mc:Choice Requires="wps">
            <w:drawing>
              <wp:inline distT="0" distB="0" distL="0" distR="0">
                <wp:extent cx="302260" cy="302260"/>
                <wp:effectExtent l="0" t="0" r="0" b="0"/>
                <wp:docPr id="7" name="Rectángulo 7" descr="I={\frac  {V}{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I={\frac  {V}{Z}}"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bwcudzwIAANMFAAAOAAAAAAAAAAAAAAAAAC4CAABkcnMvZTJvRG9jLnhtbFBL&#10;AQItABQABgAIAAAAIQACnVV42QAAAAMBAAAPAAAAAAAAAAAAAAAAACkFAABkcnMvZG93bnJldi54&#10;bWxQSwUGAAAAAAQABADzAAAALwYAAAAA&#10;" filled="f" stroked="f">
                <o:lock v:ext="edit" aspectratio="t"/>
                <w10:anchorlock/>
              </v:rect>
            </w:pict>
          </mc:Fallback>
        </mc:AlternateContent>
      </w:r>
      <w:r>
        <w:rPr>
          <w:noProof/>
          <w:lang w:eastAsia="es-EC"/>
        </w:rPr>
        <w:drawing>
          <wp:inline distT="0" distB="0" distL="0" distR="0">
            <wp:extent cx="612974" cy="445273"/>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20F3.tmp"/>
                    <pic:cNvPicPr/>
                  </pic:nvPicPr>
                  <pic:blipFill>
                    <a:blip r:embed="rId8">
                      <a:extLst>
                        <a:ext uri="{28A0092B-C50C-407E-A947-70E740481C1C}">
                          <a14:useLocalDpi xmlns:a14="http://schemas.microsoft.com/office/drawing/2010/main" val="0"/>
                        </a:ext>
                      </a:extLst>
                    </a:blip>
                    <a:stretch>
                      <a:fillRect/>
                    </a:stretch>
                  </pic:blipFill>
                  <pic:spPr>
                    <a:xfrm>
                      <a:off x="0" y="0"/>
                      <a:ext cx="614656" cy="446495"/>
                    </a:xfrm>
                    <a:prstGeom prst="rect">
                      <a:avLst/>
                    </a:prstGeom>
                  </pic:spPr>
                </pic:pic>
              </a:graphicData>
            </a:graphic>
          </wp:inline>
        </w:drawing>
      </w:r>
    </w:p>
    <w:p w:rsidR="004D00A3" w:rsidRDefault="004D00A3" w:rsidP="00E97D72">
      <w:pPr>
        <w:rPr>
          <w:lang w:val="es-ES"/>
        </w:rPr>
      </w:pPr>
    </w:p>
    <w:p w:rsidR="004D00A3" w:rsidRPr="00E97D72" w:rsidRDefault="00E97D72">
      <w:pPr>
        <w:rPr>
          <w:rFonts w:ascii="Baskerville Old Face" w:hAnsi="Baskerville Old Face" w:cs="Helvetica"/>
          <w:color w:val="444340"/>
          <w:sz w:val="20"/>
          <w:szCs w:val="20"/>
          <w:shd w:val="clear" w:color="auto" w:fill="FFFFFF"/>
        </w:rPr>
      </w:pPr>
      <w:r w:rsidRPr="00E97D72">
        <w:rPr>
          <w:rFonts w:ascii="Baskerville Old Face" w:hAnsi="Baskerville Old Face" w:cs="Helvetica"/>
          <w:color w:val="444340"/>
          <w:sz w:val="20"/>
          <w:szCs w:val="20"/>
          <w:shd w:val="clear" w:color="auto" w:fill="FFFFFF"/>
        </w:rPr>
        <w:t xml:space="preserve">Si bien, tanto la impedancia como la admitancia se pueden expresar como cantidades complejas en forma rectangular o polar, es necesario resaltar que la impedancia no es un </w:t>
      </w:r>
      <w:proofErr w:type="spellStart"/>
      <w:r w:rsidRPr="00E97D72">
        <w:rPr>
          <w:rFonts w:ascii="Baskerville Old Face" w:hAnsi="Baskerville Old Face" w:cs="Helvetica"/>
          <w:color w:val="444340"/>
          <w:sz w:val="20"/>
          <w:szCs w:val="20"/>
          <w:shd w:val="clear" w:color="auto" w:fill="FFFFFF"/>
        </w:rPr>
        <w:t>fasor</w:t>
      </w:r>
      <w:proofErr w:type="spellEnd"/>
      <w:r w:rsidRPr="00E97D72">
        <w:rPr>
          <w:rFonts w:ascii="Baskerville Old Face" w:hAnsi="Baskerville Old Face" w:cs="Helvetica"/>
          <w:color w:val="444340"/>
          <w:sz w:val="20"/>
          <w:szCs w:val="20"/>
          <w:shd w:val="clear" w:color="auto" w:fill="FFFFFF"/>
        </w:rPr>
        <w:t xml:space="preserve">, porque no varía </w:t>
      </w:r>
      <w:proofErr w:type="spellStart"/>
      <w:r w:rsidRPr="00E97D72">
        <w:rPr>
          <w:rFonts w:ascii="Baskerville Old Face" w:hAnsi="Baskerville Old Face" w:cs="Helvetica"/>
          <w:color w:val="444340"/>
          <w:sz w:val="20"/>
          <w:szCs w:val="20"/>
          <w:shd w:val="clear" w:color="auto" w:fill="FFFFFF"/>
        </w:rPr>
        <w:t>senoidalmente</w:t>
      </w:r>
      <w:proofErr w:type="spellEnd"/>
      <w:r w:rsidRPr="00E97D72">
        <w:rPr>
          <w:rFonts w:ascii="Baskerville Old Face" w:hAnsi="Baskerville Old Face" w:cs="Helvetica"/>
          <w:color w:val="444340"/>
          <w:sz w:val="20"/>
          <w:szCs w:val="20"/>
          <w:shd w:val="clear" w:color="auto" w:fill="FFFFFF"/>
        </w:rPr>
        <w:t>.</w:t>
      </w:r>
    </w:p>
    <w:p w:rsidR="00E97D72" w:rsidRDefault="00E97D72">
      <w:pPr>
        <w:rPr>
          <w:rFonts w:ascii="Baskerville Old Face" w:hAnsi="Baskerville Old Face"/>
          <w:sz w:val="20"/>
          <w:szCs w:val="20"/>
          <w:lang w:val="es-ES"/>
        </w:rPr>
      </w:pPr>
      <w:r w:rsidRPr="00E97D72">
        <w:rPr>
          <w:rFonts w:ascii="Baskerville Old Face" w:hAnsi="Baskerville Old Face"/>
          <w:sz w:val="20"/>
          <w:szCs w:val="20"/>
          <w:lang w:val="es-ES"/>
        </w:rPr>
        <w:t xml:space="preserve">Es decir, cuando </w:t>
      </w:r>
      <w:r w:rsidRPr="00E97D72">
        <w:rPr>
          <w:rFonts w:ascii="Times New Roman" w:hAnsi="Times New Roman" w:cs="Times New Roman"/>
          <w:sz w:val="20"/>
          <w:szCs w:val="20"/>
          <w:lang w:val="es-ES"/>
        </w:rPr>
        <w:t>ω</w:t>
      </w:r>
      <w:r w:rsidRPr="00E97D72">
        <w:rPr>
          <w:rFonts w:ascii="Baskerville Old Face" w:hAnsi="Baskerville Old Face"/>
          <w:sz w:val="20"/>
          <w:szCs w:val="20"/>
          <w:lang w:val="es-ES"/>
        </w:rPr>
        <w:t xml:space="preserve">=0  (circuito CD), un inductor es lo mismo que un circuito cerrado, por lo tanto se puede reemplazar por un cable que conduce corriente libremente, mientras que un capacitor representa un circuito abierto que se puede reemplazar por un cable interrumpido (cortado), por el que no puede pasar la corriente. Mientras que, cuando </w:t>
      </w:r>
      <w:r w:rsidRPr="00E97D72">
        <w:rPr>
          <w:rFonts w:ascii="Times New Roman" w:hAnsi="Times New Roman" w:cs="Times New Roman"/>
          <w:sz w:val="20"/>
          <w:szCs w:val="20"/>
          <w:lang w:val="es-ES"/>
        </w:rPr>
        <w:t>ω</w:t>
      </w:r>
      <w:r w:rsidRPr="00E97D72">
        <w:rPr>
          <w:rFonts w:ascii="Baskerville Old Face" w:hAnsi="Baskerville Old Face"/>
          <w:sz w:val="20"/>
          <w:szCs w:val="20"/>
          <w:lang w:val="es-ES"/>
        </w:rPr>
        <w:t>=</w:t>
      </w:r>
      <w:r w:rsidRPr="00E97D72">
        <w:rPr>
          <w:rFonts w:ascii="Baskerville Old Face" w:hAnsi="Baskerville Old Face" w:cs="Baskerville Old Face"/>
          <w:sz w:val="20"/>
          <w:szCs w:val="20"/>
          <w:lang w:val="es-ES"/>
        </w:rPr>
        <w:t>∞</w:t>
      </w:r>
      <w:r w:rsidRPr="00E97D72">
        <w:rPr>
          <w:rFonts w:ascii="Baskerville Old Face" w:hAnsi="Baskerville Old Face"/>
          <w:sz w:val="20"/>
          <w:szCs w:val="20"/>
          <w:lang w:val="es-ES"/>
        </w:rPr>
        <w:t xml:space="preserve"> (circuito de alta frecuencia), sucede totalmente lo contrario.</w:t>
      </w:r>
    </w:p>
    <w:p w:rsidR="00E97D72" w:rsidRDefault="00E97D72" w:rsidP="00E97D72">
      <w:pPr>
        <w:pStyle w:val="NormalWeb"/>
        <w:shd w:val="clear" w:color="auto" w:fill="FFFFFF"/>
        <w:spacing w:before="0" w:beforeAutospacing="0" w:after="0" w:afterAutospacing="0"/>
        <w:rPr>
          <w:rFonts w:ascii="Arial" w:hAnsi="Arial" w:cs="Arial"/>
          <w:color w:val="000000"/>
          <w:sz w:val="21"/>
          <w:szCs w:val="21"/>
        </w:rPr>
      </w:pPr>
      <w:r>
        <w:rPr>
          <w:rStyle w:val="mwe-math-mathml-inline"/>
          <w:rFonts w:ascii="Arial" w:hAnsi="Arial" w:cs="Arial"/>
          <w:vanish/>
          <w:color w:val="000000"/>
          <w:sz w:val="21"/>
          <w:szCs w:val="21"/>
        </w:rPr>
        <w:t>{\displaystyle I={\frac {V}{Z}}}</w:t>
      </w:r>
      <w:r>
        <w:rPr>
          <w:rFonts w:ascii="Arial" w:hAnsi="Arial" w:cs="Arial"/>
          <w:noProof/>
          <w:color w:val="000000"/>
          <w:sz w:val="21"/>
          <w:szCs w:val="21"/>
        </w:rPr>
        <mc:AlternateContent>
          <mc:Choice Requires="wps">
            <w:drawing>
              <wp:inline distT="0" distB="0" distL="0" distR="0" wp14:anchorId="28D923C4" wp14:editId="2D3DCDE0">
                <wp:extent cx="302260" cy="302260"/>
                <wp:effectExtent l="0" t="0" r="0" b="0"/>
                <wp:docPr id="5" name="Rectángulo 5" descr="I={\frac  {V}{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I={\frac  {V}{Z}}"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Z0RPLzwIAANMFAAAOAAAAAAAAAAAAAAAAAC4CAABkcnMvZTJvRG9jLnhtbFBL&#10;AQItABQABgAIAAAAIQACnVV42QAAAAMBAAAPAAAAAAAAAAAAAAAAACkFAABkcnMvZG93bnJldi54&#10;bWxQSwUGAAAAAAQABADzAAAALwYAAAAA&#10;" filled="f" stroked="f">
                <o:lock v:ext="edit" aspectratio="t"/>
                <w10:anchorlock/>
              </v:rect>
            </w:pict>
          </mc:Fallback>
        </mc:AlternateContent>
      </w:r>
      <w:bookmarkStart w:id="0" w:name="_GoBack"/>
      <w:r>
        <w:rPr>
          <w:noProof/>
        </w:rPr>
        <w:drawing>
          <wp:inline distT="0" distB="0" distL="0" distR="0" wp14:anchorId="00A86836" wp14:editId="57B27E69">
            <wp:extent cx="1810856" cy="1152939"/>
            <wp:effectExtent l="0" t="0" r="0" b="9525"/>
            <wp:docPr id="4" name="Imagen 4" descr="https://dademuchconnection.files.wordpress.com/2019/04/null-180.png?w=324&amp;h=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demuchconnection.files.wordpress.com/2019/04/null-180.png?w=324&amp;h=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933" cy="1152988"/>
                    </a:xfrm>
                    <a:prstGeom prst="rect">
                      <a:avLst/>
                    </a:prstGeom>
                    <a:noFill/>
                    <a:ln>
                      <a:noFill/>
                    </a:ln>
                  </pic:spPr>
                </pic:pic>
              </a:graphicData>
            </a:graphic>
          </wp:inline>
        </w:drawing>
      </w:r>
      <w:bookmarkEnd w:id="0"/>
    </w:p>
    <w:p w:rsidR="00E97D72" w:rsidRPr="00E97D72" w:rsidRDefault="00E97D72">
      <w:pPr>
        <w:rPr>
          <w:rFonts w:ascii="Baskerville Old Face" w:hAnsi="Baskerville Old Face"/>
          <w:sz w:val="20"/>
          <w:szCs w:val="20"/>
          <w:lang w:val="es-ES"/>
        </w:rPr>
      </w:pPr>
    </w:p>
    <w:sectPr w:rsidR="00E97D72" w:rsidRPr="00E97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A3"/>
    <w:rsid w:val="004D00A3"/>
    <w:rsid w:val="00682D2C"/>
    <w:rsid w:val="00E97D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00A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4D00A3"/>
    <w:rPr>
      <w:b/>
      <w:bCs/>
    </w:rPr>
  </w:style>
  <w:style w:type="character" w:styleId="nfasis">
    <w:name w:val="Emphasis"/>
    <w:basedOn w:val="Fuentedeprrafopredeter"/>
    <w:uiPriority w:val="20"/>
    <w:qFormat/>
    <w:rsid w:val="004D00A3"/>
    <w:rPr>
      <w:i/>
      <w:iCs/>
    </w:rPr>
  </w:style>
  <w:style w:type="character" w:styleId="Hipervnculo">
    <w:name w:val="Hyperlink"/>
    <w:basedOn w:val="Fuentedeprrafopredeter"/>
    <w:uiPriority w:val="99"/>
    <w:semiHidden/>
    <w:unhideWhenUsed/>
    <w:rsid w:val="004D00A3"/>
    <w:rPr>
      <w:color w:val="0000FF"/>
      <w:u w:val="single"/>
    </w:rPr>
  </w:style>
  <w:style w:type="paragraph" w:styleId="Textodeglobo">
    <w:name w:val="Balloon Text"/>
    <w:basedOn w:val="Normal"/>
    <w:link w:val="TextodegloboCar"/>
    <w:uiPriority w:val="99"/>
    <w:semiHidden/>
    <w:unhideWhenUsed/>
    <w:rsid w:val="004D00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0A3"/>
    <w:rPr>
      <w:rFonts w:ascii="Tahoma" w:hAnsi="Tahoma" w:cs="Tahoma"/>
      <w:sz w:val="16"/>
      <w:szCs w:val="16"/>
    </w:rPr>
  </w:style>
  <w:style w:type="character" w:customStyle="1" w:styleId="mwe-math-mathml-inline">
    <w:name w:val="mwe-math-mathml-inline"/>
    <w:basedOn w:val="Fuentedeprrafopredeter"/>
    <w:rsid w:val="00E97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00A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4D00A3"/>
    <w:rPr>
      <w:b/>
      <w:bCs/>
    </w:rPr>
  </w:style>
  <w:style w:type="character" w:styleId="nfasis">
    <w:name w:val="Emphasis"/>
    <w:basedOn w:val="Fuentedeprrafopredeter"/>
    <w:uiPriority w:val="20"/>
    <w:qFormat/>
    <w:rsid w:val="004D00A3"/>
    <w:rPr>
      <w:i/>
      <w:iCs/>
    </w:rPr>
  </w:style>
  <w:style w:type="character" w:styleId="Hipervnculo">
    <w:name w:val="Hyperlink"/>
    <w:basedOn w:val="Fuentedeprrafopredeter"/>
    <w:uiPriority w:val="99"/>
    <w:semiHidden/>
    <w:unhideWhenUsed/>
    <w:rsid w:val="004D00A3"/>
    <w:rPr>
      <w:color w:val="0000FF"/>
      <w:u w:val="single"/>
    </w:rPr>
  </w:style>
  <w:style w:type="paragraph" w:styleId="Textodeglobo">
    <w:name w:val="Balloon Text"/>
    <w:basedOn w:val="Normal"/>
    <w:link w:val="TextodegloboCar"/>
    <w:uiPriority w:val="99"/>
    <w:semiHidden/>
    <w:unhideWhenUsed/>
    <w:rsid w:val="004D00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0A3"/>
    <w:rPr>
      <w:rFonts w:ascii="Tahoma" w:hAnsi="Tahoma" w:cs="Tahoma"/>
      <w:sz w:val="16"/>
      <w:szCs w:val="16"/>
    </w:rPr>
  </w:style>
  <w:style w:type="character" w:customStyle="1" w:styleId="mwe-math-mathml-inline">
    <w:name w:val="mwe-math-mathml-inline"/>
    <w:basedOn w:val="Fuentedeprrafopredeter"/>
    <w:rsid w:val="00E97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80782">
      <w:bodyDiv w:val="1"/>
      <w:marLeft w:val="0"/>
      <w:marRight w:val="0"/>
      <w:marTop w:val="0"/>
      <w:marBottom w:val="0"/>
      <w:divBdr>
        <w:top w:val="none" w:sz="0" w:space="0" w:color="auto"/>
        <w:left w:val="none" w:sz="0" w:space="0" w:color="auto"/>
        <w:bottom w:val="none" w:sz="0" w:space="0" w:color="auto"/>
        <w:right w:val="none" w:sz="0" w:space="0" w:color="auto"/>
      </w:divBdr>
    </w:div>
    <w:div w:id="1245727401">
      <w:bodyDiv w:val="1"/>
      <w:marLeft w:val="0"/>
      <w:marRight w:val="0"/>
      <w:marTop w:val="0"/>
      <w:marBottom w:val="0"/>
      <w:divBdr>
        <w:top w:val="none" w:sz="0" w:space="0" w:color="auto"/>
        <w:left w:val="none" w:sz="0" w:space="0" w:color="auto"/>
        <w:bottom w:val="none" w:sz="0" w:space="0" w:color="auto"/>
        <w:right w:val="none" w:sz="0" w:space="0" w:color="auto"/>
      </w:divBdr>
    </w:div>
    <w:div w:id="1829857079">
      <w:bodyDiv w:val="1"/>
      <w:marLeft w:val="0"/>
      <w:marRight w:val="0"/>
      <w:marTop w:val="0"/>
      <w:marBottom w:val="0"/>
      <w:divBdr>
        <w:top w:val="none" w:sz="0" w:space="0" w:color="auto"/>
        <w:left w:val="none" w:sz="0" w:space="0" w:color="auto"/>
        <w:bottom w:val="none" w:sz="0" w:space="0" w:color="auto"/>
        <w:right w:val="none" w:sz="0" w:space="0" w:color="auto"/>
      </w:divBdr>
      <w:divsChild>
        <w:div w:id="949121338">
          <w:blockQuote w:val="1"/>
          <w:marLeft w:val="450"/>
          <w:marRight w:val="720"/>
          <w:marTop w:val="48"/>
          <w:marBottom w:val="96"/>
          <w:divBdr>
            <w:top w:val="none" w:sz="0" w:space="0" w:color="auto"/>
            <w:left w:val="single" w:sz="24" w:space="8" w:color="EAEC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es.wikipedia.org/wiki/Ley_de_Oh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wikipedia.org/wiki/Reactancia" TargetMode="External"/><Relationship Id="rId11" Type="http://schemas.openxmlformats.org/officeDocument/2006/relationships/theme" Target="theme/theme1.xml"/><Relationship Id="rId5" Type="http://schemas.openxmlformats.org/officeDocument/2006/relationships/hyperlink" Target="https://es.wikipedia.org/wiki/Resistencia_el%C3%A9ctri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238</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PRINCIPAL</cp:lastModifiedBy>
  <cp:revision>1</cp:revision>
  <dcterms:created xsi:type="dcterms:W3CDTF">2021-02-22T23:37:00Z</dcterms:created>
  <dcterms:modified xsi:type="dcterms:W3CDTF">2021-02-22T23:57:00Z</dcterms:modified>
</cp:coreProperties>
</file>